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4BDD2" w14:textId="12B33AE6" w:rsidR="00163288" w:rsidRDefault="00163288" w:rsidP="0016328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>TSG-RAN Working Group 4 (Radio) meeting #97-</w:t>
      </w:r>
      <w:r w:rsidR="00A52798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DF13E8">
        <w:rPr>
          <w:rFonts w:cs="Arial"/>
          <w:iCs/>
          <w:sz w:val="24"/>
        </w:rPr>
        <w:t>2015984</w:t>
      </w:r>
    </w:p>
    <w:p w14:paraId="23C2F31D" w14:textId="4075493C" w:rsidR="00163288" w:rsidRDefault="00163288" w:rsidP="00163288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 2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>– 13 November 2020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11721C95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93550">
        <w:rPr>
          <w:rFonts w:ascii="Arial" w:hAnsi="Arial" w:cs="Arial"/>
        </w:rPr>
        <w:t xml:space="preserve">On </w:t>
      </w:r>
      <w:r w:rsidR="00DF13E8">
        <w:rPr>
          <w:rFonts w:ascii="Arial" w:hAnsi="Arial" w:cs="Arial"/>
        </w:rPr>
        <w:t>p</w:t>
      </w:r>
      <w:r w:rsidR="00B844D1">
        <w:rPr>
          <w:rFonts w:ascii="Arial" w:hAnsi="Arial" w:cs="Arial"/>
        </w:rPr>
        <w:t xml:space="preserve">ower </w:t>
      </w:r>
      <w:r w:rsidR="00DF13E8">
        <w:rPr>
          <w:rFonts w:ascii="Arial" w:hAnsi="Arial" w:cs="Arial"/>
        </w:rPr>
        <w:t>a</w:t>
      </w:r>
      <w:r w:rsidR="00B844D1">
        <w:rPr>
          <w:rFonts w:ascii="Arial" w:hAnsi="Arial" w:cs="Arial"/>
        </w:rPr>
        <w:t>mplifier</w:t>
      </w:r>
      <w:r w:rsidR="00584EBD">
        <w:rPr>
          <w:rFonts w:ascii="Arial" w:hAnsi="Arial" w:cs="Arial"/>
        </w:rPr>
        <w:t xml:space="preserve"> aspects for </w:t>
      </w:r>
      <w:r w:rsidR="00201515">
        <w:rPr>
          <w:rFonts w:ascii="Arial" w:hAnsi="Arial" w:cs="Arial"/>
        </w:rPr>
        <w:t xml:space="preserve">UE in </w:t>
      </w:r>
      <w:r w:rsidR="00584EBD">
        <w:rPr>
          <w:rFonts w:ascii="Arial" w:hAnsi="Arial" w:cs="Arial"/>
        </w:rPr>
        <w:t>52.6-71 GHz</w:t>
      </w:r>
      <w:r w:rsidR="00292194">
        <w:rPr>
          <w:rFonts w:ascii="Arial" w:hAnsi="Arial" w:cs="Arial"/>
        </w:rPr>
        <w:t xml:space="preserve"> range</w:t>
      </w:r>
    </w:p>
    <w:p w14:paraId="72798C4E" w14:textId="1A483722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DF13E8">
        <w:rPr>
          <w:rFonts w:ascii="Arial" w:hAnsi="Arial" w:cs="Arial"/>
          <w:bCs/>
          <w:lang w:val="en-US"/>
        </w:rPr>
        <w:t>13.2.3</w:t>
      </w:r>
    </w:p>
    <w:p w14:paraId="3C088A4A" w14:textId="0CC8B990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253C9E48" w14:textId="75A1C61C" w:rsidR="00CB7F8C" w:rsidRPr="00ED22AF" w:rsidRDefault="00C22491" w:rsidP="003B61A8">
      <w:pPr>
        <w:pBdr>
          <w:bottom w:val="single" w:sz="4" w:space="1" w:color="auto"/>
        </w:pBdr>
        <w:rPr>
          <w:sz w:val="22"/>
          <w:szCs w:val="22"/>
          <w:lang w:eastAsia="en-CA"/>
        </w:rPr>
      </w:pPr>
      <w:r w:rsidRPr="00ED22AF">
        <w:rPr>
          <w:sz w:val="22"/>
          <w:szCs w:val="22"/>
          <w:lang w:eastAsia="en-CA"/>
        </w:rPr>
        <w:t>In RAN4 #96e</w:t>
      </w:r>
      <w:r w:rsidR="00D20872" w:rsidRPr="00ED22AF">
        <w:rPr>
          <w:sz w:val="22"/>
          <w:szCs w:val="22"/>
          <w:lang w:eastAsia="en-CA"/>
        </w:rPr>
        <w:t>, the discussion around PA trends for different technologies was initiated. In addition the important d</w:t>
      </w:r>
      <w:r w:rsidR="008340B9" w:rsidRPr="00ED22AF">
        <w:rPr>
          <w:sz w:val="22"/>
          <w:szCs w:val="22"/>
          <w:lang w:eastAsia="en-CA"/>
        </w:rPr>
        <w:t>ependencies</w:t>
      </w:r>
      <w:r w:rsidR="00081194" w:rsidRPr="00ED22AF">
        <w:rPr>
          <w:sz w:val="22"/>
          <w:szCs w:val="22"/>
          <w:lang w:eastAsia="en-CA"/>
        </w:rPr>
        <w:t xml:space="preserve"> </w:t>
      </w:r>
      <w:r w:rsidR="00D20872" w:rsidRPr="00ED22AF">
        <w:rPr>
          <w:sz w:val="22"/>
          <w:szCs w:val="22"/>
          <w:lang w:eastAsia="en-CA"/>
        </w:rPr>
        <w:t xml:space="preserve">between, output power, linearity </w:t>
      </w:r>
      <w:r w:rsidR="004C7CD6" w:rsidRPr="00ED22AF">
        <w:rPr>
          <w:sz w:val="22"/>
          <w:szCs w:val="22"/>
          <w:lang w:eastAsia="en-CA"/>
        </w:rPr>
        <w:t xml:space="preserve">was </w:t>
      </w:r>
      <w:r w:rsidR="00E1260B" w:rsidRPr="00ED22AF">
        <w:rPr>
          <w:sz w:val="22"/>
          <w:szCs w:val="22"/>
          <w:lang w:eastAsia="en-CA"/>
        </w:rPr>
        <w:t xml:space="preserve">also </w:t>
      </w:r>
      <w:r w:rsidR="004C7CD6" w:rsidRPr="00ED22AF">
        <w:rPr>
          <w:sz w:val="22"/>
          <w:szCs w:val="22"/>
          <w:lang w:eastAsia="en-CA"/>
        </w:rPr>
        <w:t xml:space="preserve">discussed for BS. </w:t>
      </w:r>
    </w:p>
    <w:p w14:paraId="429514E2" w14:textId="7F451306" w:rsidR="004C7CD6" w:rsidRPr="00ED22AF" w:rsidRDefault="004C7CD6" w:rsidP="003B61A8">
      <w:pPr>
        <w:pBdr>
          <w:bottom w:val="single" w:sz="4" w:space="1" w:color="auto"/>
        </w:pBdr>
        <w:rPr>
          <w:sz w:val="22"/>
          <w:szCs w:val="22"/>
          <w:lang w:eastAsia="en-CA"/>
        </w:rPr>
      </w:pPr>
      <w:r w:rsidRPr="00ED22AF">
        <w:rPr>
          <w:sz w:val="22"/>
          <w:szCs w:val="22"/>
          <w:lang w:eastAsia="en-CA"/>
        </w:rPr>
        <w:t xml:space="preserve">In this paper, the synergies between BS and UE PA technology is considered since same technology </w:t>
      </w:r>
      <w:r w:rsidR="002A1F2E" w:rsidRPr="00ED22AF">
        <w:rPr>
          <w:sz w:val="22"/>
          <w:szCs w:val="22"/>
          <w:lang w:eastAsia="en-CA"/>
        </w:rPr>
        <w:t xml:space="preserve">is used for BS and UE </w:t>
      </w:r>
      <w:r w:rsidRPr="00ED22AF">
        <w:rPr>
          <w:sz w:val="22"/>
          <w:szCs w:val="22"/>
          <w:lang w:eastAsia="en-CA"/>
        </w:rPr>
        <w:t>b</w:t>
      </w:r>
      <w:r w:rsidR="002A1F2E" w:rsidRPr="00ED22AF">
        <w:rPr>
          <w:sz w:val="22"/>
          <w:szCs w:val="22"/>
          <w:lang w:eastAsia="en-CA"/>
        </w:rPr>
        <w:t>ut</w:t>
      </w:r>
      <w:r w:rsidRPr="00ED22AF">
        <w:rPr>
          <w:sz w:val="22"/>
          <w:szCs w:val="22"/>
          <w:lang w:eastAsia="en-CA"/>
        </w:rPr>
        <w:t xml:space="preserve"> scaled</w:t>
      </w:r>
      <w:r w:rsidR="002A1F2E" w:rsidRPr="00ED22AF">
        <w:rPr>
          <w:sz w:val="22"/>
          <w:szCs w:val="22"/>
          <w:lang w:eastAsia="en-CA"/>
        </w:rPr>
        <w:t xml:space="preserve"> (array size)</w:t>
      </w:r>
      <w:r w:rsidRPr="00ED22AF">
        <w:rPr>
          <w:sz w:val="22"/>
          <w:szCs w:val="22"/>
          <w:lang w:eastAsia="en-CA"/>
        </w:rPr>
        <w:t xml:space="preserve"> diffe</w:t>
      </w:r>
      <w:r w:rsidR="002A1F2E" w:rsidRPr="00ED22AF">
        <w:rPr>
          <w:sz w:val="22"/>
          <w:szCs w:val="22"/>
          <w:lang w:eastAsia="en-CA"/>
        </w:rPr>
        <w:t>rently</w:t>
      </w:r>
      <w:r w:rsidR="00E96133" w:rsidRPr="00ED22AF">
        <w:rPr>
          <w:sz w:val="22"/>
          <w:szCs w:val="22"/>
          <w:lang w:eastAsia="en-CA"/>
        </w:rPr>
        <w:t xml:space="preserve"> between BS and UE</w:t>
      </w:r>
      <w:r w:rsidR="00CC619F" w:rsidRPr="00ED22AF">
        <w:rPr>
          <w:sz w:val="22"/>
          <w:szCs w:val="22"/>
          <w:lang w:eastAsia="en-CA"/>
        </w:rPr>
        <w:t xml:space="preserve"> to</w:t>
      </w:r>
      <w:r w:rsidR="006C6DBF" w:rsidRPr="00ED22AF">
        <w:rPr>
          <w:sz w:val="22"/>
          <w:szCs w:val="22"/>
          <w:lang w:eastAsia="en-CA"/>
        </w:rPr>
        <w:t xml:space="preserve"> conclude on reasonable UE ACLR</w:t>
      </w:r>
      <w:r w:rsidR="00E96133" w:rsidRPr="00ED22AF">
        <w:rPr>
          <w:sz w:val="22"/>
          <w:szCs w:val="22"/>
          <w:lang w:eastAsia="en-CA"/>
        </w:rPr>
        <w:t>.</w:t>
      </w:r>
      <w:r w:rsidR="00A56022" w:rsidRPr="00ED22AF">
        <w:rPr>
          <w:sz w:val="22"/>
          <w:szCs w:val="22"/>
          <w:lang w:eastAsia="en-CA"/>
        </w:rPr>
        <w:t xml:space="preserve"> </w:t>
      </w:r>
    </w:p>
    <w:p w14:paraId="00AE0019" w14:textId="77925154" w:rsidR="00A56022" w:rsidRPr="00ED22AF" w:rsidRDefault="00A56022" w:rsidP="003B61A8">
      <w:pPr>
        <w:pBdr>
          <w:bottom w:val="single" w:sz="4" w:space="1" w:color="auto"/>
        </w:pBdr>
        <w:rPr>
          <w:sz w:val="22"/>
          <w:szCs w:val="22"/>
          <w:lang w:eastAsia="en-CA"/>
        </w:rPr>
      </w:pPr>
      <w:r w:rsidRPr="00ED22AF">
        <w:rPr>
          <w:sz w:val="22"/>
          <w:szCs w:val="22"/>
          <w:lang w:eastAsia="en-CA"/>
        </w:rPr>
        <w:t xml:space="preserve">The assumption for feasible UE ACLR in this paper </w:t>
      </w:r>
      <w:r w:rsidR="0050539E" w:rsidRPr="00ED22AF">
        <w:rPr>
          <w:sz w:val="22"/>
          <w:szCs w:val="22"/>
          <w:lang w:eastAsia="en-CA"/>
        </w:rPr>
        <w:t>allow</w:t>
      </w:r>
      <w:r w:rsidR="0092094B" w:rsidRPr="00ED22AF">
        <w:rPr>
          <w:sz w:val="22"/>
          <w:szCs w:val="22"/>
          <w:lang w:eastAsia="en-CA"/>
        </w:rPr>
        <w:t>s</w:t>
      </w:r>
      <w:r w:rsidR="0050539E" w:rsidRPr="00ED22AF">
        <w:rPr>
          <w:sz w:val="22"/>
          <w:szCs w:val="22"/>
          <w:lang w:eastAsia="en-CA"/>
        </w:rPr>
        <w:t xml:space="preserve"> for better power efficiency for UE</w:t>
      </w:r>
      <w:r w:rsidR="0092094B" w:rsidRPr="00ED22AF">
        <w:rPr>
          <w:sz w:val="22"/>
          <w:szCs w:val="22"/>
          <w:lang w:eastAsia="en-CA"/>
        </w:rPr>
        <w:t xml:space="preserve"> compared to BS.</w:t>
      </w:r>
    </w:p>
    <w:p w14:paraId="4D2F7756" w14:textId="77777777" w:rsidR="00054283" w:rsidRDefault="00054283" w:rsidP="003B61A8">
      <w:pPr>
        <w:pBdr>
          <w:bottom w:val="single" w:sz="4" w:space="1" w:color="auto"/>
        </w:pBdr>
        <w:rPr>
          <w:lang w:eastAsia="en-CA"/>
        </w:rPr>
      </w:pPr>
    </w:p>
    <w:p w14:paraId="7840C72F" w14:textId="1EAF14AF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3DB92D61" w14:textId="6B97DF0B" w:rsidR="009F30D9" w:rsidRPr="00ED22AF" w:rsidRDefault="006C6DBF" w:rsidP="009F30D9">
      <w:pPr>
        <w:rPr>
          <w:sz w:val="22"/>
          <w:szCs w:val="22"/>
          <w:lang w:val="en-CA"/>
        </w:rPr>
      </w:pPr>
      <w:r w:rsidRPr="00ED22AF">
        <w:rPr>
          <w:sz w:val="22"/>
          <w:szCs w:val="22"/>
          <w:lang w:val="en-CA"/>
        </w:rPr>
        <w:t xml:space="preserve">In [1], the PA trends for different technologies </w:t>
      </w:r>
      <w:r w:rsidR="00E1260B" w:rsidRPr="00ED22AF">
        <w:rPr>
          <w:sz w:val="22"/>
          <w:szCs w:val="22"/>
          <w:lang w:val="en-CA"/>
        </w:rPr>
        <w:t xml:space="preserve">and </w:t>
      </w:r>
      <w:r w:rsidR="004B022E" w:rsidRPr="00ED22AF">
        <w:rPr>
          <w:sz w:val="22"/>
          <w:szCs w:val="22"/>
          <w:lang w:val="en-CA"/>
        </w:rPr>
        <w:t xml:space="preserve">dependencies was described. It was concluded that a BS ACLR of 20-25 dB given few percent power added efficiency </w:t>
      </w:r>
      <w:r w:rsidR="001C053B" w:rsidRPr="00ED22AF">
        <w:rPr>
          <w:sz w:val="22"/>
          <w:szCs w:val="22"/>
          <w:lang w:val="en-CA"/>
        </w:rPr>
        <w:t xml:space="preserve">(PAE) </w:t>
      </w:r>
      <w:r w:rsidR="004B022E" w:rsidRPr="00ED22AF">
        <w:rPr>
          <w:sz w:val="22"/>
          <w:szCs w:val="22"/>
          <w:lang w:val="en-CA"/>
        </w:rPr>
        <w:t>could be feasible</w:t>
      </w:r>
      <w:r w:rsidR="001C053B" w:rsidRPr="00ED22AF">
        <w:rPr>
          <w:sz w:val="22"/>
          <w:szCs w:val="22"/>
          <w:lang w:val="en-CA"/>
        </w:rPr>
        <w:t>.</w:t>
      </w:r>
      <w:r w:rsidR="00201515" w:rsidRPr="00ED22AF">
        <w:rPr>
          <w:sz w:val="22"/>
          <w:szCs w:val="22"/>
          <w:lang w:val="en-CA"/>
        </w:rPr>
        <w:t xml:space="preserve"> </w:t>
      </w:r>
    </w:p>
    <w:p w14:paraId="090AA440" w14:textId="09E3A49F" w:rsidR="001C053B" w:rsidRPr="00ED22AF" w:rsidRDefault="001C053B" w:rsidP="009F30D9">
      <w:pPr>
        <w:rPr>
          <w:sz w:val="22"/>
          <w:szCs w:val="22"/>
          <w:lang w:val="en-CA"/>
        </w:rPr>
      </w:pPr>
      <w:r w:rsidRPr="00ED22AF">
        <w:rPr>
          <w:sz w:val="22"/>
          <w:szCs w:val="22"/>
          <w:lang w:val="en-CA"/>
        </w:rPr>
        <w:t xml:space="preserve">Assuming the need for better </w:t>
      </w:r>
      <w:r w:rsidR="007232C8" w:rsidRPr="00ED22AF">
        <w:rPr>
          <w:sz w:val="22"/>
          <w:szCs w:val="22"/>
          <w:lang w:val="en-CA"/>
        </w:rPr>
        <w:t xml:space="preserve">power efficiency for UE </w:t>
      </w:r>
      <w:r w:rsidR="001B0EA8" w:rsidRPr="00ED22AF">
        <w:rPr>
          <w:sz w:val="22"/>
          <w:szCs w:val="22"/>
          <w:lang w:val="en-CA"/>
        </w:rPr>
        <w:t xml:space="preserve">due to battery consumption, a PAE of </w:t>
      </w:r>
      <w:r w:rsidR="00F13694" w:rsidRPr="00ED22AF">
        <w:rPr>
          <w:sz w:val="22"/>
          <w:szCs w:val="22"/>
          <w:lang w:val="en-CA"/>
        </w:rPr>
        <w:t xml:space="preserve">larger than </w:t>
      </w:r>
      <w:r w:rsidR="001B0EA8" w:rsidRPr="00ED22AF">
        <w:rPr>
          <w:sz w:val="22"/>
          <w:szCs w:val="22"/>
          <w:lang w:val="en-CA"/>
        </w:rPr>
        <w:t xml:space="preserve">10% could be considered </w:t>
      </w:r>
      <w:r w:rsidR="00F13694" w:rsidRPr="00ED22AF">
        <w:rPr>
          <w:sz w:val="22"/>
          <w:szCs w:val="22"/>
          <w:lang w:val="en-CA"/>
        </w:rPr>
        <w:t xml:space="preserve">a </w:t>
      </w:r>
      <w:r w:rsidR="001B0EA8" w:rsidRPr="00ED22AF">
        <w:rPr>
          <w:sz w:val="22"/>
          <w:szCs w:val="22"/>
          <w:lang w:val="en-CA"/>
        </w:rPr>
        <w:t xml:space="preserve">reasonable </w:t>
      </w:r>
      <w:r w:rsidR="00F13694" w:rsidRPr="00ED22AF">
        <w:rPr>
          <w:sz w:val="22"/>
          <w:szCs w:val="22"/>
          <w:lang w:val="en-CA"/>
        </w:rPr>
        <w:t>level for UE</w:t>
      </w:r>
      <w:r w:rsidR="00292194" w:rsidRPr="00ED22AF">
        <w:rPr>
          <w:sz w:val="22"/>
          <w:szCs w:val="22"/>
          <w:lang w:val="en-CA"/>
        </w:rPr>
        <w:t xml:space="preserve">, ACLR and PA indicate that for larger than </w:t>
      </w:r>
    </w:p>
    <w:p w14:paraId="54E7D5DA" w14:textId="208ACBCD" w:rsidR="00F13694" w:rsidRPr="00ED22AF" w:rsidRDefault="001A6AA7" w:rsidP="00FF02C2">
      <w:pPr>
        <w:rPr>
          <w:sz w:val="22"/>
          <w:szCs w:val="22"/>
          <w:lang w:val="en-CA"/>
        </w:rPr>
      </w:pPr>
      <w:r w:rsidRPr="00ED22AF">
        <w:rPr>
          <w:sz w:val="22"/>
          <w:szCs w:val="22"/>
          <w:lang w:val="en-CA"/>
        </w:rPr>
        <w:t xml:space="preserve">Figure 1 depicts the </w:t>
      </w:r>
      <w:r w:rsidR="00100586" w:rsidRPr="00ED22AF">
        <w:rPr>
          <w:sz w:val="22"/>
          <w:szCs w:val="22"/>
          <w:lang w:val="en-CA"/>
        </w:rPr>
        <w:t xml:space="preserve">relation between </w:t>
      </w:r>
      <w:r w:rsidRPr="00ED22AF">
        <w:rPr>
          <w:sz w:val="22"/>
          <w:szCs w:val="22"/>
          <w:lang w:val="en-CA"/>
        </w:rPr>
        <w:t>output power</w:t>
      </w:r>
      <w:r w:rsidR="00100586" w:rsidRPr="00ED22AF">
        <w:rPr>
          <w:sz w:val="22"/>
          <w:szCs w:val="22"/>
          <w:lang w:val="en-CA"/>
        </w:rPr>
        <w:t xml:space="preserve">, linearity and PAE </w:t>
      </w:r>
      <w:r w:rsidR="00900A88" w:rsidRPr="00ED22AF">
        <w:rPr>
          <w:sz w:val="22"/>
          <w:szCs w:val="22"/>
          <w:lang w:val="en-CA"/>
        </w:rPr>
        <w:t>for</w:t>
      </w:r>
      <w:r w:rsidR="00EA10A2" w:rsidRPr="00ED22AF">
        <w:rPr>
          <w:sz w:val="22"/>
          <w:szCs w:val="22"/>
          <w:lang w:val="en-CA"/>
        </w:rPr>
        <w:t xml:space="preserve"> 28 nm FD-SOI </w:t>
      </w:r>
      <w:r w:rsidR="00900A88" w:rsidRPr="00ED22AF">
        <w:rPr>
          <w:sz w:val="22"/>
          <w:szCs w:val="22"/>
          <w:lang w:val="en-CA"/>
        </w:rPr>
        <w:t>CMOS PA at 70 GHz</w:t>
      </w:r>
      <w:r w:rsidR="00FC0F25" w:rsidRPr="00ED22AF">
        <w:rPr>
          <w:sz w:val="22"/>
          <w:szCs w:val="22"/>
          <w:lang w:val="en-CA"/>
        </w:rPr>
        <w:t xml:space="preserve"> </w:t>
      </w:r>
      <w:r w:rsidR="00C23582" w:rsidRPr="00ED22AF">
        <w:rPr>
          <w:sz w:val="22"/>
          <w:szCs w:val="22"/>
          <w:lang w:val="en-CA"/>
        </w:rPr>
        <w:t xml:space="preserve">proxy frequency </w:t>
      </w:r>
      <w:r w:rsidR="00100586" w:rsidRPr="00ED22AF">
        <w:rPr>
          <w:sz w:val="22"/>
          <w:szCs w:val="22"/>
          <w:lang w:val="en-CA"/>
        </w:rPr>
        <w:t xml:space="preserve">and assuming PAE of </w:t>
      </w:r>
      <w:r w:rsidR="001E358D" w:rsidRPr="00ED22AF">
        <w:rPr>
          <w:sz w:val="22"/>
          <w:szCs w:val="22"/>
          <w:lang w:val="en-CA"/>
        </w:rPr>
        <w:t xml:space="preserve">larger than 10%, the </w:t>
      </w:r>
      <w:r w:rsidR="00FC0F25" w:rsidRPr="00ED22AF">
        <w:rPr>
          <w:sz w:val="22"/>
          <w:szCs w:val="22"/>
          <w:lang w:val="en-CA"/>
        </w:rPr>
        <w:t xml:space="preserve">Figure indicate a </w:t>
      </w:r>
      <w:r w:rsidR="001E358D" w:rsidRPr="00ED22AF">
        <w:rPr>
          <w:sz w:val="22"/>
          <w:szCs w:val="22"/>
          <w:lang w:val="en-CA"/>
        </w:rPr>
        <w:t xml:space="preserve">UE ACLR </w:t>
      </w:r>
      <w:r w:rsidR="00FF02C2" w:rsidRPr="00ED22AF">
        <w:rPr>
          <w:sz w:val="22"/>
          <w:szCs w:val="22"/>
          <w:lang w:val="en-CA"/>
        </w:rPr>
        <w:t xml:space="preserve">in the range of 15-20 dB. </w:t>
      </w:r>
      <w:r w:rsidR="00F1055E" w:rsidRPr="00ED22AF">
        <w:rPr>
          <w:sz w:val="22"/>
          <w:szCs w:val="22"/>
          <w:lang w:val="en-CA"/>
        </w:rPr>
        <w:t>Note that the output power</w:t>
      </w:r>
      <w:r w:rsidR="00157470" w:rsidRPr="00ED22AF">
        <w:rPr>
          <w:sz w:val="22"/>
          <w:szCs w:val="22"/>
          <w:lang w:val="en-CA"/>
        </w:rPr>
        <w:t xml:space="preserve"> is related to PA output and does not include any losses e.g. routing, switch </w:t>
      </w:r>
      <w:r w:rsidR="00A80FD4" w:rsidRPr="00ED22AF">
        <w:rPr>
          <w:sz w:val="22"/>
          <w:szCs w:val="22"/>
          <w:lang w:val="en-CA"/>
        </w:rPr>
        <w:t xml:space="preserve">and filter </w:t>
      </w:r>
      <w:r w:rsidR="00157470" w:rsidRPr="00ED22AF">
        <w:rPr>
          <w:sz w:val="22"/>
          <w:szCs w:val="22"/>
          <w:lang w:val="en-CA"/>
        </w:rPr>
        <w:t>losses.</w:t>
      </w:r>
    </w:p>
    <w:p w14:paraId="090497BA" w14:textId="2F81B47A" w:rsidR="002C7BC6" w:rsidRDefault="00656941" w:rsidP="00065326">
      <w:pPr>
        <w:pBdr>
          <w:bottom w:val="single" w:sz="4" w:space="1" w:color="auto"/>
        </w:pBdr>
        <w:ind w:left="-218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10F0F6E" wp14:editId="0514EE5A">
            <wp:extent cx="2846639" cy="2132944"/>
            <wp:effectExtent l="0" t="0" r="0" b="1270"/>
            <wp:docPr id="1646987617" name="Picture 1646987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622" cy="2174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5326">
        <w:rPr>
          <w:rFonts w:ascii="Arial" w:hAnsi="Arial" w:cs="Arial"/>
          <w:noProof/>
        </w:rPr>
        <w:drawing>
          <wp:inline distT="0" distB="0" distL="0" distR="0" wp14:anchorId="42176EE9" wp14:editId="6709AB3D">
            <wp:extent cx="2846070" cy="2134467"/>
            <wp:effectExtent l="0" t="0" r="0" b="0"/>
            <wp:docPr id="1646987618" name="Picture 1646987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044" cy="2179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F56737" w14:textId="335B8774" w:rsidR="00FF02C2" w:rsidRDefault="00E55C32" w:rsidP="00E55C32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ACLR</w:t>
      </w:r>
      <w:r w:rsidR="0069270D">
        <w:t>-</w:t>
      </w:r>
      <w:r>
        <w:t>output power</w:t>
      </w:r>
      <w:r w:rsidR="0069270D">
        <w:t xml:space="preserve"> relation</w:t>
      </w:r>
      <w:r>
        <w:t xml:space="preserve"> (left) and </w:t>
      </w:r>
      <w:r w:rsidR="0069270D">
        <w:t xml:space="preserve">PAE-ACLR relation (right) </w:t>
      </w:r>
    </w:p>
    <w:p w14:paraId="59682FE7" w14:textId="6975C1DC" w:rsidR="0055578E" w:rsidRPr="005F6929" w:rsidRDefault="0055578E" w:rsidP="0055578E">
      <w:pPr>
        <w:rPr>
          <w:sz w:val="22"/>
          <w:szCs w:val="22"/>
        </w:rPr>
      </w:pPr>
      <w:r w:rsidRPr="00ED22AF">
        <w:rPr>
          <w:sz w:val="22"/>
          <w:szCs w:val="22"/>
        </w:rPr>
        <w:t xml:space="preserve">Considering the thermal challenges and need for high integration, the </w:t>
      </w:r>
      <w:r w:rsidR="00BB369E" w:rsidRPr="00ED22AF">
        <w:rPr>
          <w:sz w:val="22"/>
          <w:szCs w:val="22"/>
        </w:rPr>
        <w:t xml:space="preserve">PAE for UE can possibly be set better than ~10 and thus the ACLR </w:t>
      </w:r>
      <w:r w:rsidR="004017CD" w:rsidRPr="00ED22AF">
        <w:rPr>
          <w:sz w:val="22"/>
          <w:szCs w:val="22"/>
        </w:rPr>
        <w:t>in the lower part of 15-20 dB range. It should be noted that the carrier bandwidths</w:t>
      </w:r>
      <w:r w:rsidR="00850C95" w:rsidRPr="00ED22AF">
        <w:rPr>
          <w:sz w:val="22"/>
          <w:szCs w:val="22"/>
        </w:rPr>
        <w:t xml:space="preserve"> anticipated for this frequency range could be quite large e.g. 400 MHz, 800 MHz or </w:t>
      </w:r>
      <w:r w:rsidR="00140F99" w:rsidRPr="00ED22AF">
        <w:rPr>
          <w:sz w:val="22"/>
          <w:szCs w:val="22"/>
        </w:rPr>
        <w:t xml:space="preserve">1600 MHz </w:t>
      </w:r>
      <w:r w:rsidR="00140F99" w:rsidRPr="005F6929">
        <w:rPr>
          <w:sz w:val="22"/>
          <w:szCs w:val="22"/>
        </w:rPr>
        <w:lastRenderedPageBreak/>
        <w:t>(proposed in [2]</w:t>
      </w:r>
      <w:r w:rsidR="00B150BA" w:rsidRPr="005F6929">
        <w:rPr>
          <w:sz w:val="22"/>
          <w:szCs w:val="22"/>
        </w:rPr>
        <w:t>) and thus the ultra large bandwidth can also affect the relations above and should be considered when the requirements during WI phase is settled.</w:t>
      </w:r>
    </w:p>
    <w:p w14:paraId="659B1546" w14:textId="51D01797" w:rsidR="00B150BA" w:rsidRPr="005F6929" w:rsidRDefault="00B150BA" w:rsidP="0055578E">
      <w:pPr>
        <w:rPr>
          <w:sz w:val="22"/>
          <w:szCs w:val="22"/>
        </w:rPr>
      </w:pPr>
      <w:r w:rsidRPr="005F6929">
        <w:rPr>
          <w:sz w:val="22"/>
          <w:szCs w:val="22"/>
        </w:rPr>
        <w:t xml:space="preserve">In addition, the </w:t>
      </w:r>
      <w:r w:rsidR="007D4A0E" w:rsidRPr="005F6929">
        <w:rPr>
          <w:sz w:val="22"/>
          <w:szCs w:val="22"/>
        </w:rPr>
        <w:t>UE ACLR range discussed in this paper considers the feasibility aspect and what the technology provide and thus the feasibility aspects should be weighted</w:t>
      </w:r>
      <w:r w:rsidR="009812DF" w:rsidRPr="005F6929">
        <w:rPr>
          <w:sz w:val="22"/>
          <w:szCs w:val="22"/>
        </w:rPr>
        <w:t xml:space="preserve"> in conjunction with c</w:t>
      </w:r>
      <w:r w:rsidR="00170CBC" w:rsidRPr="005F6929">
        <w:rPr>
          <w:sz w:val="22"/>
          <w:szCs w:val="22"/>
        </w:rPr>
        <w:t>o-e</w:t>
      </w:r>
      <w:r w:rsidR="00054283" w:rsidRPr="005F6929">
        <w:rPr>
          <w:sz w:val="22"/>
          <w:szCs w:val="22"/>
        </w:rPr>
        <w:t>xistence studies to ensure that the eco-system can be maintained.</w:t>
      </w:r>
      <w:r w:rsidR="007D4A0E" w:rsidRPr="005F6929">
        <w:rPr>
          <w:sz w:val="22"/>
          <w:szCs w:val="22"/>
        </w:rPr>
        <w:t xml:space="preserve"> </w:t>
      </w:r>
    </w:p>
    <w:p w14:paraId="3725E91A" w14:textId="64B9E672" w:rsidR="00590733" w:rsidRPr="005F6929" w:rsidRDefault="00590733" w:rsidP="0055578E">
      <w:pPr>
        <w:rPr>
          <w:sz w:val="22"/>
          <w:szCs w:val="22"/>
        </w:rPr>
      </w:pPr>
      <w:r w:rsidRPr="005F6929">
        <w:rPr>
          <w:sz w:val="22"/>
          <w:szCs w:val="22"/>
        </w:rPr>
        <w:t>We thus propose the following:</w:t>
      </w:r>
    </w:p>
    <w:p w14:paraId="30A60DFB" w14:textId="478B3F21" w:rsidR="00590733" w:rsidRPr="005F6929" w:rsidRDefault="00590733" w:rsidP="0055578E">
      <w:pPr>
        <w:rPr>
          <w:b/>
          <w:bCs/>
          <w:sz w:val="22"/>
          <w:szCs w:val="22"/>
        </w:rPr>
      </w:pPr>
      <w:r w:rsidRPr="005F6929">
        <w:rPr>
          <w:b/>
          <w:bCs/>
          <w:sz w:val="22"/>
          <w:szCs w:val="22"/>
        </w:rPr>
        <w:t>Proposal 1:</w:t>
      </w:r>
      <w:r w:rsidR="000A4A1C">
        <w:rPr>
          <w:b/>
          <w:bCs/>
          <w:sz w:val="22"/>
          <w:szCs w:val="22"/>
        </w:rPr>
        <w:t xml:space="preserve"> </w:t>
      </w:r>
      <w:r w:rsidRPr="005F6929">
        <w:rPr>
          <w:b/>
          <w:bCs/>
          <w:sz w:val="22"/>
          <w:szCs w:val="22"/>
        </w:rPr>
        <w:t>Consider</w:t>
      </w:r>
      <w:r w:rsidR="008345C0" w:rsidRPr="005F6929">
        <w:rPr>
          <w:b/>
          <w:bCs/>
          <w:sz w:val="22"/>
          <w:szCs w:val="22"/>
        </w:rPr>
        <w:t xml:space="preserve"> UE ACLR range of 15-20 dB as feasible for 52.6-71 GHz frequency range</w:t>
      </w:r>
      <w:r w:rsidR="00605C40" w:rsidRPr="005F6929">
        <w:rPr>
          <w:b/>
          <w:bCs/>
          <w:sz w:val="22"/>
          <w:szCs w:val="22"/>
        </w:rPr>
        <w:t>.</w:t>
      </w:r>
    </w:p>
    <w:p w14:paraId="0AD151F6" w14:textId="77777777" w:rsidR="00E55C32" w:rsidRPr="009F30D9" w:rsidRDefault="00E55C32" w:rsidP="00065326">
      <w:pPr>
        <w:pBdr>
          <w:bottom w:val="single" w:sz="4" w:space="1" w:color="auto"/>
        </w:pBdr>
        <w:ind w:left="-218"/>
        <w:rPr>
          <w:rFonts w:ascii="Arial" w:hAnsi="Arial" w:cs="Arial"/>
        </w:rPr>
      </w:pPr>
    </w:p>
    <w:p w14:paraId="1E6A2B87" w14:textId="2C7B0FA3" w:rsidR="00627C19" w:rsidRDefault="00627C19" w:rsidP="00627C19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08139831" w14:textId="056A26E3" w:rsidR="00627C19" w:rsidRPr="005F6929" w:rsidRDefault="00363A55" w:rsidP="00627C19">
      <w:pPr>
        <w:rPr>
          <w:sz w:val="22"/>
          <w:szCs w:val="22"/>
        </w:rPr>
      </w:pPr>
      <w:r w:rsidRPr="005F6929">
        <w:rPr>
          <w:sz w:val="22"/>
          <w:szCs w:val="22"/>
        </w:rPr>
        <w:t xml:space="preserve">In this paper, </w:t>
      </w:r>
      <w:r w:rsidR="0062029D" w:rsidRPr="005F6929">
        <w:rPr>
          <w:sz w:val="22"/>
          <w:szCs w:val="22"/>
        </w:rPr>
        <w:t>the feasibility of UE ACLR levels considering PA trends for different technologies and dependencies between output power</w:t>
      </w:r>
      <w:r w:rsidR="00AB510D" w:rsidRPr="005F6929">
        <w:rPr>
          <w:sz w:val="22"/>
          <w:szCs w:val="22"/>
        </w:rPr>
        <w:t xml:space="preserve">, linearity and efficiency. It was concluded that </w:t>
      </w:r>
      <w:r w:rsidR="004D592E" w:rsidRPr="005F6929">
        <w:rPr>
          <w:sz w:val="22"/>
          <w:szCs w:val="22"/>
        </w:rPr>
        <w:t xml:space="preserve">if higher </w:t>
      </w:r>
      <w:r w:rsidR="00741728" w:rsidRPr="005F6929">
        <w:rPr>
          <w:sz w:val="22"/>
          <w:szCs w:val="22"/>
        </w:rPr>
        <w:t xml:space="preserve">UE </w:t>
      </w:r>
      <w:r w:rsidR="004D592E" w:rsidRPr="005F6929">
        <w:rPr>
          <w:sz w:val="22"/>
          <w:szCs w:val="22"/>
        </w:rPr>
        <w:t>power efficiency than BS is considered, UE ACLR level</w:t>
      </w:r>
      <w:r w:rsidR="00D20EAA" w:rsidRPr="005F6929">
        <w:rPr>
          <w:sz w:val="22"/>
          <w:szCs w:val="22"/>
        </w:rPr>
        <w:t xml:space="preserve"> in the range of 15-20 dB is feasible.</w:t>
      </w:r>
    </w:p>
    <w:p w14:paraId="1D1D3AEC" w14:textId="1479D601" w:rsidR="00741728" w:rsidRPr="005F6929" w:rsidRDefault="00741728" w:rsidP="00741728">
      <w:pPr>
        <w:rPr>
          <w:b/>
          <w:bCs/>
          <w:sz w:val="22"/>
          <w:szCs w:val="22"/>
        </w:rPr>
      </w:pPr>
      <w:r w:rsidRPr="005F6929">
        <w:rPr>
          <w:b/>
          <w:bCs/>
          <w:sz w:val="22"/>
          <w:szCs w:val="22"/>
        </w:rPr>
        <w:t>Proposal 1:</w:t>
      </w:r>
      <w:r w:rsidR="000A4A1C">
        <w:rPr>
          <w:b/>
          <w:bCs/>
          <w:sz w:val="22"/>
          <w:szCs w:val="22"/>
        </w:rPr>
        <w:t xml:space="preserve"> </w:t>
      </w:r>
      <w:r w:rsidRPr="005F6929">
        <w:rPr>
          <w:b/>
          <w:bCs/>
          <w:sz w:val="22"/>
          <w:szCs w:val="22"/>
        </w:rPr>
        <w:t>Consider UE ACLR range of 15-20 dB as feasible for 52.6-71 GHz frequency range.</w:t>
      </w:r>
    </w:p>
    <w:p w14:paraId="311E1B70" w14:textId="5648154E" w:rsidR="00ED22AF" w:rsidRPr="005F6929" w:rsidRDefault="00ED22AF" w:rsidP="00741728">
      <w:pPr>
        <w:rPr>
          <w:sz w:val="22"/>
          <w:szCs w:val="22"/>
        </w:rPr>
      </w:pPr>
      <w:r w:rsidRPr="005F6929">
        <w:rPr>
          <w:sz w:val="22"/>
          <w:szCs w:val="22"/>
        </w:rPr>
        <w:t>In addition</w:t>
      </w:r>
      <w:r w:rsidR="005F6929">
        <w:rPr>
          <w:sz w:val="22"/>
          <w:szCs w:val="22"/>
        </w:rPr>
        <w:t xml:space="preserve">, </w:t>
      </w:r>
      <w:r w:rsidR="000A44CC">
        <w:rPr>
          <w:sz w:val="22"/>
          <w:szCs w:val="22"/>
        </w:rPr>
        <w:t>the possible impact and implications of large bandwidths</w:t>
      </w:r>
      <w:r w:rsidR="00E710FA">
        <w:rPr>
          <w:sz w:val="22"/>
          <w:szCs w:val="22"/>
        </w:rPr>
        <w:t xml:space="preserve"> on PA dependencies should be considered during WI phase.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07B92C73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65EAFB5C" w14:textId="48A850F3" w:rsidR="00A80FD4" w:rsidRPr="00BD022A" w:rsidRDefault="00A80FD4" w:rsidP="00A80FD4">
      <w:pPr>
        <w:rPr>
          <w:rFonts w:asciiTheme="majorBidi" w:hAnsiTheme="majorBidi" w:cstheme="majorBidi"/>
          <w:sz w:val="22"/>
          <w:szCs w:val="22"/>
        </w:rPr>
      </w:pPr>
      <w:r w:rsidRPr="00BD022A">
        <w:rPr>
          <w:rFonts w:asciiTheme="majorBidi" w:hAnsiTheme="majorBidi" w:cstheme="majorBidi"/>
          <w:sz w:val="22"/>
          <w:szCs w:val="22"/>
        </w:rPr>
        <w:t xml:space="preserve">[1] </w:t>
      </w:r>
      <w:r w:rsidRPr="00BD022A">
        <w:rPr>
          <w:rFonts w:asciiTheme="majorBidi" w:hAnsiTheme="majorBidi" w:cstheme="majorBidi"/>
          <w:sz w:val="22"/>
          <w:szCs w:val="22"/>
        </w:rPr>
        <w:tab/>
        <w:t>R4-20</w:t>
      </w:r>
      <w:r w:rsidR="006E59C1" w:rsidRPr="00BD022A">
        <w:rPr>
          <w:rFonts w:asciiTheme="majorBidi" w:hAnsiTheme="majorBidi" w:cstheme="majorBidi"/>
          <w:sz w:val="22"/>
          <w:szCs w:val="22"/>
        </w:rPr>
        <w:t>0</w:t>
      </w:r>
      <w:r w:rsidR="003521AE" w:rsidRPr="00BD022A">
        <w:rPr>
          <w:rFonts w:asciiTheme="majorBidi" w:hAnsiTheme="majorBidi" w:cstheme="majorBidi"/>
          <w:sz w:val="22"/>
          <w:szCs w:val="22"/>
        </w:rPr>
        <w:t>9921</w:t>
      </w:r>
      <w:r w:rsidR="00C73A95" w:rsidRPr="00BD022A">
        <w:rPr>
          <w:rFonts w:asciiTheme="majorBidi" w:hAnsiTheme="majorBidi" w:cstheme="majorBidi"/>
          <w:sz w:val="22"/>
          <w:szCs w:val="22"/>
        </w:rPr>
        <w:t>,</w:t>
      </w:r>
      <w:r w:rsidRPr="00BD022A">
        <w:rPr>
          <w:rFonts w:asciiTheme="majorBidi" w:hAnsiTheme="majorBidi" w:cstheme="majorBidi"/>
          <w:sz w:val="22"/>
          <w:szCs w:val="22"/>
        </w:rPr>
        <w:t xml:space="preserve">” </w:t>
      </w:r>
      <w:r w:rsidR="003521AE" w:rsidRPr="00BD022A">
        <w:rPr>
          <w:rFonts w:asciiTheme="majorBidi" w:hAnsiTheme="majorBidi" w:cstheme="majorBidi"/>
          <w:sz w:val="22"/>
          <w:szCs w:val="22"/>
          <w:lang w:val="en-US"/>
        </w:rPr>
        <w:t>Key technology considerations relating to 52-71GHz specification work</w:t>
      </w:r>
      <w:r w:rsidRPr="00BD022A">
        <w:rPr>
          <w:rFonts w:asciiTheme="majorBidi" w:hAnsiTheme="majorBidi" w:cstheme="majorBidi"/>
          <w:sz w:val="22"/>
          <w:szCs w:val="22"/>
        </w:rPr>
        <w:t>”</w:t>
      </w:r>
      <w:r w:rsidR="00C73A95" w:rsidRPr="00BD022A">
        <w:rPr>
          <w:rFonts w:asciiTheme="majorBidi" w:hAnsiTheme="majorBidi" w:cstheme="majorBidi"/>
          <w:sz w:val="22"/>
          <w:szCs w:val="22"/>
        </w:rPr>
        <w:t>, Ericsson</w:t>
      </w:r>
    </w:p>
    <w:p w14:paraId="1AED9D4F" w14:textId="5C72602C" w:rsidR="00C73A95" w:rsidRPr="00E710FA" w:rsidRDefault="00C73A95" w:rsidP="00A80FD4">
      <w:pPr>
        <w:rPr>
          <w:rFonts w:asciiTheme="majorBidi" w:hAnsiTheme="majorBidi" w:cstheme="majorBidi"/>
          <w:sz w:val="22"/>
          <w:szCs w:val="22"/>
        </w:rPr>
      </w:pPr>
      <w:r w:rsidRPr="00BD022A">
        <w:rPr>
          <w:rFonts w:asciiTheme="majorBidi" w:hAnsiTheme="majorBidi" w:cstheme="majorBidi"/>
          <w:sz w:val="22"/>
          <w:szCs w:val="22"/>
        </w:rPr>
        <w:t>[2]</w:t>
      </w:r>
      <w:r w:rsidRPr="00BD022A">
        <w:rPr>
          <w:rFonts w:asciiTheme="majorBidi" w:hAnsiTheme="majorBidi" w:cstheme="majorBidi"/>
          <w:sz w:val="22"/>
          <w:szCs w:val="22"/>
        </w:rPr>
        <w:tab/>
      </w:r>
      <w:r w:rsidRPr="00BD022A">
        <w:rPr>
          <w:rFonts w:asciiTheme="majorBidi" w:hAnsiTheme="majorBidi" w:cstheme="majorBidi"/>
          <w:sz w:val="22"/>
          <w:szCs w:val="22"/>
        </w:rPr>
        <w:tab/>
        <w:t>R4-20</w:t>
      </w:r>
      <w:r w:rsidR="00CD7C2E" w:rsidRPr="00BD022A">
        <w:rPr>
          <w:rFonts w:asciiTheme="majorBidi" w:hAnsiTheme="majorBidi" w:cstheme="majorBidi"/>
          <w:sz w:val="22"/>
          <w:szCs w:val="22"/>
        </w:rPr>
        <w:t>15727</w:t>
      </w:r>
      <w:r w:rsidRPr="00BD022A">
        <w:rPr>
          <w:rFonts w:asciiTheme="majorBidi" w:hAnsiTheme="majorBidi" w:cstheme="majorBidi"/>
          <w:sz w:val="22"/>
          <w:szCs w:val="22"/>
        </w:rPr>
        <w:t>, “</w:t>
      </w:r>
      <w:r w:rsidR="002F0DB8" w:rsidRPr="00BD022A">
        <w:rPr>
          <w:rFonts w:asciiTheme="majorBidi" w:hAnsiTheme="majorBidi" w:cstheme="majorBidi"/>
          <w:sz w:val="22"/>
          <w:szCs w:val="22"/>
        </w:rPr>
        <w:t>On 52.6</w:t>
      </w:r>
      <w:r w:rsidR="002F0DB8" w:rsidRPr="00E710FA">
        <w:rPr>
          <w:rFonts w:asciiTheme="majorBidi" w:hAnsiTheme="majorBidi" w:cstheme="majorBidi"/>
          <w:sz w:val="22"/>
          <w:szCs w:val="22"/>
        </w:rPr>
        <w:t xml:space="preserve"> to 71 GHz numerology evaluation and channel bandwidths</w:t>
      </w:r>
      <w:r w:rsidRPr="00E710FA">
        <w:rPr>
          <w:rFonts w:asciiTheme="majorBidi" w:hAnsiTheme="majorBidi" w:cstheme="majorBidi"/>
          <w:sz w:val="22"/>
          <w:szCs w:val="22"/>
        </w:rPr>
        <w:t>”, Ericsson</w:t>
      </w:r>
    </w:p>
    <w:p w14:paraId="5BEE5B6C" w14:textId="77777777" w:rsidR="008138E9" w:rsidRDefault="008138E9" w:rsidP="008138E9">
      <w:pPr>
        <w:rPr>
          <w:lang w:val="en-US"/>
        </w:rPr>
      </w:pPr>
    </w:p>
    <w:p w14:paraId="179F1D60" w14:textId="77777777" w:rsidR="008138E9" w:rsidRDefault="008138E9" w:rsidP="008138E9">
      <w:pPr>
        <w:rPr>
          <w:lang w:val="en-US"/>
        </w:rPr>
      </w:pPr>
    </w:p>
    <w:p w14:paraId="315C6E75" w14:textId="77777777" w:rsidR="00D51BF2" w:rsidRDefault="00D51BF2" w:rsidP="008138E9">
      <w:pPr>
        <w:rPr>
          <w:lang w:val="en-US"/>
        </w:rPr>
      </w:pPr>
    </w:p>
    <w:p w14:paraId="07B1A291" w14:textId="77777777" w:rsidR="00D51BF2" w:rsidRDefault="00D51BF2" w:rsidP="008138E9">
      <w:pPr>
        <w:rPr>
          <w:lang w:val="en-US"/>
        </w:rPr>
      </w:pPr>
    </w:p>
    <w:p w14:paraId="22481755" w14:textId="77777777" w:rsidR="00D51BF2" w:rsidRDefault="00D51BF2" w:rsidP="008138E9">
      <w:pPr>
        <w:rPr>
          <w:lang w:val="en-US"/>
        </w:rPr>
      </w:pPr>
    </w:p>
    <w:p w14:paraId="065C55EF" w14:textId="6D486006" w:rsidR="00D51BF2" w:rsidRDefault="00D51BF2" w:rsidP="008138E9">
      <w:pPr>
        <w:rPr>
          <w:lang w:val="en-US"/>
        </w:rPr>
      </w:pPr>
    </w:p>
    <w:p w14:paraId="0C98A784" w14:textId="575F24A1" w:rsidR="006B7759" w:rsidRDefault="006B7759" w:rsidP="008138E9">
      <w:pPr>
        <w:rPr>
          <w:lang w:val="en-US"/>
        </w:rPr>
      </w:pPr>
    </w:p>
    <w:p w14:paraId="780D1EBC" w14:textId="2A6101DE" w:rsidR="006B7759" w:rsidRDefault="006B7759" w:rsidP="008138E9">
      <w:pPr>
        <w:rPr>
          <w:lang w:val="en-US"/>
        </w:rPr>
      </w:pPr>
      <w:bookmarkStart w:id="1" w:name="_GoBack"/>
      <w:bookmarkEnd w:id="1"/>
    </w:p>
    <w:p w14:paraId="669166F5" w14:textId="73279F84" w:rsidR="006B7759" w:rsidRDefault="006B7759" w:rsidP="008138E9">
      <w:pPr>
        <w:rPr>
          <w:lang w:val="en-US"/>
        </w:rPr>
      </w:pPr>
    </w:p>
    <w:p w14:paraId="521F74FA" w14:textId="1BD77590" w:rsidR="006B7759" w:rsidRDefault="006B7759" w:rsidP="008138E9">
      <w:pPr>
        <w:rPr>
          <w:lang w:val="en-US"/>
        </w:rPr>
      </w:pPr>
    </w:p>
    <w:p w14:paraId="33C5C784" w14:textId="4583E141" w:rsidR="006B7759" w:rsidRDefault="006B7759" w:rsidP="008138E9">
      <w:pPr>
        <w:rPr>
          <w:lang w:val="en-US"/>
        </w:rPr>
      </w:pPr>
    </w:p>
    <w:bookmarkEnd w:id="0"/>
    <w:p w14:paraId="6F654D55" w14:textId="1C54A41A" w:rsidR="006B7759" w:rsidRDefault="006B7759" w:rsidP="008138E9">
      <w:pPr>
        <w:rPr>
          <w:lang w:val="en-US"/>
        </w:rPr>
      </w:pPr>
    </w:p>
    <w:sectPr w:rsidR="006B7759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950DD" w14:textId="77777777" w:rsidR="00BC42BF" w:rsidRDefault="00BC42BF">
      <w:r>
        <w:separator/>
      </w:r>
    </w:p>
  </w:endnote>
  <w:endnote w:type="continuationSeparator" w:id="0">
    <w:p w14:paraId="07C20D01" w14:textId="77777777" w:rsidR="00BC42BF" w:rsidRDefault="00BC4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107D3" w14:textId="77777777" w:rsidR="00BC42BF" w:rsidRDefault="00BC42BF">
      <w:r>
        <w:separator/>
      </w:r>
    </w:p>
  </w:footnote>
  <w:footnote w:type="continuationSeparator" w:id="0">
    <w:p w14:paraId="4173E061" w14:textId="77777777" w:rsidR="00BC42BF" w:rsidRDefault="00BC4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B63BBC"/>
    <w:multiLevelType w:val="hybridMultilevel"/>
    <w:tmpl w:val="C0B0B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11DB3"/>
    <w:multiLevelType w:val="multilevel"/>
    <w:tmpl w:val="CDF822B8"/>
    <w:lvl w:ilvl="0">
      <w:start w:val="4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30" w:hanging="730"/>
      </w:pPr>
      <w:rPr>
        <w:rFonts w:hint="default"/>
        <w:lang w:val="en-US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612AC"/>
    <w:multiLevelType w:val="hybridMultilevel"/>
    <w:tmpl w:val="A8D439C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D906EF"/>
    <w:multiLevelType w:val="hybridMultilevel"/>
    <w:tmpl w:val="8268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43862"/>
    <w:multiLevelType w:val="multilevel"/>
    <w:tmpl w:val="6E5E655E"/>
    <w:lvl w:ilvl="0">
      <w:start w:val="4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8B209C6"/>
    <w:multiLevelType w:val="multilevel"/>
    <w:tmpl w:val="C77A152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4BDF65F6"/>
    <w:multiLevelType w:val="hybridMultilevel"/>
    <w:tmpl w:val="C2EA33CC"/>
    <w:lvl w:ilvl="0" w:tplc="A830D904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11510C"/>
    <w:multiLevelType w:val="hybridMultilevel"/>
    <w:tmpl w:val="895055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761627"/>
    <w:multiLevelType w:val="multilevel"/>
    <w:tmpl w:val="09041864"/>
    <w:lvl w:ilvl="0">
      <w:start w:val="4"/>
      <w:numFmt w:val="decimal"/>
      <w:lvlText w:val="%1"/>
      <w:lvlJc w:val="left"/>
      <w:pPr>
        <w:ind w:left="790" w:hanging="7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0" w:hanging="79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90" w:hanging="79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90" w:hanging="79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8021CF2"/>
    <w:multiLevelType w:val="hybridMultilevel"/>
    <w:tmpl w:val="1F9E6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8C2381"/>
    <w:multiLevelType w:val="hybridMultilevel"/>
    <w:tmpl w:val="970C1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D151F5"/>
    <w:multiLevelType w:val="hybridMultilevel"/>
    <w:tmpl w:val="CEF8A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10"/>
  </w:num>
  <w:num w:numId="6">
    <w:abstractNumId w:val="16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4"/>
  </w:num>
  <w:num w:numId="10">
    <w:abstractNumId w:val="6"/>
  </w:num>
  <w:num w:numId="11">
    <w:abstractNumId w:val="12"/>
  </w:num>
  <w:num w:numId="12">
    <w:abstractNumId w:val="9"/>
  </w:num>
  <w:num w:numId="13">
    <w:abstractNumId w:val="3"/>
  </w:num>
  <w:num w:numId="14">
    <w:abstractNumId w:val="1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5"/>
  </w:num>
  <w:num w:numId="18">
    <w:abstractNumId w:val="17"/>
  </w:num>
  <w:num w:numId="19">
    <w:abstractNumId w:val="2"/>
  </w:num>
  <w:num w:numId="20">
    <w:abstractNumId w:val="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E"/>
    <w:rsid w:val="0000303A"/>
    <w:rsid w:val="000030F7"/>
    <w:rsid w:val="00004097"/>
    <w:rsid w:val="000163C1"/>
    <w:rsid w:val="00033397"/>
    <w:rsid w:val="00036BFB"/>
    <w:rsid w:val="00040095"/>
    <w:rsid w:val="000413B1"/>
    <w:rsid w:val="00041BC9"/>
    <w:rsid w:val="00041E6D"/>
    <w:rsid w:val="00043B2C"/>
    <w:rsid w:val="00046BCA"/>
    <w:rsid w:val="00051834"/>
    <w:rsid w:val="00054283"/>
    <w:rsid w:val="00054A22"/>
    <w:rsid w:val="000560CC"/>
    <w:rsid w:val="00057076"/>
    <w:rsid w:val="00062773"/>
    <w:rsid w:val="00064E2C"/>
    <w:rsid w:val="00065326"/>
    <w:rsid w:val="000655A6"/>
    <w:rsid w:val="00070795"/>
    <w:rsid w:val="00072AA3"/>
    <w:rsid w:val="00076597"/>
    <w:rsid w:val="00080512"/>
    <w:rsid w:val="00080587"/>
    <w:rsid w:val="00081194"/>
    <w:rsid w:val="000914E1"/>
    <w:rsid w:val="00091570"/>
    <w:rsid w:val="00094D53"/>
    <w:rsid w:val="00096009"/>
    <w:rsid w:val="00096B85"/>
    <w:rsid w:val="000A44CC"/>
    <w:rsid w:val="000A4A1C"/>
    <w:rsid w:val="000B2904"/>
    <w:rsid w:val="000B491D"/>
    <w:rsid w:val="000D1FD5"/>
    <w:rsid w:val="000D58AB"/>
    <w:rsid w:val="000D696C"/>
    <w:rsid w:val="000E1DEA"/>
    <w:rsid w:val="000E4BB7"/>
    <w:rsid w:val="000E54B8"/>
    <w:rsid w:val="000E632F"/>
    <w:rsid w:val="000F0805"/>
    <w:rsid w:val="000F1642"/>
    <w:rsid w:val="000F4034"/>
    <w:rsid w:val="00100586"/>
    <w:rsid w:val="00101580"/>
    <w:rsid w:val="001053A3"/>
    <w:rsid w:val="00106F91"/>
    <w:rsid w:val="001221CC"/>
    <w:rsid w:val="00122F2A"/>
    <w:rsid w:val="00125F13"/>
    <w:rsid w:val="00126334"/>
    <w:rsid w:val="00140F99"/>
    <w:rsid w:val="00146DE5"/>
    <w:rsid w:val="00147042"/>
    <w:rsid w:val="00150C72"/>
    <w:rsid w:val="0015243E"/>
    <w:rsid w:val="0015363B"/>
    <w:rsid w:val="00155B44"/>
    <w:rsid w:val="00157470"/>
    <w:rsid w:val="00160FBE"/>
    <w:rsid w:val="001612D5"/>
    <w:rsid w:val="00163288"/>
    <w:rsid w:val="001632F4"/>
    <w:rsid w:val="0016505C"/>
    <w:rsid w:val="00170CBC"/>
    <w:rsid w:val="001753FD"/>
    <w:rsid w:val="00176C71"/>
    <w:rsid w:val="00180AF3"/>
    <w:rsid w:val="00183563"/>
    <w:rsid w:val="001862BC"/>
    <w:rsid w:val="0019264E"/>
    <w:rsid w:val="0019585A"/>
    <w:rsid w:val="00196273"/>
    <w:rsid w:val="001A1F51"/>
    <w:rsid w:val="001A6AA7"/>
    <w:rsid w:val="001B0597"/>
    <w:rsid w:val="001B0EA8"/>
    <w:rsid w:val="001B4E90"/>
    <w:rsid w:val="001B50EE"/>
    <w:rsid w:val="001C053B"/>
    <w:rsid w:val="001C1DF4"/>
    <w:rsid w:val="001C38FD"/>
    <w:rsid w:val="001D02C2"/>
    <w:rsid w:val="001D244F"/>
    <w:rsid w:val="001D7590"/>
    <w:rsid w:val="001E358D"/>
    <w:rsid w:val="001E62AA"/>
    <w:rsid w:val="001E6EE7"/>
    <w:rsid w:val="001F168B"/>
    <w:rsid w:val="001F33FD"/>
    <w:rsid w:val="001F3C27"/>
    <w:rsid w:val="00201515"/>
    <w:rsid w:val="00202BD8"/>
    <w:rsid w:val="002069E8"/>
    <w:rsid w:val="0021117A"/>
    <w:rsid w:val="00214C3C"/>
    <w:rsid w:val="002223F4"/>
    <w:rsid w:val="0022464B"/>
    <w:rsid w:val="00231DE5"/>
    <w:rsid w:val="00232190"/>
    <w:rsid w:val="0023254C"/>
    <w:rsid w:val="002347A2"/>
    <w:rsid w:val="00241D8F"/>
    <w:rsid w:val="0025051D"/>
    <w:rsid w:val="00261066"/>
    <w:rsid w:val="00263FE3"/>
    <w:rsid w:val="0027487A"/>
    <w:rsid w:val="00280CDB"/>
    <w:rsid w:val="002877C9"/>
    <w:rsid w:val="00291898"/>
    <w:rsid w:val="00292194"/>
    <w:rsid w:val="002A0978"/>
    <w:rsid w:val="002A1F2E"/>
    <w:rsid w:val="002A20B6"/>
    <w:rsid w:val="002A3952"/>
    <w:rsid w:val="002A682D"/>
    <w:rsid w:val="002B067D"/>
    <w:rsid w:val="002B0AA9"/>
    <w:rsid w:val="002B0B48"/>
    <w:rsid w:val="002B7D0A"/>
    <w:rsid w:val="002C61F8"/>
    <w:rsid w:val="002C7BC6"/>
    <w:rsid w:val="002D18A0"/>
    <w:rsid w:val="002E0D2E"/>
    <w:rsid w:val="002E2D39"/>
    <w:rsid w:val="002E644C"/>
    <w:rsid w:val="002F0DB8"/>
    <w:rsid w:val="002F1E03"/>
    <w:rsid w:val="002F24C8"/>
    <w:rsid w:val="002F27C7"/>
    <w:rsid w:val="00316D33"/>
    <w:rsid w:val="003172DC"/>
    <w:rsid w:val="0032248B"/>
    <w:rsid w:val="00333371"/>
    <w:rsid w:val="0033418B"/>
    <w:rsid w:val="003348D7"/>
    <w:rsid w:val="003371F6"/>
    <w:rsid w:val="003521AE"/>
    <w:rsid w:val="0035462D"/>
    <w:rsid w:val="00354D16"/>
    <w:rsid w:val="003560DA"/>
    <w:rsid w:val="00361E87"/>
    <w:rsid w:val="00363A55"/>
    <w:rsid w:val="00365D07"/>
    <w:rsid w:val="00380264"/>
    <w:rsid w:val="003811E4"/>
    <w:rsid w:val="00381DB4"/>
    <w:rsid w:val="0038401C"/>
    <w:rsid w:val="00391F9C"/>
    <w:rsid w:val="0039564E"/>
    <w:rsid w:val="003A325B"/>
    <w:rsid w:val="003B1D4A"/>
    <w:rsid w:val="003B61A8"/>
    <w:rsid w:val="003B6F87"/>
    <w:rsid w:val="003C0B2F"/>
    <w:rsid w:val="003C3042"/>
    <w:rsid w:val="003C3971"/>
    <w:rsid w:val="003D0A27"/>
    <w:rsid w:val="003D1FF3"/>
    <w:rsid w:val="003D24BE"/>
    <w:rsid w:val="003D78B5"/>
    <w:rsid w:val="003E3A2F"/>
    <w:rsid w:val="003E6B06"/>
    <w:rsid w:val="003F17A2"/>
    <w:rsid w:val="004017CD"/>
    <w:rsid w:val="00406504"/>
    <w:rsid w:val="00416B4C"/>
    <w:rsid w:val="004239C7"/>
    <w:rsid w:val="00424BFB"/>
    <w:rsid w:val="00430300"/>
    <w:rsid w:val="0044319A"/>
    <w:rsid w:val="004567B2"/>
    <w:rsid w:val="004578BF"/>
    <w:rsid w:val="00460E9A"/>
    <w:rsid w:val="00467D21"/>
    <w:rsid w:val="00471205"/>
    <w:rsid w:val="0048222D"/>
    <w:rsid w:val="00483704"/>
    <w:rsid w:val="00484924"/>
    <w:rsid w:val="00484A55"/>
    <w:rsid w:val="0049759D"/>
    <w:rsid w:val="004A2AB5"/>
    <w:rsid w:val="004A4210"/>
    <w:rsid w:val="004A6B7A"/>
    <w:rsid w:val="004B022E"/>
    <w:rsid w:val="004B2A94"/>
    <w:rsid w:val="004B372C"/>
    <w:rsid w:val="004B5078"/>
    <w:rsid w:val="004C43A9"/>
    <w:rsid w:val="004C7CD6"/>
    <w:rsid w:val="004D0830"/>
    <w:rsid w:val="004D1267"/>
    <w:rsid w:val="004D3578"/>
    <w:rsid w:val="004D592E"/>
    <w:rsid w:val="004E0C1D"/>
    <w:rsid w:val="004E213A"/>
    <w:rsid w:val="004E29CC"/>
    <w:rsid w:val="004E6256"/>
    <w:rsid w:val="004F24CF"/>
    <w:rsid w:val="004F49A2"/>
    <w:rsid w:val="004F4D5A"/>
    <w:rsid w:val="00502EC4"/>
    <w:rsid w:val="00504C93"/>
    <w:rsid w:val="0050539E"/>
    <w:rsid w:val="00506566"/>
    <w:rsid w:val="005100AA"/>
    <w:rsid w:val="00513292"/>
    <w:rsid w:val="00534AD0"/>
    <w:rsid w:val="00534E1E"/>
    <w:rsid w:val="00536BFD"/>
    <w:rsid w:val="00537C57"/>
    <w:rsid w:val="00543E6C"/>
    <w:rsid w:val="00546F61"/>
    <w:rsid w:val="0055578E"/>
    <w:rsid w:val="005572B1"/>
    <w:rsid w:val="00562810"/>
    <w:rsid w:val="005632B4"/>
    <w:rsid w:val="005632D6"/>
    <w:rsid w:val="00565087"/>
    <w:rsid w:val="00565114"/>
    <w:rsid w:val="00567D27"/>
    <w:rsid w:val="00582579"/>
    <w:rsid w:val="00584EBD"/>
    <w:rsid w:val="00590733"/>
    <w:rsid w:val="00592A9D"/>
    <w:rsid w:val="00594E26"/>
    <w:rsid w:val="005A3E19"/>
    <w:rsid w:val="005B1BCE"/>
    <w:rsid w:val="005B3C73"/>
    <w:rsid w:val="005B4A0A"/>
    <w:rsid w:val="005B5661"/>
    <w:rsid w:val="005C2897"/>
    <w:rsid w:val="005C7173"/>
    <w:rsid w:val="005D0FE7"/>
    <w:rsid w:val="005D2E01"/>
    <w:rsid w:val="005D3EE8"/>
    <w:rsid w:val="005E2BC5"/>
    <w:rsid w:val="005F6929"/>
    <w:rsid w:val="00601CF5"/>
    <w:rsid w:val="00605C40"/>
    <w:rsid w:val="00612061"/>
    <w:rsid w:val="00614FDF"/>
    <w:rsid w:val="0062029D"/>
    <w:rsid w:val="00625621"/>
    <w:rsid w:val="0062745C"/>
    <w:rsid w:val="00627C19"/>
    <w:rsid w:val="006437A9"/>
    <w:rsid w:val="00652641"/>
    <w:rsid w:val="00656941"/>
    <w:rsid w:val="00660B58"/>
    <w:rsid w:val="006639DB"/>
    <w:rsid w:val="0066618D"/>
    <w:rsid w:val="006672D8"/>
    <w:rsid w:val="00672E83"/>
    <w:rsid w:val="006739CE"/>
    <w:rsid w:val="00673FBC"/>
    <w:rsid w:val="00674E7D"/>
    <w:rsid w:val="00680662"/>
    <w:rsid w:val="00684CE9"/>
    <w:rsid w:val="0069270D"/>
    <w:rsid w:val="006932C5"/>
    <w:rsid w:val="006A539C"/>
    <w:rsid w:val="006B7759"/>
    <w:rsid w:val="006C5F71"/>
    <w:rsid w:val="006C6DBF"/>
    <w:rsid w:val="006D1100"/>
    <w:rsid w:val="006D3DE9"/>
    <w:rsid w:val="006E08C1"/>
    <w:rsid w:val="006E59C1"/>
    <w:rsid w:val="006E5C86"/>
    <w:rsid w:val="006E74BE"/>
    <w:rsid w:val="006F1113"/>
    <w:rsid w:val="006F6F76"/>
    <w:rsid w:val="00712421"/>
    <w:rsid w:val="007148E4"/>
    <w:rsid w:val="00714AEA"/>
    <w:rsid w:val="007170B2"/>
    <w:rsid w:val="007232C8"/>
    <w:rsid w:val="0073094A"/>
    <w:rsid w:val="00731BBB"/>
    <w:rsid w:val="00734A5B"/>
    <w:rsid w:val="0073614B"/>
    <w:rsid w:val="00737C72"/>
    <w:rsid w:val="0074073D"/>
    <w:rsid w:val="00741728"/>
    <w:rsid w:val="00741F54"/>
    <w:rsid w:val="00744E76"/>
    <w:rsid w:val="00754CF2"/>
    <w:rsid w:val="007577CB"/>
    <w:rsid w:val="007617E8"/>
    <w:rsid w:val="00765733"/>
    <w:rsid w:val="00765F2B"/>
    <w:rsid w:val="00766AAE"/>
    <w:rsid w:val="00771315"/>
    <w:rsid w:val="00781F0F"/>
    <w:rsid w:val="00784A60"/>
    <w:rsid w:val="00787E30"/>
    <w:rsid w:val="00790166"/>
    <w:rsid w:val="00792199"/>
    <w:rsid w:val="007A0F21"/>
    <w:rsid w:val="007A2E78"/>
    <w:rsid w:val="007B0EDF"/>
    <w:rsid w:val="007B4A73"/>
    <w:rsid w:val="007B5DA4"/>
    <w:rsid w:val="007B7DAA"/>
    <w:rsid w:val="007C4C45"/>
    <w:rsid w:val="007C7AA3"/>
    <w:rsid w:val="007D03E9"/>
    <w:rsid w:val="007D43B5"/>
    <w:rsid w:val="007D4A0E"/>
    <w:rsid w:val="007D6D7B"/>
    <w:rsid w:val="007D7FC4"/>
    <w:rsid w:val="007E56E2"/>
    <w:rsid w:val="007F248D"/>
    <w:rsid w:val="007F52D4"/>
    <w:rsid w:val="008016C0"/>
    <w:rsid w:val="008028A4"/>
    <w:rsid w:val="00803996"/>
    <w:rsid w:val="00804D36"/>
    <w:rsid w:val="00805820"/>
    <w:rsid w:val="00807B88"/>
    <w:rsid w:val="008138E9"/>
    <w:rsid w:val="00816617"/>
    <w:rsid w:val="00821F33"/>
    <w:rsid w:val="008220EE"/>
    <w:rsid w:val="008235E6"/>
    <w:rsid w:val="00825894"/>
    <w:rsid w:val="00826E23"/>
    <w:rsid w:val="00826F97"/>
    <w:rsid w:val="0083081F"/>
    <w:rsid w:val="008323B1"/>
    <w:rsid w:val="00833E39"/>
    <w:rsid w:val="008340B9"/>
    <w:rsid w:val="008345C0"/>
    <w:rsid w:val="00835EF2"/>
    <w:rsid w:val="00843454"/>
    <w:rsid w:val="00850C95"/>
    <w:rsid w:val="00865AC9"/>
    <w:rsid w:val="008671E2"/>
    <w:rsid w:val="00870234"/>
    <w:rsid w:val="00872E34"/>
    <w:rsid w:val="008739CA"/>
    <w:rsid w:val="008768CA"/>
    <w:rsid w:val="00876AFC"/>
    <w:rsid w:val="008813FF"/>
    <w:rsid w:val="00882C47"/>
    <w:rsid w:val="008877E6"/>
    <w:rsid w:val="00892BE5"/>
    <w:rsid w:val="00894116"/>
    <w:rsid w:val="0089637D"/>
    <w:rsid w:val="008A76F7"/>
    <w:rsid w:val="008A7D7F"/>
    <w:rsid w:val="008B10DB"/>
    <w:rsid w:val="008B534E"/>
    <w:rsid w:val="008B735F"/>
    <w:rsid w:val="008C0085"/>
    <w:rsid w:val="008C2529"/>
    <w:rsid w:val="008C36FE"/>
    <w:rsid w:val="008C42D5"/>
    <w:rsid w:val="008D345F"/>
    <w:rsid w:val="008D6617"/>
    <w:rsid w:val="008F6912"/>
    <w:rsid w:val="008F7D4F"/>
    <w:rsid w:val="00900A88"/>
    <w:rsid w:val="0090271F"/>
    <w:rsid w:val="00902E23"/>
    <w:rsid w:val="00904CFF"/>
    <w:rsid w:val="0090598A"/>
    <w:rsid w:val="00907978"/>
    <w:rsid w:val="0091348E"/>
    <w:rsid w:val="00917CCB"/>
    <w:rsid w:val="0092094B"/>
    <w:rsid w:val="00921211"/>
    <w:rsid w:val="00921B9C"/>
    <w:rsid w:val="009228DF"/>
    <w:rsid w:val="00924015"/>
    <w:rsid w:val="0092774C"/>
    <w:rsid w:val="00932589"/>
    <w:rsid w:val="0093549B"/>
    <w:rsid w:val="00935DA4"/>
    <w:rsid w:val="00942EC2"/>
    <w:rsid w:val="00944C13"/>
    <w:rsid w:val="00946F91"/>
    <w:rsid w:val="00950F42"/>
    <w:rsid w:val="009530D5"/>
    <w:rsid w:val="00954280"/>
    <w:rsid w:val="00957963"/>
    <w:rsid w:val="009659F9"/>
    <w:rsid w:val="00967E0C"/>
    <w:rsid w:val="00970BB5"/>
    <w:rsid w:val="00974355"/>
    <w:rsid w:val="00974ADD"/>
    <w:rsid w:val="00975BA7"/>
    <w:rsid w:val="009812DF"/>
    <w:rsid w:val="009A26D1"/>
    <w:rsid w:val="009A2D2D"/>
    <w:rsid w:val="009B13F6"/>
    <w:rsid w:val="009B5100"/>
    <w:rsid w:val="009C48F3"/>
    <w:rsid w:val="009D46AF"/>
    <w:rsid w:val="009D4E7C"/>
    <w:rsid w:val="009E07A2"/>
    <w:rsid w:val="009E41A1"/>
    <w:rsid w:val="009F30D9"/>
    <w:rsid w:val="009F37B7"/>
    <w:rsid w:val="009F5DE3"/>
    <w:rsid w:val="009F699D"/>
    <w:rsid w:val="009F73FD"/>
    <w:rsid w:val="00A0126D"/>
    <w:rsid w:val="00A10F02"/>
    <w:rsid w:val="00A164B4"/>
    <w:rsid w:val="00A20C1F"/>
    <w:rsid w:val="00A25ED7"/>
    <w:rsid w:val="00A42288"/>
    <w:rsid w:val="00A470CF"/>
    <w:rsid w:val="00A52798"/>
    <w:rsid w:val="00A53724"/>
    <w:rsid w:val="00A53B95"/>
    <w:rsid w:val="00A56022"/>
    <w:rsid w:val="00A62FA3"/>
    <w:rsid w:val="00A6396C"/>
    <w:rsid w:val="00A6421D"/>
    <w:rsid w:val="00A64441"/>
    <w:rsid w:val="00A6790B"/>
    <w:rsid w:val="00A70799"/>
    <w:rsid w:val="00A80FD4"/>
    <w:rsid w:val="00A82346"/>
    <w:rsid w:val="00A85675"/>
    <w:rsid w:val="00AA1743"/>
    <w:rsid w:val="00AB0936"/>
    <w:rsid w:val="00AB0B6C"/>
    <w:rsid w:val="00AB510D"/>
    <w:rsid w:val="00AC17A1"/>
    <w:rsid w:val="00AD1828"/>
    <w:rsid w:val="00AE0DC6"/>
    <w:rsid w:val="00AE5288"/>
    <w:rsid w:val="00AF09C5"/>
    <w:rsid w:val="00B01C7B"/>
    <w:rsid w:val="00B02E84"/>
    <w:rsid w:val="00B06E02"/>
    <w:rsid w:val="00B1355D"/>
    <w:rsid w:val="00B14246"/>
    <w:rsid w:val="00B1488F"/>
    <w:rsid w:val="00B150BA"/>
    <w:rsid w:val="00B15449"/>
    <w:rsid w:val="00B16C5F"/>
    <w:rsid w:val="00B3256F"/>
    <w:rsid w:val="00B4417A"/>
    <w:rsid w:val="00B476B7"/>
    <w:rsid w:val="00B52A2A"/>
    <w:rsid w:val="00B52A7A"/>
    <w:rsid w:val="00B56F92"/>
    <w:rsid w:val="00B57386"/>
    <w:rsid w:val="00B619C8"/>
    <w:rsid w:val="00B844D1"/>
    <w:rsid w:val="00B92982"/>
    <w:rsid w:val="00B93550"/>
    <w:rsid w:val="00B96C0C"/>
    <w:rsid w:val="00B96F16"/>
    <w:rsid w:val="00B97F01"/>
    <w:rsid w:val="00BA666B"/>
    <w:rsid w:val="00BA77B7"/>
    <w:rsid w:val="00BB1E98"/>
    <w:rsid w:val="00BB255C"/>
    <w:rsid w:val="00BB369E"/>
    <w:rsid w:val="00BC0F7D"/>
    <w:rsid w:val="00BC42BF"/>
    <w:rsid w:val="00BC63B4"/>
    <w:rsid w:val="00BD022A"/>
    <w:rsid w:val="00BD42A3"/>
    <w:rsid w:val="00BD4AB8"/>
    <w:rsid w:val="00BD7A49"/>
    <w:rsid w:val="00BF1095"/>
    <w:rsid w:val="00BF1C81"/>
    <w:rsid w:val="00C0443B"/>
    <w:rsid w:val="00C1362E"/>
    <w:rsid w:val="00C17A60"/>
    <w:rsid w:val="00C2183B"/>
    <w:rsid w:val="00C22491"/>
    <w:rsid w:val="00C22A93"/>
    <w:rsid w:val="00C23582"/>
    <w:rsid w:val="00C316CA"/>
    <w:rsid w:val="00C33079"/>
    <w:rsid w:val="00C371B3"/>
    <w:rsid w:val="00C45231"/>
    <w:rsid w:val="00C6035E"/>
    <w:rsid w:val="00C65B33"/>
    <w:rsid w:val="00C71B65"/>
    <w:rsid w:val="00C72833"/>
    <w:rsid w:val="00C73A95"/>
    <w:rsid w:val="00C73D87"/>
    <w:rsid w:val="00C7526A"/>
    <w:rsid w:val="00C766B1"/>
    <w:rsid w:val="00C92C8B"/>
    <w:rsid w:val="00C93F40"/>
    <w:rsid w:val="00C95508"/>
    <w:rsid w:val="00CA1441"/>
    <w:rsid w:val="00CA3B1D"/>
    <w:rsid w:val="00CA3D0C"/>
    <w:rsid w:val="00CA3D41"/>
    <w:rsid w:val="00CA47BF"/>
    <w:rsid w:val="00CA4FC0"/>
    <w:rsid w:val="00CA6310"/>
    <w:rsid w:val="00CB380A"/>
    <w:rsid w:val="00CB5650"/>
    <w:rsid w:val="00CB7B3B"/>
    <w:rsid w:val="00CB7F8C"/>
    <w:rsid w:val="00CC3F7F"/>
    <w:rsid w:val="00CC563C"/>
    <w:rsid w:val="00CC619F"/>
    <w:rsid w:val="00CC7118"/>
    <w:rsid w:val="00CC77E0"/>
    <w:rsid w:val="00CD110C"/>
    <w:rsid w:val="00CD2E52"/>
    <w:rsid w:val="00CD4DC0"/>
    <w:rsid w:val="00CD7B4A"/>
    <w:rsid w:val="00CD7C2E"/>
    <w:rsid w:val="00CF0359"/>
    <w:rsid w:val="00CF0411"/>
    <w:rsid w:val="00CF26E8"/>
    <w:rsid w:val="00D00A84"/>
    <w:rsid w:val="00D03833"/>
    <w:rsid w:val="00D05789"/>
    <w:rsid w:val="00D11B3A"/>
    <w:rsid w:val="00D13596"/>
    <w:rsid w:val="00D15384"/>
    <w:rsid w:val="00D16CE7"/>
    <w:rsid w:val="00D170C6"/>
    <w:rsid w:val="00D20872"/>
    <w:rsid w:val="00D20EAA"/>
    <w:rsid w:val="00D2544C"/>
    <w:rsid w:val="00D25720"/>
    <w:rsid w:val="00D31E2A"/>
    <w:rsid w:val="00D34918"/>
    <w:rsid w:val="00D3566D"/>
    <w:rsid w:val="00D42696"/>
    <w:rsid w:val="00D4295C"/>
    <w:rsid w:val="00D4682F"/>
    <w:rsid w:val="00D51BF2"/>
    <w:rsid w:val="00D55CBC"/>
    <w:rsid w:val="00D56778"/>
    <w:rsid w:val="00D57A67"/>
    <w:rsid w:val="00D6102C"/>
    <w:rsid w:val="00D6111C"/>
    <w:rsid w:val="00D706B8"/>
    <w:rsid w:val="00D70FD6"/>
    <w:rsid w:val="00D738D6"/>
    <w:rsid w:val="00D73B3A"/>
    <w:rsid w:val="00D755EB"/>
    <w:rsid w:val="00D75803"/>
    <w:rsid w:val="00D81BFF"/>
    <w:rsid w:val="00D87E00"/>
    <w:rsid w:val="00D90490"/>
    <w:rsid w:val="00D9134D"/>
    <w:rsid w:val="00D9283A"/>
    <w:rsid w:val="00D9546E"/>
    <w:rsid w:val="00D95546"/>
    <w:rsid w:val="00D96451"/>
    <w:rsid w:val="00D96FE8"/>
    <w:rsid w:val="00D97B92"/>
    <w:rsid w:val="00DA184D"/>
    <w:rsid w:val="00DA24B3"/>
    <w:rsid w:val="00DA2DBA"/>
    <w:rsid w:val="00DA7A03"/>
    <w:rsid w:val="00DB1818"/>
    <w:rsid w:val="00DB4C21"/>
    <w:rsid w:val="00DB52D4"/>
    <w:rsid w:val="00DB7599"/>
    <w:rsid w:val="00DC309B"/>
    <w:rsid w:val="00DC4DA2"/>
    <w:rsid w:val="00DD11B2"/>
    <w:rsid w:val="00DD277E"/>
    <w:rsid w:val="00DD63CC"/>
    <w:rsid w:val="00DE011A"/>
    <w:rsid w:val="00DE0326"/>
    <w:rsid w:val="00DE3FE6"/>
    <w:rsid w:val="00DF13E8"/>
    <w:rsid w:val="00DF2B1F"/>
    <w:rsid w:val="00DF4AD9"/>
    <w:rsid w:val="00DF62CD"/>
    <w:rsid w:val="00DF710F"/>
    <w:rsid w:val="00E046A2"/>
    <w:rsid w:val="00E05C00"/>
    <w:rsid w:val="00E06035"/>
    <w:rsid w:val="00E06C8D"/>
    <w:rsid w:val="00E1260B"/>
    <w:rsid w:val="00E13370"/>
    <w:rsid w:val="00E20AD5"/>
    <w:rsid w:val="00E20B05"/>
    <w:rsid w:val="00E27B6D"/>
    <w:rsid w:val="00E35304"/>
    <w:rsid w:val="00E41C4A"/>
    <w:rsid w:val="00E448DE"/>
    <w:rsid w:val="00E51E5F"/>
    <w:rsid w:val="00E55C32"/>
    <w:rsid w:val="00E64C32"/>
    <w:rsid w:val="00E65B4D"/>
    <w:rsid w:val="00E710FA"/>
    <w:rsid w:val="00E72121"/>
    <w:rsid w:val="00E73B83"/>
    <w:rsid w:val="00E77645"/>
    <w:rsid w:val="00E823A8"/>
    <w:rsid w:val="00E93E96"/>
    <w:rsid w:val="00E96133"/>
    <w:rsid w:val="00EA10A2"/>
    <w:rsid w:val="00EA65E1"/>
    <w:rsid w:val="00EA7C61"/>
    <w:rsid w:val="00EB784A"/>
    <w:rsid w:val="00EB7BB7"/>
    <w:rsid w:val="00EC4A25"/>
    <w:rsid w:val="00EC51F9"/>
    <w:rsid w:val="00EC5FCA"/>
    <w:rsid w:val="00ED22AF"/>
    <w:rsid w:val="00ED6612"/>
    <w:rsid w:val="00EE3279"/>
    <w:rsid w:val="00EF1994"/>
    <w:rsid w:val="00EF1FC5"/>
    <w:rsid w:val="00EF2456"/>
    <w:rsid w:val="00F00D7D"/>
    <w:rsid w:val="00F025A2"/>
    <w:rsid w:val="00F02A73"/>
    <w:rsid w:val="00F03195"/>
    <w:rsid w:val="00F04712"/>
    <w:rsid w:val="00F1055E"/>
    <w:rsid w:val="00F13694"/>
    <w:rsid w:val="00F15878"/>
    <w:rsid w:val="00F218B0"/>
    <w:rsid w:val="00F22EC7"/>
    <w:rsid w:val="00F240C2"/>
    <w:rsid w:val="00F264EF"/>
    <w:rsid w:val="00F26CEE"/>
    <w:rsid w:val="00F26E67"/>
    <w:rsid w:val="00F26E78"/>
    <w:rsid w:val="00F276AC"/>
    <w:rsid w:val="00F34952"/>
    <w:rsid w:val="00F515FF"/>
    <w:rsid w:val="00F546BD"/>
    <w:rsid w:val="00F60888"/>
    <w:rsid w:val="00F6354D"/>
    <w:rsid w:val="00F653B8"/>
    <w:rsid w:val="00F73670"/>
    <w:rsid w:val="00F74C79"/>
    <w:rsid w:val="00F838F9"/>
    <w:rsid w:val="00FA1266"/>
    <w:rsid w:val="00FA189D"/>
    <w:rsid w:val="00FA3900"/>
    <w:rsid w:val="00FA5947"/>
    <w:rsid w:val="00FC0F25"/>
    <w:rsid w:val="00FC1192"/>
    <w:rsid w:val="00FC7DAF"/>
    <w:rsid w:val="00FD6250"/>
    <w:rsid w:val="00FE11B9"/>
    <w:rsid w:val="00FE181B"/>
    <w:rsid w:val="00FE404F"/>
    <w:rsid w:val="00FE44DB"/>
    <w:rsid w:val="00FE7547"/>
    <w:rsid w:val="00FF02C2"/>
    <w:rsid w:val="00FF1F52"/>
    <w:rsid w:val="00FF4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styleId="Hyperlink">
    <w:name w:val="Hyperlink"/>
    <w:uiPriority w:val="99"/>
    <w:unhideWhenUsed/>
    <w:rsid w:val="00826E23"/>
    <w:rPr>
      <w:color w:val="0000FF"/>
      <w:u w:val="single"/>
    </w:rPr>
  </w:style>
  <w:style w:type="table" w:styleId="TableGrid">
    <w:name w:val="Table Grid"/>
    <w:basedOn w:val="TableNormal"/>
    <w:uiPriority w:val="39"/>
    <w:rsid w:val="00565114"/>
    <w:rPr>
      <w:rFonts w:ascii="Calibri" w:eastAsia="Calibri" w:hAnsi="Calibri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rsid w:val="00D70FD6"/>
    <w:pPr>
      <w:numPr>
        <w:numId w:val="7"/>
      </w:numPr>
      <w:spacing w:line="256" w:lineRule="auto"/>
    </w:pPr>
    <w:rPr>
      <w:rFonts w:ascii="Arial" w:eastAsiaTheme="minorHAnsi" w:hAnsi="Arial" w:cstheme="minorBidi"/>
      <w:sz w:val="22"/>
      <w:szCs w:val="22"/>
      <w:lang w:val="sv-SE" w:eastAsia="zh-CN"/>
    </w:rPr>
  </w:style>
  <w:style w:type="paragraph" w:styleId="NormalWeb">
    <w:name w:val="Normal (Web)"/>
    <w:basedOn w:val="Normal"/>
    <w:unhideWhenUsed/>
    <w:rsid w:val="003D1FF3"/>
    <w:pPr>
      <w:spacing w:after="160" w:line="256" w:lineRule="auto"/>
    </w:pPr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54D16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en-CA"/>
    </w:rPr>
  </w:style>
  <w:style w:type="character" w:styleId="CommentReference">
    <w:name w:val="annotation reference"/>
    <w:qFormat/>
    <w:rsid w:val="00F00D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00D7D"/>
    <w:pPr>
      <w:overflowPunct w:val="0"/>
      <w:autoSpaceDE w:val="0"/>
      <w:autoSpaceDN w:val="0"/>
      <w:adjustRightInd w:val="0"/>
      <w:textAlignment w:val="baseline"/>
    </w:pPr>
    <w:rPr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0D7D"/>
    <w:rPr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F838F9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6111C"/>
    <w:rPr>
      <w:rFonts w:ascii="Calibri" w:eastAsia="Calibri" w:hAnsi="Calibri"/>
      <w:sz w:val="22"/>
      <w:szCs w:val="22"/>
      <w:lang w:val="en-CA" w:eastAsia="en-US"/>
    </w:rPr>
  </w:style>
  <w:style w:type="paragraph" w:customStyle="1" w:styleId="Observation">
    <w:name w:val="Observation"/>
    <w:basedOn w:val="Normal"/>
    <w:qFormat/>
    <w:rsid w:val="00D6111C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7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6A31C.FA9AA96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9325A-E393-4C52-9AE0-EA9CD96A3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C8F221-8A87-4A7C-BEFE-3B28B09103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77ED88-3544-43D8-BFC2-FCF12555EF7C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EA256A7-1793-4073-A97E-B588BE11C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515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6</cp:revision>
  <dcterms:created xsi:type="dcterms:W3CDTF">2020-10-23T17:59:00Z</dcterms:created>
  <dcterms:modified xsi:type="dcterms:W3CDTF">2020-10-23T18:02:00Z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TaxKeyword">
    <vt:lpwstr>12;#keyword|11111111-1111-1111-1111-111111111111</vt:lpwstr>
  </property>
  <property fmtid="{D5CDD505-2E9C-101B-9397-08002B2CF9AE}" pid="4" name="_dlc_DocIdItemGuid">
    <vt:lpwstr>9fe8ca6f-0c19-4121-af6a-8213571afe56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