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55187D" w:rsidRPr="0055187D">
        <w:rPr>
          <w:rFonts w:ascii="Arial" w:hAnsi="Arial" w:cs="Arial"/>
          <w:b/>
          <w:sz w:val="24"/>
          <w:lang w:val="en-US" w:eastAsia="zh-CN"/>
        </w:rPr>
        <w:t>R4-2015763</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3A33" w:rsidRPr="00353A33">
        <w:rPr>
          <w:rFonts w:ascii="Arial" w:eastAsia="宋体" w:hAnsi="Arial"/>
          <w:b/>
          <w:sz w:val="24"/>
          <w:lang w:val="en-US" w:eastAsia="zh-CN"/>
        </w:rPr>
        <w:t xml:space="preserve">Discussion on accuracy requirements for </w:t>
      </w:r>
      <w:r w:rsidR="00AB3517" w:rsidRPr="00AB3517">
        <w:rPr>
          <w:rFonts w:ascii="Arial" w:eastAsia="宋体" w:hAnsi="Arial"/>
          <w:b/>
          <w:sz w:val="24"/>
          <w:lang w:val="en-US" w:eastAsia="zh-CN"/>
        </w:rPr>
        <w:t>UE Rx-Tx time difference</w:t>
      </w:r>
      <w:r w:rsidR="00AB3517" w:rsidRPr="00353A33">
        <w:rPr>
          <w:rFonts w:ascii="Arial" w:eastAsia="宋体" w:hAnsi="Arial"/>
          <w:b/>
          <w:sz w:val="24"/>
          <w:lang w:val="en-US" w:eastAsia="zh-CN"/>
        </w:rPr>
        <w:t xml:space="preserve"> </w:t>
      </w:r>
      <w:r w:rsidR="00353A33" w:rsidRPr="00353A33">
        <w:rPr>
          <w:rFonts w:ascii="Arial" w:eastAsia="宋体" w:hAnsi="Arial"/>
          <w:b/>
          <w:sz w:val="24"/>
          <w:lang w:val="en-US" w:eastAsia="zh-CN"/>
        </w:rPr>
        <w:t>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53A33">
        <w:rPr>
          <w:rFonts w:ascii="Arial" w:eastAsia="宋体" w:hAnsi="Arial"/>
          <w:b/>
          <w:sz w:val="24"/>
          <w:lang w:val="en-US" w:eastAsia="zh-CN"/>
        </w:rPr>
        <w:t>7.7.3.2.1.</w:t>
      </w:r>
      <w:r w:rsidR="00AB3517">
        <w:rPr>
          <w:rFonts w:ascii="Arial" w:eastAsia="宋体" w:hAnsi="Arial"/>
          <w:b/>
          <w:sz w:val="24"/>
          <w:lang w:val="en-US" w:eastAsia="zh-CN"/>
        </w:rPr>
        <w:t>3</w:t>
      </w:r>
    </w:p>
    <w:p w:rsidR="00070561"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8321A" w:rsidRDefault="0085258A" w:rsidP="001907C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AB3517" w:rsidRPr="00AB3517">
        <w:rPr>
          <w:rFonts w:eastAsia="宋体"/>
          <w:lang w:eastAsia="zh-CN"/>
        </w:rPr>
        <w:t xml:space="preserve">UE Rx-Tx time difference </w:t>
      </w:r>
      <w:r w:rsidR="00353A33">
        <w:rPr>
          <w:rFonts w:eastAsia="宋体"/>
          <w:lang w:eastAsia="zh-CN"/>
        </w:rPr>
        <w:t>measurements</w:t>
      </w:r>
      <w:r>
        <w:rPr>
          <w:rFonts w:eastAsia="宋体"/>
          <w:lang w:eastAsia="zh-CN"/>
        </w:rPr>
        <w:t xml:space="preserve"> h</w:t>
      </w:r>
      <w:r w:rsidR="00B849D0">
        <w:rPr>
          <w:rFonts w:eastAsia="宋体"/>
          <w:lang w:eastAsia="zh-CN"/>
        </w:rPr>
        <w:t>ave been concluded in RAN4#96-e.</w:t>
      </w:r>
      <w:r>
        <w:rPr>
          <w:rFonts w:eastAsia="宋体"/>
          <w:lang w:eastAsia="zh-CN"/>
        </w:rPr>
        <w:t xml:space="preserve"> </w:t>
      </w:r>
      <w:r w:rsidR="00353A33">
        <w:rPr>
          <w:rFonts w:eastAsia="宋体"/>
          <w:lang w:eastAsia="zh-CN"/>
        </w:rPr>
        <w:t>During the core requirement discussion, some discussions on the accuracy requirements also took place. The latest agreements are captured in [1]</w:t>
      </w:r>
      <w:r w:rsidR="00D510DE">
        <w:rPr>
          <w:rFonts w:eastAsia="宋体"/>
          <w:lang w:eastAsia="zh-CN"/>
        </w:rPr>
        <w:t xml:space="preserve"> which includes </w:t>
      </w:r>
      <w:r w:rsidR="00AB3517">
        <w:rPr>
          <w:rFonts w:eastAsia="宋体"/>
          <w:lang w:eastAsia="zh-CN"/>
        </w:rPr>
        <w:t xml:space="preserve">the following agreements and </w:t>
      </w:r>
      <w:r w:rsidR="00D510DE">
        <w:rPr>
          <w:rFonts w:eastAsia="宋体"/>
          <w:lang w:eastAsia="zh-CN"/>
        </w:rPr>
        <w:t xml:space="preserve">a number of open issues related to the side condition and accuracy for </w:t>
      </w:r>
      <w:r w:rsidR="00AB3517" w:rsidRPr="00AB3517">
        <w:rPr>
          <w:rFonts w:eastAsia="宋体"/>
          <w:lang w:eastAsia="zh-CN"/>
        </w:rPr>
        <w:t>UE Rx-Tx time difference</w:t>
      </w:r>
      <w:r w:rsidR="00D510DE">
        <w:rPr>
          <w:rFonts w:eastAsia="宋体"/>
          <w:lang w:eastAsia="zh-CN"/>
        </w:rPr>
        <w:t>.</w:t>
      </w:r>
    </w:p>
    <w:tbl>
      <w:tblPr>
        <w:tblStyle w:val="af4"/>
        <w:tblW w:w="0" w:type="auto"/>
        <w:tblLook w:val="04A0" w:firstRow="1" w:lastRow="0" w:firstColumn="1" w:lastColumn="0" w:noHBand="0" w:noVBand="1"/>
      </w:tblPr>
      <w:tblGrid>
        <w:gridCol w:w="9621"/>
      </w:tblGrid>
      <w:tr w:rsidR="00AB3517" w:rsidTr="00AB3517">
        <w:tc>
          <w:tcPr>
            <w:tcW w:w="9621" w:type="dxa"/>
          </w:tcPr>
          <w:p w:rsidR="00D02D37" w:rsidRPr="00AB3517" w:rsidRDefault="00D02D37" w:rsidP="00AB3517">
            <w:pPr>
              <w:numPr>
                <w:ilvl w:val="0"/>
                <w:numId w:val="20"/>
              </w:numPr>
              <w:overflowPunct w:val="0"/>
              <w:autoSpaceDE w:val="0"/>
              <w:autoSpaceDN w:val="0"/>
              <w:adjustRightInd w:val="0"/>
              <w:spacing w:beforeLines="0" w:before="120" w:afterLines="0" w:after="120"/>
              <w:textAlignment w:val="baseline"/>
              <w:rPr>
                <w:rFonts w:eastAsia="宋体"/>
                <w:lang w:val="en-US" w:eastAsia="zh-CN"/>
              </w:rPr>
            </w:pPr>
            <w:r w:rsidRPr="00AB3517">
              <w:rPr>
                <w:rFonts w:eastAsia="宋体"/>
                <w:lang w:val="en-US" w:eastAsia="zh-CN"/>
              </w:rPr>
              <w:t xml:space="preserve">For defining UE Rx-Tx time difference accuracy requirements, follow the same conclusion for RSTD on </w:t>
            </w:r>
          </w:p>
          <w:p w:rsidR="00D02D37" w:rsidRPr="00AB3517" w:rsidRDefault="00D02D37" w:rsidP="00AB3517">
            <w:pPr>
              <w:numPr>
                <w:ilvl w:val="1"/>
                <w:numId w:val="20"/>
              </w:numPr>
              <w:overflowPunct w:val="0"/>
              <w:autoSpaceDE w:val="0"/>
              <w:autoSpaceDN w:val="0"/>
              <w:adjustRightInd w:val="0"/>
              <w:spacing w:beforeLines="0" w:before="120" w:afterLines="0" w:after="120"/>
              <w:textAlignment w:val="baseline"/>
              <w:rPr>
                <w:rFonts w:eastAsia="宋体"/>
                <w:lang w:val="en-US" w:eastAsia="zh-CN"/>
              </w:rPr>
            </w:pPr>
            <w:r w:rsidRPr="00AB3517">
              <w:rPr>
                <w:rFonts w:eastAsia="宋体"/>
                <w:lang w:val="en-US" w:eastAsia="zh-CN"/>
              </w:rPr>
              <w:t>Number of PRS occasions or PRS repetitions for defining accuracy</w:t>
            </w:r>
          </w:p>
          <w:p w:rsidR="00D02D37" w:rsidRPr="00AB3517" w:rsidRDefault="00D02D37" w:rsidP="00AB3517">
            <w:pPr>
              <w:numPr>
                <w:ilvl w:val="1"/>
                <w:numId w:val="20"/>
              </w:numPr>
              <w:overflowPunct w:val="0"/>
              <w:autoSpaceDE w:val="0"/>
              <w:autoSpaceDN w:val="0"/>
              <w:adjustRightInd w:val="0"/>
              <w:spacing w:beforeLines="0" w:before="120" w:afterLines="0" w:after="120"/>
              <w:textAlignment w:val="baseline"/>
              <w:rPr>
                <w:rFonts w:eastAsia="宋体"/>
                <w:lang w:val="en-US" w:eastAsia="zh-CN"/>
              </w:rPr>
            </w:pPr>
            <w:r w:rsidRPr="00AB3517">
              <w:rPr>
                <w:rFonts w:eastAsia="宋体"/>
                <w:lang w:val="en-US" w:eastAsia="zh-CN"/>
              </w:rPr>
              <w:t>Whether accuracy requirements are agnostic to comb size</w:t>
            </w:r>
          </w:p>
          <w:p w:rsidR="00D02D37" w:rsidRPr="00AB3517" w:rsidRDefault="00D02D37" w:rsidP="00AB3517">
            <w:pPr>
              <w:numPr>
                <w:ilvl w:val="1"/>
                <w:numId w:val="20"/>
              </w:numPr>
              <w:overflowPunct w:val="0"/>
              <w:autoSpaceDE w:val="0"/>
              <w:autoSpaceDN w:val="0"/>
              <w:adjustRightInd w:val="0"/>
              <w:spacing w:beforeLines="0" w:before="120" w:afterLines="0" w:after="120"/>
              <w:textAlignment w:val="baseline"/>
              <w:rPr>
                <w:rFonts w:eastAsia="宋体"/>
                <w:lang w:val="en-US" w:eastAsia="zh-CN"/>
              </w:rPr>
            </w:pPr>
            <w:r w:rsidRPr="00AB3517">
              <w:rPr>
                <w:rFonts w:eastAsia="宋体"/>
                <w:lang w:val="en-US" w:eastAsia="zh-CN"/>
              </w:rPr>
              <w:t>Antenna panel assumption</w:t>
            </w:r>
          </w:p>
          <w:p w:rsidR="00AB3517" w:rsidRPr="00AB3517" w:rsidRDefault="00D02D37" w:rsidP="001907C5">
            <w:pPr>
              <w:numPr>
                <w:ilvl w:val="1"/>
                <w:numId w:val="20"/>
              </w:numPr>
              <w:overflowPunct w:val="0"/>
              <w:autoSpaceDE w:val="0"/>
              <w:autoSpaceDN w:val="0"/>
              <w:adjustRightInd w:val="0"/>
              <w:spacing w:beforeLines="0" w:before="120" w:afterLines="0" w:after="120"/>
              <w:textAlignment w:val="baseline"/>
              <w:rPr>
                <w:rFonts w:eastAsia="宋体"/>
                <w:lang w:val="en-US" w:eastAsia="zh-CN"/>
              </w:rPr>
            </w:pPr>
            <w:r w:rsidRPr="00AB3517">
              <w:rPr>
                <w:rFonts w:eastAsia="宋体"/>
                <w:lang w:val="en-US" w:eastAsia="zh-CN"/>
              </w:rPr>
              <w:t>Applicable propagation channel for accuracy requirement</w:t>
            </w:r>
          </w:p>
        </w:tc>
      </w:tr>
    </w:tbl>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5258A">
        <w:rPr>
          <w:rFonts w:eastAsia="宋体"/>
          <w:lang w:eastAsia="zh-CN"/>
        </w:rPr>
        <w:t xml:space="preserve">the </w:t>
      </w:r>
      <w:r w:rsidR="00AB3517" w:rsidRPr="00AB3517">
        <w:rPr>
          <w:rFonts w:eastAsia="宋体"/>
          <w:lang w:eastAsia="zh-CN"/>
        </w:rPr>
        <w:t>UE Rx-Tx time difference</w:t>
      </w:r>
      <w:r w:rsidR="00AB3517">
        <w:rPr>
          <w:rFonts w:eastAsia="宋体"/>
          <w:lang w:eastAsia="zh-CN"/>
        </w:rPr>
        <w:t xml:space="preserve"> </w:t>
      </w:r>
      <w:r w:rsidR="00F558C7">
        <w:rPr>
          <w:rFonts w:eastAsia="宋体"/>
          <w:lang w:eastAsia="zh-CN"/>
        </w:rPr>
        <w:t xml:space="preserve">accuracy </w:t>
      </w:r>
      <w:r w:rsidR="00AB3517">
        <w:rPr>
          <w:rFonts w:eastAsia="宋体"/>
          <w:lang w:eastAsia="zh-CN"/>
        </w:rPr>
        <w:t>requirements</w:t>
      </w:r>
      <w:r>
        <w:rPr>
          <w:rFonts w:eastAsia="宋体"/>
          <w:lang w:eastAsia="zh-CN"/>
        </w:rPr>
        <w:t>.</w:t>
      </w:r>
      <w:r w:rsidR="00974DD7">
        <w:rPr>
          <w:rFonts w:eastAsia="宋体"/>
          <w:lang w:eastAsia="zh-CN"/>
        </w:rPr>
        <w:t xml:space="preserve"> </w:t>
      </w:r>
    </w:p>
    <w:p w:rsidR="00754DE9" w:rsidRDefault="00B06084" w:rsidP="00754DE9">
      <w:pPr>
        <w:pStyle w:val="1"/>
        <w:jc w:val="both"/>
        <w:rPr>
          <w:lang w:val="en-US"/>
        </w:rPr>
      </w:pPr>
      <w:r>
        <w:rPr>
          <w:lang w:val="en-US"/>
        </w:rPr>
        <w:t>Discussion</w:t>
      </w:r>
    </w:p>
    <w:tbl>
      <w:tblPr>
        <w:tblStyle w:val="af4"/>
        <w:tblW w:w="0" w:type="auto"/>
        <w:tblLook w:val="04A0" w:firstRow="1" w:lastRow="0" w:firstColumn="1" w:lastColumn="0" w:noHBand="0" w:noVBand="1"/>
      </w:tblPr>
      <w:tblGrid>
        <w:gridCol w:w="9621"/>
      </w:tblGrid>
      <w:tr w:rsidR="00F558C7" w:rsidTr="00F558C7">
        <w:tc>
          <w:tcPr>
            <w:tcW w:w="9621" w:type="dxa"/>
          </w:tcPr>
          <w:p w:rsidR="00D02D37" w:rsidRPr="00AB3517" w:rsidRDefault="00D02D37" w:rsidP="00AB3517">
            <w:pPr>
              <w:numPr>
                <w:ilvl w:val="1"/>
                <w:numId w:val="21"/>
              </w:numPr>
              <w:spacing w:before="120" w:after="120"/>
              <w:rPr>
                <w:rFonts w:eastAsiaTheme="minorEastAsia"/>
                <w:lang w:val="en-US" w:eastAsia="zh-CN"/>
              </w:rPr>
            </w:pPr>
            <w:r w:rsidRPr="00AB3517">
              <w:rPr>
                <w:rFonts w:eastAsiaTheme="minorEastAsia"/>
                <w:lang w:val="en-US" w:eastAsia="zh-CN"/>
              </w:rPr>
              <w:t>Accuracy for serving/neighbor cells</w:t>
            </w:r>
          </w:p>
          <w:p w:rsidR="00D02D37" w:rsidRPr="00AB3517" w:rsidRDefault="00D02D37" w:rsidP="00AB3517">
            <w:pPr>
              <w:numPr>
                <w:ilvl w:val="2"/>
                <w:numId w:val="21"/>
              </w:numPr>
              <w:spacing w:before="120" w:after="120"/>
              <w:rPr>
                <w:rFonts w:eastAsiaTheme="minorEastAsia"/>
                <w:lang w:val="en-US" w:eastAsia="zh-CN"/>
              </w:rPr>
            </w:pPr>
            <w:r w:rsidRPr="00AB3517">
              <w:rPr>
                <w:rFonts w:eastAsiaTheme="minorEastAsia"/>
                <w:lang w:val="en-US" w:eastAsia="zh-CN"/>
              </w:rPr>
              <w:t>Option 1: Only one set of accuracy requirements applicable to both serving and neighbor cells to be defined</w:t>
            </w:r>
          </w:p>
          <w:p w:rsidR="00D02D37" w:rsidRPr="00AB3517" w:rsidRDefault="00D02D37" w:rsidP="00AB3517">
            <w:pPr>
              <w:numPr>
                <w:ilvl w:val="2"/>
                <w:numId w:val="21"/>
              </w:numPr>
              <w:spacing w:before="120" w:after="120"/>
              <w:rPr>
                <w:rFonts w:eastAsiaTheme="minorEastAsia"/>
                <w:lang w:val="en-US" w:eastAsia="zh-CN"/>
              </w:rPr>
            </w:pPr>
            <w:r w:rsidRPr="00AB3517">
              <w:rPr>
                <w:rFonts w:eastAsiaTheme="minorEastAsia"/>
                <w:lang w:val="en-US" w:eastAsia="zh-CN"/>
              </w:rPr>
              <w:t xml:space="preserve">Option 2: Define separate side conditions for serving and neighbor cells </w:t>
            </w:r>
          </w:p>
          <w:p w:rsidR="00D02D37" w:rsidRPr="00AB3517" w:rsidRDefault="00D02D37" w:rsidP="00AB3517">
            <w:pPr>
              <w:numPr>
                <w:ilvl w:val="3"/>
                <w:numId w:val="21"/>
              </w:numPr>
              <w:spacing w:before="120" w:after="120"/>
              <w:rPr>
                <w:rFonts w:eastAsiaTheme="minorEastAsia"/>
                <w:lang w:val="en-US" w:eastAsia="zh-CN"/>
              </w:rPr>
            </w:pPr>
            <w:r w:rsidRPr="00AB3517">
              <w:rPr>
                <w:rFonts w:eastAsiaTheme="minorEastAsia"/>
                <w:lang w:val="en-US" w:eastAsia="zh-CN"/>
              </w:rPr>
              <w:t>Serving cell side condition for UE Rx-Tx: -3 dB, for FR1 and FR2</w:t>
            </w:r>
          </w:p>
          <w:p w:rsidR="00F558C7" w:rsidRPr="00AB3517" w:rsidRDefault="00D02D37" w:rsidP="00AB3517">
            <w:pPr>
              <w:numPr>
                <w:ilvl w:val="3"/>
                <w:numId w:val="21"/>
              </w:numPr>
              <w:spacing w:before="120" w:after="120"/>
              <w:rPr>
                <w:rFonts w:eastAsiaTheme="minorEastAsia"/>
                <w:lang w:val="en-US" w:eastAsia="zh-CN"/>
              </w:rPr>
            </w:pPr>
            <w:r w:rsidRPr="00AB3517">
              <w:rPr>
                <w:rFonts w:eastAsiaTheme="minorEastAsia"/>
                <w:lang w:val="en-US" w:eastAsia="zh-CN"/>
              </w:rPr>
              <w:t>FFS: same or different requirements for serving and neighbor cells</w:t>
            </w:r>
          </w:p>
        </w:tc>
      </w:tr>
    </w:tbl>
    <w:p w:rsidR="00957211" w:rsidRDefault="00957211" w:rsidP="00957211">
      <w:pPr>
        <w:overflowPunct w:val="0"/>
        <w:autoSpaceDE w:val="0"/>
        <w:autoSpaceDN w:val="0"/>
        <w:adjustRightInd w:val="0"/>
        <w:spacing w:before="120" w:after="120"/>
        <w:textAlignment w:val="baseline"/>
        <w:rPr>
          <w:rFonts w:eastAsia="宋体"/>
          <w:lang w:val="en-US" w:eastAsia="zh-CN"/>
        </w:rPr>
      </w:pPr>
      <w:r>
        <w:rPr>
          <w:rFonts w:eastAsia="宋体"/>
          <w:lang w:val="en-US" w:eastAsia="zh-CN"/>
        </w:rPr>
        <w:t>On serving vs. neighbour for Rx-Tx time difference accuracy, in our view, one set of side condition is sufficient. As the positioning fix is based on Rx-Tx time difference measurement of multiple cells, the limiting factor is the measurement accuracy of neighbor cell. Serving cell in multi-RTT positioning is no special compared to other cells. Also, serving cell may not be the reference cell, and it may even not transmit PRS at all, so we do not see the point to define separate side condition for serving cell.</w:t>
      </w:r>
    </w:p>
    <w:p w:rsidR="00957211" w:rsidRDefault="00957211" w:rsidP="00957211">
      <w:pPr>
        <w:overflowPunct w:val="0"/>
        <w:autoSpaceDE w:val="0"/>
        <w:autoSpaceDN w:val="0"/>
        <w:adjustRightInd w:val="0"/>
        <w:spacing w:before="120" w:after="120"/>
        <w:textAlignment w:val="baseline"/>
        <w:rPr>
          <w:rFonts w:eastAsia="宋体"/>
          <w:b/>
          <w:lang w:val="en-US" w:eastAsia="zh-CN"/>
        </w:rPr>
      </w:pPr>
      <w:r>
        <w:rPr>
          <w:rFonts w:eastAsia="宋体"/>
          <w:b/>
          <w:lang w:val="en-US" w:eastAsia="zh-CN"/>
        </w:rPr>
        <w:t>Proposal 1: RAN4 to specify one set of accuracy requirements for UE Rx-Tx time difference based on side conditions for neighbor cells.</w:t>
      </w:r>
    </w:p>
    <w:tbl>
      <w:tblPr>
        <w:tblStyle w:val="af4"/>
        <w:tblW w:w="0" w:type="auto"/>
        <w:tblLook w:val="04A0" w:firstRow="1" w:lastRow="0" w:firstColumn="1" w:lastColumn="0" w:noHBand="0" w:noVBand="1"/>
      </w:tblPr>
      <w:tblGrid>
        <w:gridCol w:w="9621"/>
      </w:tblGrid>
      <w:tr w:rsidR="00957211" w:rsidTr="00957211">
        <w:tc>
          <w:tcPr>
            <w:tcW w:w="9621" w:type="dxa"/>
          </w:tcPr>
          <w:p w:rsidR="00D02D37" w:rsidRPr="00957211" w:rsidRDefault="00D02D37" w:rsidP="00957211">
            <w:pPr>
              <w:numPr>
                <w:ilvl w:val="1"/>
                <w:numId w:val="22"/>
              </w:numPr>
              <w:spacing w:before="120" w:after="120"/>
              <w:rPr>
                <w:rFonts w:eastAsia="宋体"/>
                <w:lang w:val="en-US" w:eastAsia="zh-CN"/>
              </w:rPr>
            </w:pPr>
            <w:r w:rsidRPr="00957211">
              <w:rPr>
                <w:rFonts w:eastAsia="宋体"/>
                <w:lang w:val="en-US" w:eastAsia="zh-CN"/>
              </w:rPr>
              <w:t>Rx-Tx calibration error budget at UE and gNB</w:t>
            </w:r>
          </w:p>
          <w:p w:rsidR="00D02D37" w:rsidRPr="00957211" w:rsidRDefault="00D02D37" w:rsidP="00957211">
            <w:pPr>
              <w:numPr>
                <w:ilvl w:val="2"/>
                <w:numId w:val="22"/>
              </w:numPr>
              <w:spacing w:before="120" w:after="120"/>
              <w:rPr>
                <w:rFonts w:eastAsia="宋体"/>
                <w:lang w:val="en-US" w:eastAsia="zh-CN"/>
              </w:rPr>
            </w:pPr>
            <w:r w:rsidRPr="00957211">
              <w:rPr>
                <w:rFonts w:eastAsia="宋体"/>
                <w:lang w:val="en-US" w:eastAsia="zh-CN"/>
              </w:rPr>
              <w:t>Option 1: The Rx-Tx calibration error budget at UE and gNB shall be defined to be of the same scale.</w:t>
            </w:r>
          </w:p>
          <w:p w:rsidR="00957211" w:rsidRPr="00957211" w:rsidRDefault="00D02D37" w:rsidP="00F558C7">
            <w:pPr>
              <w:numPr>
                <w:ilvl w:val="2"/>
                <w:numId w:val="22"/>
              </w:numPr>
              <w:spacing w:before="120" w:after="120"/>
              <w:rPr>
                <w:rFonts w:eastAsia="宋体"/>
                <w:lang w:val="en-US" w:eastAsia="zh-CN"/>
              </w:rPr>
            </w:pPr>
            <w:r w:rsidRPr="00957211">
              <w:rPr>
                <w:rFonts w:eastAsia="宋体"/>
                <w:lang w:val="en-US" w:eastAsia="zh-CN"/>
              </w:rPr>
              <w:t>Option 2: FFS in Performance part</w:t>
            </w:r>
          </w:p>
        </w:tc>
      </w:tr>
    </w:tbl>
    <w:p w:rsidR="00957211" w:rsidRDefault="00957211" w:rsidP="00F558C7">
      <w:pPr>
        <w:spacing w:before="120" w:after="120"/>
        <w:rPr>
          <w:rFonts w:eastAsia="宋体"/>
          <w:lang w:val="en-US" w:eastAsia="zh-CN"/>
        </w:rPr>
      </w:pPr>
      <w:r>
        <w:rPr>
          <w:rFonts w:eastAsia="宋体"/>
          <w:lang w:val="en-US" w:eastAsia="zh-CN"/>
        </w:rPr>
        <w:lastRenderedPageBreak/>
        <w:t xml:space="preserve">As discussed earlier </w:t>
      </w:r>
      <w:r>
        <w:rPr>
          <w:rFonts w:eastAsia="宋体" w:hint="eastAsia"/>
          <w:lang w:val="en-US" w:eastAsia="zh-CN"/>
        </w:rPr>
        <w:t>f</w:t>
      </w:r>
      <w:r>
        <w:rPr>
          <w:rFonts w:eastAsia="宋体"/>
          <w:lang w:val="en-US" w:eastAsia="zh-CN"/>
        </w:rPr>
        <w:t xml:space="preserve">or the reference point, the calibration error of the group delay (between UE antenna and UE baseband) needs to be considered in the accuracy, e.g. as a margin. For UE Rx-Tx, the calibration error on the Rx chain and the on the </w:t>
      </w:r>
      <w:proofErr w:type="gramStart"/>
      <w:r>
        <w:rPr>
          <w:rFonts w:eastAsia="宋体"/>
          <w:lang w:val="en-US" w:eastAsia="zh-CN"/>
        </w:rPr>
        <w:t>Tx</w:t>
      </w:r>
      <w:proofErr w:type="gramEnd"/>
      <w:r>
        <w:rPr>
          <w:rFonts w:eastAsia="宋体"/>
          <w:lang w:val="en-US" w:eastAsia="zh-CN"/>
        </w:rPr>
        <w:t xml:space="preserve"> chain will add up in the final measurement results, and the exact value of the total margin need to be determined based on UE vendors’ input. </w:t>
      </w:r>
    </w:p>
    <w:p w:rsidR="00957211" w:rsidRDefault="00957211" w:rsidP="00F558C7">
      <w:pPr>
        <w:spacing w:before="120" w:after="120"/>
        <w:rPr>
          <w:rFonts w:eastAsia="宋体"/>
          <w:lang w:val="en-US" w:eastAsia="zh-CN"/>
        </w:rPr>
      </w:pPr>
      <w:r>
        <w:rPr>
          <w:rFonts w:eastAsia="宋体"/>
          <w:lang w:val="en-US" w:eastAsia="zh-CN"/>
        </w:rPr>
        <w:t xml:space="preserve">The same margin needs to be discussed for gNB Rx-Tx. However, we do not see a clear reason why the calibration error for UE and for </w:t>
      </w:r>
      <w:r w:rsidR="00D02D37">
        <w:rPr>
          <w:rFonts w:eastAsia="宋体"/>
          <w:lang w:val="en-US" w:eastAsia="zh-CN"/>
        </w:rPr>
        <w:t xml:space="preserve">gNB should be </w:t>
      </w:r>
      <w:r>
        <w:rPr>
          <w:rFonts w:eastAsia="宋体"/>
          <w:lang w:val="en-US" w:eastAsia="zh-CN"/>
        </w:rPr>
        <w:t xml:space="preserve">of the same </w:t>
      </w:r>
      <w:r w:rsidR="00D02D37">
        <w:rPr>
          <w:rFonts w:eastAsia="宋体"/>
          <w:lang w:val="en-US" w:eastAsia="zh-CN"/>
        </w:rPr>
        <w:t xml:space="preserve">scale. In our view, they need to be separately discussed for UE and gNB respectively, and they could be of different scale due to differences in architecture and calibration process. </w:t>
      </w:r>
    </w:p>
    <w:p w:rsidR="00D02D37" w:rsidRPr="00D02D37" w:rsidRDefault="00D02D37" w:rsidP="00D02D37">
      <w:pPr>
        <w:spacing w:before="120" w:after="120"/>
        <w:rPr>
          <w:rFonts w:eastAsiaTheme="minorEastAsia"/>
          <w:b/>
          <w:lang w:val="en-US" w:eastAsia="zh-CN"/>
        </w:rPr>
      </w:pPr>
      <w:r w:rsidRPr="00D02D37">
        <w:rPr>
          <w:rFonts w:eastAsia="宋体"/>
          <w:b/>
          <w:lang w:val="en-US" w:eastAsia="zh-CN"/>
        </w:rPr>
        <w:t xml:space="preserve">Proposal 2: </w:t>
      </w:r>
      <w:r w:rsidRPr="00D02D37">
        <w:rPr>
          <w:rFonts w:eastAsiaTheme="minorEastAsia"/>
          <w:b/>
          <w:lang w:val="en-US" w:eastAsia="zh-CN"/>
        </w:rPr>
        <w:t xml:space="preserve">RAN4 to decide on the margin to account for the group delay calibration error for </w:t>
      </w:r>
      <w:r>
        <w:rPr>
          <w:rFonts w:eastAsiaTheme="minorEastAsia"/>
          <w:b/>
          <w:lang w:val="en-US" w:eastAsia="zh-CN"/>
        </w:rPr>
        <w:t>both</w:t>
      </w:r>
      <w:r w:rsidRPr="00D02D37">
        <w:rPr>
          <w:rFonts w:eastAsiaTheme="minorEastAsia"/>
          <w:b/>
          <w:lang w:val="en-US" w:eastAsia="zh-CN"/>
        </w:rPr>
        <w:t xml:space="preserve"> Rx chain and </w:t>
      </w:r>
      <w:proofErr w:type="gramStart"/>
      <w:r w:rsidRPr="00D02D37">
        <w:rPr>
          <w:rFonts w:eastAsiaTheme="minorEastAsia"/>
          <w:b/>
          <w:lang w:val="en-US" w:eastAsia="zh-CN"/>
        </w:rPr>
        <w:t>Tx</w:t>
      </w:r>
      <w:proofErr w:type="gramEnd"/>
      <w:r w:rsidRPr="00D02D37">
        <w:rPr>
          <w:rFonts w:eastAsiaTheme="minorEastAsia"/>
          <w:b/>
          <w:lang w:val="en-US" w:eastAsia="zh-CN"/>
        </w:rPr>
        <w:t xml:space="preserve"> chain</w:t>
      </w:r>
      <w:r>
        <w:rPr>
          <w:rFonts w:eastAsiaTheme="minorEastAsia"/>
          <w:b/>
          <w:lang w:val="en-US" w:eastAsia="zh-CN"/>
        </w:rPr>
        <w:t xml:space="preserve"> for UE Rx-Tx</w:t>
      </w:r>
      <w:r w:rsidRPr="00D02D37">
        <w:rPr>
          <w:rFonts w:eastAsiaTheme="minorEastAsia" w:hint="eastAsia"/>
          <w:b/>
          <w:lang w:val="en-US" w:eastAsia="zh-CN"/>
        </w:rPr>
        <w:t>.</w:t>
      </w:r>
      <w:r>
        <w:rPr>
          <w:rFonts w:eastAsiaTheme="minorEastAsia"/>
          <w:b/>
          <w:lang w:val="en-US" w:eastAsia="zh-CN"/>
        </w:rPr>
        <w:t xml:space="preserve"> The same margin should be discussed for gNB separately. </w:t>
      </w:r>
      <w:r w:rsidRPr="00D02D37">
        <w:rPr>
          <w:rFonts w:eastAsiaTheme="minorEastAsia"/>
          <w:b/>
          <w:lang w:val="en-US" w:eastAsia="zh-CN"/>
        </w:rPr>
        <w:t xml:space="preserve"> </w:t>
      </w:r>
    </w:p>
    <w:tbl>
      <w:tblPr>
        <w:tblStyle w:val="af4"/>
        <w:tblW w:w="0" w:type="auto"/>
        <w:tblLook w:val="04A0" w:firstRow="1" w:lastRow="0" w:firstColumn="1" w:lastColumn="0" w:noHBand="0" w:noVBand="1"/>
      </w:tblPr>
      <w:tblGrid>
        <w:gridCol w:w="9621"/>
      </w:tblGrid>
      <w:tr w:rsidR="00D02D37" w:rsidTr="00D02D37">
        <w:tc>
          <w:tcPr>
            <w:tcW w:w="9621" w:type="dxa"/>
          </w:tcPr>
          <w:p w:rsidR="00D02D37" w:rsidRPr="00D02D37" w:rsidRDefault="00D02D37" w:rsidP="00D02D37">
            <w:pPr>
              <w:numPr>
                <w:ilvl w:val="1"/>
                <w:numId w:val="23"/>
              </w:numPr>
              <w:spacing w:before="120" w:after="120"/>
              <w:rPr>
                <w:rFonts w:eastAsia="宋体"/>
                <w:lang w:val="en-US" w:eastAsia="zh-CN"/>
              </w:rPr>
            </w:pPr>
            <w:r w:rsidRPr="00D02D37">
              <w:rPr>
                <w:rFonts w:eastAsia="宋体"/>
                <w:lang w:val="en-US" w:eastAsia="zh-CN"/>
              </w:rPr>
              <w:t>Applicability of accuracy requirements in case of HO</w:t>
            </w:r>
          </w:p>
          <w:p w:rsidR="00D02D37" w:rsidRPr="00D02D37" w:rsidRDefault="00D02D37" w:rsidP="00D02D37">
            <w:pPr>
              <w:numPr>
                <w:ilvl w:val="2"/>
                <w:numId w:val="23"/>
              </w:numPr>
              <w:spacing w:before="120" w:after="120"/>
              <w:rPr>
                <w:rFonts w:eastAsia="宋体"/>
                <w:lang w:val="en-US" w:eastAsia="zh-CN"/>
              </w:rPr>
            </w:pPr>
            <w:r w:rsidRPr="00D02D37">
              <w:rPr>
                <w:rFonts w:eastAsia="宋体"/>
                <w:lang w:val="en-US" w:eastAsia="zh-CN"/>
              </w:rPr>
              <w:t>Option 1: UE Rx-Tx time difference accuracy requirements do not apply with HO during the measurement period.</w:t>
            </w:r>
          </w:p>
          <w:p w:rsidR="00D02D37" w:rsidRPr="00D02D37" w:rsidRDefault="00D02D37" w:rsidP="00F558C7">
            <w:pPr>
              <w:numPr>
                <w:ilvl w:val="2"/>
                <w:numId w:val="23"/>
              </w:numPr>
              <w:spacing w:before="120" w:after="120"/>
              <w:rPr>
                <w:rFonts w:eastAsia="宋体"/>
                <w:lang w:val="en-US" w:eastAsia="zh-CN"/>
              </w:rPr>
            </w:pPr>
            <w:r w:rsidRPr="00D02D37">
              <w:rPr>
                <w:rFonts w:eastAsia="宋体"/>
                <w:lang w:val="en-US" w:eastAsia="zh-CN"/>
              </w:rPr>
              <w:t>Option 2: Define the applicable accuracy requirements for UE Rx-Tx measurements under cell change, considering the cases of intra-frequency HO and inter-frequency HO</w:t>
            </w:r>
          </w:p>
        </w:tc>
      </w:tr>
    </w:tbl>
    <w:p w:rsidR="00D02D37" w:rsidRDefault="00D02D37" w:rsidP="00D02D37">
      <w:pPr>
        <w:overflowPunct w:val="0"/>
        <w:autoSpaceDE w:val="0"/>
        <w:autoSpaceDN w:val="0"/>
        <w:adjustRightInd w:val="0"/>
        <w:spacing w:before="120" w:after="120"/>
        <w:textAlignment w:val="baseline"/>
        <w:rPr>
          <w:rFonts w:eastAsia="宋体"/>
          <w:lang w:val="en-US" w:eastAsia="zh-CN"/>
        </w:rPr>
      </w:pPr>
      <w:r>
        <w:rPr>
          <w:rFonts w:eastAsia="宋体"/>
          <w:lang w:val="en-US" w:eastAsia="zh-CN"/>
        </w:rPr>
        <w:t xml:space="preserve">It is agreed in RAN4#95-e that UE Rx-Tx time difference accuracy requirements do not apply under TA change during the measurement period, and the same is also agreed for the gNB Rx-Tx time difference. </w:t>
      </w:r>
    </w:p>
    <w:p w:rsidR="00D02D37" w:rsidRDefault="00D02D37" w:rsidP="00D02D37">
      <w:pPr>
        <w:overflowPunct w:val="0"/>
        <w:autoSpaceDE w:val="0"/>
        <w:autoSpaceDN w:val="0"/>
        <w:adjustRightInd w:val="0"/>
        <w:spacing w:before="120" w:after="120"/>
        <w:textAlignment w:val="baseline"/>
        <w:rPr>
          <w:rFonts w:eastAsia="宋体"/>
          <w:lang w:val="en-US" w:eastAsia="zh-CN"/>
        </w:rPr>
      </w:pPr>
      <w:r>
        <w:rPr>
          <w:rFonts w:eastAsia="宋体"/>
          <w:lang w:val="en-US" w:eastAsia="zh-CN"/>
        </w:rPr>
        <w:t>When HO occurs during the measurement period, the UE TA will also change, so following the agreement in RAN4#95-e, it is straightforward that the UE Rx-Tx time difference accuracy requirements do not apply.</w:t>
      </w:r>
    </w:p>
    <w:p w:rsidR="00D02D37" w:rsidRDefault="00D02D37" w:rsidP="00D02D37">
      <w:pPr>
        <w:overflowPunct w:val="0"/>
        <w:autoSpaceDE w:val="0"/>
        <w:autoSpaceDN w:val="0"/>
        <w:adjustRightInd w:val="0"/>
        <w:spacing w:before="120" w:after="120"/>
        <w:textAlignment w:val="baseline"/>
        <w:rPr>
          <w:rFonts w:eastAsia="宋体"/>
          <w:b/>
          <w:lang w:val="en-US" w:eastAsia="zh-CN"/>
        </w:rPr>
      </w:pPr>
      <w:r>
        <w:rPr>
          <w:rFonts w:eastAsia="宋体"/>
          <w:b/>
          <w:lang w:val="en-US" w:eastAsia="zh-CN"/>
        </w:rPr>
        <w:t>Proposal 3: UE Rx-Tx time difference accuracy requirements do not apply with HO during the measurement period.</w:t>
      </w:r>
    </w:p>
    <w:tbl>
      <w:tblPr>
        <w:tblStyle w:val="af4"/>
        <w:tblW w:w="0" w:type="auto"/>
        <w:tblLook w:val="04A0" w:firstRow="1" w:lastRow="0" w:firstColumn="1" w:lastColumn="0" w:noHBand="0" w:noVBand="1"/>
      </w:tblPr>
      <w:tblGrid>
        <w:gridCol w:w="9621"/>
      </w:tblGrid>
      <w:tr w:rsidR="00D02D37" w:rsidTr="00D02D37">
        <w:tc>
          <w:tcPr>
            <w:tcW w:w="9621" w:type="dxa"/>
          </w:tcPr>
          <w:p w:rsidR="00D02D37" w:rsidRPr="00D02D37" w:rsidRDefault="00D02D37" w:rsidP="00D02D37">
            <w:pPr>
              <w:numPr>
                <w:ilvl w:val="1"/>
                <w:numId w:val="24"/>
              </w:numPr>
              <w:spacing w:before="120" w:after="120"/>
              <w:rPr>
                <w:rFonts w:eastAsia="宋体"/>
                <w:lang w:val="en-US" w:eastAsia="zh-CN"/>
              </w:rPr>
            </w:pPr>
            <w:r w:rsidRPr="00D02D37">
              <w:rPr>
                <w:rFonts w:eastAsia="宋体"/>
                <w:lang w:val="en-US" w:eastAsia="zh-CN"/>
              </w:rPr>
              <w:t>Applicability of accuracy requirements in case of N</w:t>
            </w:r>
            <w:r w:rsidRPr="00D02D37">
              <w:rPr>
                <w:rFonts w:eastAsia="宋体"/>
                <w:vertAlign w:val="subscript"/>
                <w:lang w:val="en-US" w:eastAsia="zh-CN"/>
              </w:rPr>
              <w:t>TA_offset</w:t>
            </w:r>
            <w:r w:rsidRPr="00D02D37">
              <w:rPr>
                <w:rFonts w:eastAsia="宋体"/>
                <w:lang w:val="en-US" w:eastAsia="zh-CN"/>
              </w:rPr>
              <w:t xml:space="preserve"> change</w:t>
            </w:r>
          </w:p>
          <w:p w:rsidR="00D02D37" w:rsidRPr="00D02D37" w:rsidRDefault="00D02D37" w:rsidP="00D02D37">
            <w:pPr>
              <w:numPr>
                <w:ilvl w:val="2"/>
                <w:numId w:val="24"/>
              </w:numPr>
              <w:spacing w:before="120" w:after="120"/>
              <w:rPr>
                <w:rFonts w:eastAsia="宋体"/>
                <w:lang w:val="en-US" w:eastAsia="zh-CN"/>
              </w:rPr>
            </w:pPr>
            <w:r w:rsidRPr="00D02D37">
              <w:rPr>
                <w:rFonts w:eastAsia="宋体"/>
                <w:lang w:val="en-US" w:eastAsia="zh-CN"/>
              </w:rPr>
              <w:t>Option 1: RAN4 not to capture applicability of UE Rx-Tx time difference accuracy requirements under N</w:t>
            </w:r>
            <w:r w:rsidRPr="00D02D37">
              <w:rPr>
                <w:rFonts w:eastAsia="宋体"/>
                <w:vertAlign w:val="subscript"/>
                <w:lang w:val="en-US" w:eastAsia="zh-CN"/>
              </w:rPr>
              <w:t>TA_offset</w:t>
            </w:r>
            <w:r w:rsidRPr="00D02D37">
              <w:rPr>
                <w:rFonts w:eastAsia="宋体"/>
                <w:lang w:val="en-US" w:eastAsia="zh-CN"/>
              </w:rPr>
              <w:t xml:space="preserve"> change during the measurement period</w:t>
            </w:r>
          </w:p>
          <w:p w:rsidR="00D02D37" w:rsidRPr="00D02D37" w:rsidRDefault="00D02D37" w:rsidP="00F558C7">
            <w:pPr>
              <w:numPr>
                <w:ilvl w:val="2"/>
                <w:numId w:val="24"/>
              </w:numPr>
              <w:spacing w:before="120" w:after="120"/>
              <w:rPr>
                <w:rFonts w:eastAsia="宋体"/>
                <w:lang w:val="en-US" w:eastAsia="zh-CN"/>
              </w:rPr>
            </w:pPr>
            <w:r w:rsidRPr="00D02D37">
              <w:rPr>
                <w:rFonts w:eastAsia="宋体"/>
                <w:lang w:val="en-US" w:eastAsia="zh-CN"/>
              </w:rPr>
              <w:t>Option 2: Clarify in section 10.1.25.2 in TS 38.133: “UE Rx-Tx time difference accuracy requirements shall not apply if N</w:t>
            </w:r>
            <w:r w:rsidRPr="00D02D37">
              <w:rPr>
                <w:rFonts w:eastAsia="宋体"/>
                <w:vertAlign w:val="subscript"/>
                <w:lang w:val="en-US" w:eastAsia="zh-CN"/>
              </w:rPr>
              <w:t>TA_offset</w:t>
            </w:r>
            <w:r w:rsidRPr="00D02D37">
              <w:rPr>
                <w:rFonts w:eastAsia="宋体"/>
                <w:lang w:val="en-US" w:eastAsia="zh-CN"/>
              </w:rPr>
              <w:t xml:space="preserve"> defined in Table 7.1.2-2 in 38.133 changes during the UE Rx-Tx measurement period.”</w:t>
            </w:r>
          </w:p>
        </w:tc>
      </w:tr>
    </w:tbl>
    <w:p w:rsidR="00D02D37" w:rsidRDefault="00D02D37" w:rsidP="00D02D37">
      <w:pPr>
        <w:overflowPunct w:val="0"/>
        <w:autoSpaceDE w:val="0"/>
        <w:autoSpaceDN w:val="0"/>
        <w:adjustRightInd w:val="0"/>
        <w:spacing w:before="120" w:after="120"/>
        <w:textAlignment w:val="baseline"/>
        <w:rPr>
          <w:rFonts w:eastAsia="宋体"/>
          <w:lang w:val="en-US" w:eastAsia="zh-CN"/>
        </w:rPr>
      </w:pPr>
      <w:r>
        <w:rPr>
          <w:rFonts w:eastAsia="宋体"/>
          <w:lang w:val="en-US" w:eastAsia="zh-CN"/>
        </w:rPr>
        <w:t>When N</w:t>
      </w:r>
      <w:r>
        <w:rPr>
          <w:rFonts w:eastAsia="宋体"/>
          <w:vertAlign w:val="subscript"/>
          <w:lang w:val="en-US" w:eastAsia="zh-CN"/>
        </w:rPr>
        <w:t>TA_offset</w:t>
      </w:r>
      <w:r>
        <w:rPr>
          <w:rFonts w:eastAsia="宋体"/>
          <w:lang w:val="en-US" w:eastAsia="zh-CN"/>
        </w:rPr>
        <w:t xml:space="preserve"> changes, the UE TA, which includes the constant N</w:t>
      </w:r>
      <w:r>
        <w:rPr>
          <w:rFonts w:eastAsia="宋体"/>
          <w:vertAlign w:val="subscript"/>
          <w:lang w:val="en-US" w:eastAsia="zh-CN"/>
        </w:rPr>
        <w:t>TA_offset</w:t>
      </w:r>
      <w:r>
        <w:rPr>
          <w:rFonts w:eastAsia="宋体"/>
          <w:lang w:val="en-US" w:eastAsia="zh-CN"/>
        </w:rPr>
        <w:t xml:space="preserve"> and the gNB commanded TA, will change, so we do not see the need to capture the 2</w:t>
      </w:r>
      <w:r>
        <w:rPr>
          <w:rFonts w:eastAsia="宋体"/>
          <w:vertAlign w:val="superscript"/>
          <w:lang w:val="en-US" w:eastAsia="zh-CN"/>
        </w:rPr>
        <w:t>nd</w:t>
      </w:r>
      <w:r>
        <w:rPr>
          <w:rFonts w:eastAsia="宋体"/>
          <w:lang w:val="en-US" w:eastAsia="zh-CN"/>
        </w:rPr>
        <w:t xml:space="preserve"> bullet in the spec. Also, N</w:t>
      </w:r>
      <w:r>
        <w:rPr>
          <w:rFonts w:eastAsia="宋体"/>
          <w:vertAlign w:val="subscript"/>
          <w:lang w:val="en-US" w:eastAsia="zh-CN"/>
        </w:rPr>
        <w:t>TA_offset</w:t>
      </w:r>
      <w:r>
        <w:rPr>
          <w:rFonts w:eastAsia="宋体"/>
          <w:lang w:val="en-US" w:eastAsia="zh-CN"/>
        </w:rPr>
        <w:t xml:space="preserve"> is constant once the network is deployed, so N</w:t>
      </w:r>
      <w:r>
        <w:rPr>
          <w:rFonts w:eastAsia="宋体"/>
          <w:vertAlign w:val="subscript"/>
          <w:lang w:val="en-US" w:eastAsia="zh-CN"/>
        </w:rPr>
        <w:t>TA_offset</w:t>
      </w:r>
      <w:r>
        <w:rPr>
          <w:rFonts w:eastAsia="宋体"/>
          <w:lang w:val="en-US" w:eastAsia="zh-CN"/>
        </w:rPr>
        <w:t xml:space="preserve"> change during UE Rx-Tx time difference measurement period is a rather corner case.</w:t>
      </w:r>
    </w:p>
    <w:p w:rsidR="00D02D37" w:rsidRDefault="00D02D37" w:rsidP="00D02D37">
      <w:pPr>
        <w:overflowPunct w:val="0"/>
        <w:autoSpaceDE w:val="0"/>
        <w:autoSpaceDN w:val="0"/>
        <w:adjustRightInd w:val="0"/>
        <w:spacing w:before="120" w:after="120"/>
        <w:textAlignment w:val="baseline"/>
        <w:rPr>
          <w:rFonts w:eastAsia="宋体"/>
          <w:b/>
          <w:lang w:val="en-US" w:eastAsia="zh-CN"/>
        </w:rPr>
      </w:pPr>
      <w:r>
        <w:rPr>
          <w:rFonts w:eastAsia="宋体"/>
          <w:b/>
          <w:lang w:val="en-US" w:eastAsia="zh-CN"/>
        </w:rPr>
        <w:t>Proposal 4: RAN4 not to capture applicability of UE Rx-Tx time difference accuracy requirements under N</w:t>
      </w:r>
      <w:r>
        <w:rPr>
          <w:rFonts w:eastAsia="宋体"/>
          <w:b/>
          <w:vertAlign w:val="subscript"/>
          <w:lang w:val="en-US" w:eastAsia="zh-CN"/>
        </w:rPr>
        <w:t>TA_offset</w:t>
      </w:r>
      <w:r>
        <w:rPr>
          <w:rFonts w:eastAsia="宋体"/>
          <w:b/>
          <w:lang w:val="en-US" w:eastAsia="zh-CN"/>
        </w:rPr>
        <w:t xml:space="preserve"> change during the measurement period.</w:t>
      </w:r>
    </w:p>
    <w:p w:rsidR="001B1CAF" w:rsidRDefault="001B1CAF" w:rsidP="001B1CAF">
      <w:pPr>
        <w:spacing w:before="120" w:after="120"/>
        <w:rPr>
          <w:rFonts w:eastAsiaTheme="minorEastAsia"/>
          <w:lang w:val="en-US" w:eastAsia="zh-CN"/>
        </w:rPr>
      </w:pPr>
      <w:r>
        <w:rPr>
          <w:rFonts w:eastAsiaTheme="minorEastAsia"/>
          <w:lang w:val="en-US" w:eastAsia="zh-CN"/>
        </w:rPr>
        <w:t xml:space="preserve">Besides above issues from RAN4#96-e, to complete the RSTD accuracy requirements, </w:t>
      </w:r>
      <w:r w:rsidR="00D02D37">
        <w:rPr>
          <w:rFonts w:eastAsiaTheme="minorEastAsia"/>
          <w:lang w:val="en-US" w:eastAsia="zh-CN"/>
        </w:rPr>
        <w:t xml:space="preserve">RAN4 also needs to decide </w:t>
      </w:r>
      <w:r>
        <w:rPr>
          <w:rFonts w:eastAsiaTheme="minorEastAsia"/>
          <w:lang w:val="en-US" w:eastAsia="zh-CN"/>
        </w:rPr>
        <w:t>which combinations of PRS BW and repetitions the requirements are defined for. As discussed in the past meetings, RAN4 cannot define accuracy requirements for each combination of PRS BW and repetitions; instead a limited set of combinations needs to be selected based on typical deployment scenario and link level performance, e.g. all the combinations should lead to reasonable performance, and the performance gap between the combinations should be large enough justifying separate requirements. In our view, the combinations that were used in the agreed simulation [</w:t>
      </w:r>
      <w:r w:rsidR="006F5CB6">
        <w:rPr>
          <w:rFonts w:eastAsiaTheme="minorEastAsia"/>
          <w:lang w:val="en-US" w:eastAsia="zh-CN"/>
        </w:rPr>
        <w:t>2</w:t>
      </w:r>
      <w:r>
        <w:rPr>
          <w:rFonts w:eastAsiaTheme="minorEastAsia"/>
          <w:lang w:val="en-US" w:eastAsia="zh-CN"/>
        </w:rPr>
        <w:t>] can be used as a starting point.</w:t>
      </w:r>
    </w:p>
    <w:p w:rsidR="001B1CAF" w:rsidRDefault="001B1CAF" w:rsidP="001B1CAF">
      <w:pPr>
        <w:spacing w:before="120" w:after="120"/>
        <w:rPr>
          <w:rFonts w:eastAsiaTheme="minorEastAsia"/>
          <w:b/>
          <w:lang w:val="en-US" w:eastAsia="zh-CN"/>
        </w:rPr>
      </w:pPr>
      <w:r w:rsidRPr="008D3CA8">
        <w:rPr>
          <w:rFonts w:eastAsiaTheme="minorEastAsia"/>
          <w:b/>
          <w:lang w:val="en-US" w:eastAsia="zh-CN"/>
        </w:rPr>
        <w:t xml:space="preserve">Proposal </w:t>
      </w:r>
      <w:r w:rsidR="006F5CB6">
        <w:rPr>
          <w:rFonts w:eastAsiaTheme="minorEastAsia"/>
          <w:b/>
          <w:lang w:val="en-US" w:eastAsia="zh-CN"/>
        </w:rPr>
        <w:t>5</w:t>
      </w:r>
      <w:r w:rsidRPr="008D3CA8">
        <w:rPr>
          <w:rFonts w:eastAsiaTheme="minorEastAsia"/>
          <w:b/>
          <w:lang w:val="en-US" w:eastAsia="zh-CN"/>
        </w:rPr>
        <w:t xml:space="preserve">: RAN4 to decide the combinations of PRS BW and repetitions </w:t>
      </w:r>
      <w:r w:rsidR="008D3CA8" w:rsidRPr="008D3CA8">
        <w:rPr>
          <w:rFonts w:eastAsiaTheme="minorEastAsia"/>
          <w:b/>
          <w:lang w:val="en-US" w:eastAsia="zh-CN"/>
        </w:rPr>
        <w:t xml:space="preserve">for which </w:t>
      </w:r>
      <w:r w:rsidRPr="008D3CA8">
        <w:rPr>
          <w:rFonts w:eastAsiaTheme="minorEastAsia"/>
          <w:b/>
          <w:lang w:val="en-US" w:eastAsia="zh-CN"/>
        </w:rPr>
        <w:t>the requirements are defined</w:t>
      </w:r>
      <w:r w:rsidR="008D3CA8" w:rsidRPr="008D3CA8">
        <w:rPr>
          <w:rFonts w:eastAsiaTheme="minorEastAsia"/>
          <w:b/>
          <w:lang w:val="en-US" w:eastAsia="zh-CN"/>
        </w:rPr>
        <w:t>. The combinations that were used in the agreed simulation can be used as a starting point</w:t>
      </w:r>
      <w:r w:rsidR="008D3CA8">
        <w:rPr>
          <w:rFonts w:eastAsiaTheme="minorEastAsia"/>
          <w:b/>
          <w:lang w:val="en-US" w:eastAsia="zh-CN"/>
        </w:rPr>
        <w:t>.</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7C452C" w:rsidRPr="00AB3517">
        <w:rPr>
          <w:rFonts w:eastAsia="宋体"/>
          <w:lang w:eastAsia="zh-CN"/>
        </w:rPr>
        <w:t>UE Rx-Tx time difference</w:t>
      </w:r>
      <w:r w:rsidR="007C452C">
        <w:rPr>
          <w:rFonts w:eastAsia="宋体"/>
          <w:lang w:eastAsia="zh-CN"/>
        </w:rPr>
        <w:t xml:space="preserve"> </w:t>
      </w:r>
      <w:r w:rsidR="00A15BB9">
        <w:rPr>
          <w:rFonts w:eastAsia="宋体"/>
          <w:lang w:eastAsia="zh-CN"/>
        </w:rPr>
        <w:t>accuracy requirements.</w:t>
      </w:r>
    </w:p>
    <w:p w:rsidR="006F5CB6" w:rsidRDefault="006F5CB6" w:rsidP="006F5CB6">
      <w:pPr>
        <w:overflowPunct w:val="0"/>
        <w:autoSpaceDE w:val="0"/>
        <w:autoSpaceDN w:val="0"/>
        <w:adjustRightInd w:val="0"/>
        <w:spacing w:before="120" w:after="120"/>
        <w:textAlignment w:val="baseline"/>
        <w:rPr>
          <w:rFonts w:eastAsia="宋体"/>
          <w:b/>
          <w:lang w:val="en-US" w:eastAsia="zh-CN"/>
        </w:rPr>
      </w:pPr>
      <w:r>
        <w:rPr>
          <w:rFonts w:eastAsia="宋体"/>
          <w:b/>
          <w:lang w:val="en-US" w:eastAsia="zh-CN"/>
        </w:rPr>
        <w:t>Proposal 1: RAN4 to specify one set of accuracy requirements for UE Rx-Tx time difference based on side conditions for neighbor cells.</w:t>
      </w:r>
    </w:p>
    <w:p w:rsidR="006F5CB6" w:rsidRPr="00D02D37" w:rsidRDefault="006F5CB6" w:rsidP="006F5CB6">
      <w:pPr>
        <w:spacing w:before="120" w:after="120"/>
        <w:rPr>
          <w:rFonts w:eastAsiaTheme="minorEastAsia"/>
          <w:b/>
          <w:lang w:val="en-US" w:eastAsia="zh-CN"/>
        </w:rPr>
      </w:pPr>
      <w:r w:rsidRPr="00D02D37">
        <w:rPr>
          <w:rFonts w:eastAsia="宋体"/>
          <w:b/>
          <w:lang w:val="en-US" w:eastAsia="zh-CN"/>
        </w:rPr>
        <w:t xml:space="preserve">Proposal 2: </w:t>
      </w:r>
      <w:r w:rsidRPr="00D02D37">
        <w:rPr>
          <w:rFonts w:eastAsiaTheme="minorEastAsia"/>
          <w:b/>
          <w:lang w:val="en-US" w:eastAsia="zh-CN"/>
        </w:rPr>
        <w:t xml:space="preserve">RAN4 to decide on the margin to account for the group delay calibration error for </w:t>
      </w:r>
      <w:r>
        <w:rPr>
          <w:rFonts w:eastAsiaTheme="minorEastAsia"/>
          <w:b/>
          <w:lang w:val="en-US" w:eastAsia="zh-CN"/>
        </w:rPr>
        <w:t>both</w:t>
      </w:r>
      <w:r w:rsidRPr="00D02D37">
        <w:rPr>
          <w:rFonts w:eastAsiaTheme="minorEastAsia"/>
          <w:b/>
          <w:lang w:val="en-US" w:eastAsia="zh-CN"/>
        </w:rPr>
        <w:t xml:space="preserve"> Rx chain and </w:t>
      </w:r>
      <w:proofErr w:type="gramStart"/>
      <w:r w:rsidRPr="00D02D37">
        <w:rPr>
          <w:rFonts w:eastAsiaTheme="minorEastAsia"/>
          <w:b/>
          <w:lang w:val="en-US" w:eastAsia="zh-CN"/>
        </w:rPr>
        <w:t>Tx</w:t>
      </w:r>
      <w:proofErr w:type="gramEnd"/>
      <w:r w:rsidRPr="00D02D37">
        <w:rPr>
          <w:rFonts w:eastAsiaTheme="minorEastAsia"/>
          <w:b/>
          <w:lang w:val="en-US" w:eastAsia="zh-CN"/>
        </w:rPr>
        <w:t xml:space="preserve"> chain</w:t>
      </w:r>
      <w:r>
        <w:rPr>
          <w:rFonts w:eastAsiaTheme="minorEastAsia"/>
          <w:b/>
          <w:lang w:val="en-US" w:eastAsia="zh-CN"/>
        </w:rPr>
        <w:t xml:space="preserve"> for UE Rx-Tx</w:t>
      </w:r>
      <w:r w:rsidRPr="00D02D37">
        <w:rPr>
          <w:rFonts w:eastAsiaTheme="minorEastAsia" w:hint="eastAsia"/>
          <w:b/>
          <w:lang w:val="en-US" w:eastAsia="zh-CN"/>
        </w:rPr>
        <w:t>.</w:t>
      </w:r>
      <w:r>
        <w:rPr>
          <w:rFonts w:eastAsiaTheme="minorEastAsia"/>
          <w:b/>
          <w:lang w:val="en-US" w:eastAsia="zh-CN"/>
        </w:rPr>
        <w:t xml:space="preserve"> The same margin should be discussed for gNB separately. </w:t>
      </w:r>
      <w:r w:rsidRPr="00D02D37">
        <w:rPr>
          <w:rFonts w:eastAsiaTheme="minorEastAsia"/>
          <w:b/>
          <w:lang w:val="en-US" w:eastAsia="zh-CN"/>
        </w:rPr>
        <w:t xml:space="preserve"> </w:t>
      </w:r>
    </w:p>
    <w:p w:rsidR="006F5CB6" w:rsidRDefault="006F5CB6" w:rsidP="006F5CB6">
      <w:pPr>
        <w:overflowPunct w:val="0"/>
        <w:autoSpaceDE w:val="0"/>
        <w:autoSpaceDN w:val="0"/>
        <w:adjustRightInd w:val="0"/>
        <w:spacing w:before="120" w:after="120"/>
        <w:textAlignment w:val="baseline"/>
        <w:rPr>
          <w:rFonts w:eastAsia="宋体"/>
          <w:b/>
          <w:lang w:val="en-US" w:eastAsia="zh-CN"/>
        </w:rPr>
      </w:pPr>
      <w:r>
        <w:rPr>
          <w:rFonts w:eastAsia="宋体"/>
          <w:b/>
          <w:lang w:val="en-US" w:eastAsia="zh-CN"/>
        </w:rPr>
        <w:t>Proposal 3: UE Rx-Tx time difference accuracy requirements do not apply with HO during the measurement period.</w:t>
      </w:r>
    </w:p>
    <w:p w:rsidR="006F5CB6" w:rsidRDefault="006F5CB6" w:rsidP="006F5CB6">
      <w:pPr>
        <w:overflowPunct w:val="0"/>
        <w:autoSpaceDE w:val="0"/>
        <w:autoSpaceDN w:val="0"/>
        <w:adjustRightInd w:val="0"/>
        <w:spacing w:before="120" w:after="120"/>
        <w:textAlignment w:val="baseline"/>
        <w:rPr>
          <w:rFonts w:eastAsia="宋体"/>
          <w:b/>
          <w:lang w:val="en-US" w:eastAsia="zh-CN"/>
        </w:rPr>
      </w:pPr>
      <w:r>
        <w:rPr>
          <w:rFonts w:eastAsia="宋体"/>
          <w:b/>
          <w:lang w:val="en-US" w:eastAsia="zh-CN"/>
        </w:rPr>
        <w:t>Proposal 4: RAN4 not to capture applicability of UE Rx-Tx time difference accuracy requirements under N</w:t>
      </w:r>
      <w:r>
        <w:rPr>
          <w:rFonts w:eastAsia="宋体"/>
          <w:b/>
          <w:vertAlign w:val="subscript"/>
          <w:lang w:val="en-US" w:eastAsia="zh-CN"/>
        </w:rPr>
        <w:t>TA_offset</w:t>
      </w:r>
      <w:r>
        <w:rPr>
          <w:rFonts w:eastAsia="宋体"/>
          <w:b/>
          <w:lang w:val="en-US" w:eastAsia="zh-CN"/>
        </w:rPr>
        <w:t xml:space="preserve"> change during the measurement period.</w:t>
      </w:r>
    </w:p>
    <w:p w:rsidR="008D3CA8" w:rsidRPr="006F5CB6" w:rsidRDefault="006F5CB6" w:rsidP="006F5CB6">
      <w:pPr>
        <w:spacing w:before="120" w:after="120"/>
        <w:rPr>
          <w:rFonts w:eastAsiaTheme="minorEastAsia"/>
          <w:b/>
          <w:lang w:val="en-US" w:eastAsia="zh-CN"/>
        </w:rPr>
      </w:pPr>
      <w:r w:rsidRPr="008D3CA8">
        <w:rPr>
          <w:rFonts w:eastAsiaTheme="minorEastAsia"/>
          <w:b/>
          <w:lang w:val="en-US" w:eastAsia="zh-CN"/>
        </w:rPr>
        <w:t xml:space="preserve">Proposal </w:t>
      </w:r>
      <w:r>
        <w:rPr>
          <w:rFonts w:eastAsiaTheme="minorEastAsia"/>
          <w:b/>
          <w:lang w:val="en-US" w:eastAsia="zh-CN"/>
        </w:rPr>
        <w:t>5</w:t>
      </w:r>
      <w:r w:rsidRPr="008D3CA8">
        <w:rPr>
          <w:rFonts w:eastAsiaTheme="minorEastAsia"/>
          <w:b/>
          <w:lang w:val="en-US" w:eastAsia="zh-CN"/>
        </w:rPr>
        <w:t>: RAN4 to decide the combinations of PRS BW and repetitions for which the requirements are defined. The combinations that were used in the agreed simulation can be used as a starting point</w:t>
      </w:r>
      <w:r>
        <w:rPr>
          <w:rFonts w:eastAsiaTheme="minorEastAsia"/>
          <w:b/>
          <w:lang w:val="en-US" w:eastAsia="zh-CN"/>
        </w:rPr>
        <w:t>.</w:t>
      </w:r>
    </w:p>
    <w:p w:rsidR="00C0754F" w:rsidRDefault="00C0754F" w:rsidP="00C0754F">
      <w:pPr>
        <w:pStyle w:val="1"/>
        <w:jc w:val="both"/>
        <w:rPr>
          <w:lang w:val="en-US"/>
        </w:rPr>
      </w:pPr>
      <w:r w:rsidRPr="00C0754F">
        <w:rPr>
          <w:lang w:val="en-US"/>
        </w:rPr>
        <w:t>Reference</w:t>
      </w:r>
    </w:p>
    <w:p w:rsidR="00F658AD" w:rsidRDefault="00353A33" w:rsidP="00353A33">
      <w:pPr>
        <w:numPr>
          <w:ilvl w:val="0"/>
          <w:numId w:val="5"/>
        </w:numPr>
        <w:spacing w:before="120" w:after="120"/>
        <w:rPr>
          <w:rFonts w:eastAsia="宋体"/>
          <w:lang w:eastAsia="zh-CN"/>
        </w:rPr>
      </w:pPr>
      <w:r>
        <w:rPr>
          <w:rFonts w:eastAsia="宋体" w:hint="eastAsia"/>
          <w:lang w:eastAsia="zh-CN"/>
        </w:rPr>
        <w:t>R</w:t>
      </w:r>
      <w:r>
        <w:rPr>
          <w:rFonts w:eastAsia="宋体"/>
          <w:lang w:eastAsia="zh-CN"/>
        </w:rPr>
        <w:t xml:space="preserve">4-2012283, </w:t>
      </w:r>
      <w:r w:rsidRPr="00353A33">
        <w:rPr>
          <w:rFonts w:eastAsia="宋体"/>
          <w:lang w:eastAsia="zh-CN"/>
        </w:rPr>
        <w:t>WF on requirements for RSTD and UE Rx-Tx time difference measurement</w:t>
      </w:r>
      <w:r>
        <w:rPr>
          <w:rFonts w:eastAsia="宋体"/>
          <w:lang w:eastAsia="zh-CN"/>
        </w:rPr>
        <w:t xml:space="preserve">, </w:t>
      </w:r>
      <w:r w:rsidRPr="00353A33">
        <w:rPr>
          <w:rFonts w:eastAsia="宋体"/>
          <w:lang w:eastAsia="zh-CN"/>
        </w:rPr>
        <w:t>Huawei, HiSilicon</w:t>
      </w:r>
    </w:p>
    <w:p w:rsidR="008D3CA8" w:rsidRPr="001958AF" w:rsidRDefault="001958AF" w:rsidP="001958AF">
      <w:pPr>
        <w:numPr>
          <w:ilvl w:val="0"/>
          <w:numId w:val="5"/>
        </w:numPr>
        <w:spacing w:before="120" w:after="120"/>
        <w:rPr>
          <w:rFonts w:eastAsia="宋体"/>
          <w:lang w:val="en-US" w:eastAsia="zh-CN"/>
        </w:rPr>
      </w:pPr>
      <w:r>
        <w:rPr>
          <w:rFonts w:eastAsia="宋体"/>
          <w:lang w:val="en-US" w:eastAsia="zh-CN"/>
        </w:rPr>
        <w:t xml:space="preserve">R4-2009127, Link-level simulation assumptions for UE Rx-Tx time difference measurements, Qualcomm Incorporated </w:t>
      </w:r>
    </w:p>
    <w:sectPr w:rsidR="008D3CA8" w:rsidRPr="001958A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DF6" w:rsidRDefault="009A3DF6">
      <w:pPr>
        <w:spacing w:before="120" w:after="120"/>
      </w:pPr>
      <w:r>
        <w:separator/>
      </w:r>
    </w:p>
  </w:endnote>
  <w:endnote w:type="continuationSeparator" w:id="0">
    <w:p w:rsidR="009A3DF6" w:rsidRDefault="009A3DF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D37" w:rsidRDefault="00D02D3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02D37" w:rsidRDefault="00D02D3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D37" w:rsidRDefault="00D02D3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5187D">
      <w:rPr>
        <w:rStyle w:val="af1"/>
      </w:rPr>
      <w:t>3</w:t>
    </w:r>
    <w:r>
      <w:rPr>
        <w:rStyle w:val="af1"/>
      </w:rPr>
      <w:fldChar w:fldCharType="end"/>
    </w:r>
  </w:p>
  <w:p w:rsidR="00D02D37" w:rsidRDefault="00D02D3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DF6" w:rsidRDefault="009A3DF6">
      <w:pPr>
        <w:spacing w:before="120" w:after="120"/>
      </w:pPr>
      <w:r>
        <w:separator/>
      </w:r>
    </w:p>
  </w:footnote>
  <w:footnote w:type="continuationSeparator" w:id="0">
    <w:p w:rsidR="009A3DF6" w:rsidRDefault="009A3DF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457EEE"/>
    <w:multiLevelType w:val="hybridMultilevel"/>
    <w:tmpl w:val="A43C1CD6"/>
    <w:lvl w:ilvl="0" w:tplc="97504B10">
      <w:start w:val="1"/>
      <w:numFmt w:val="bullet"/>
      <w:lvlText w:val="–"/>
      <w:lvlJc w:val="left"/>
      <w:pPr>
        <w:tabs>
          <w:tab w:val="num" w:pos="720"/>
        </w:tabs>
        <w:ind w:left="720" w:hanging="360"/>
      </w:pPr>
      <w:rPr>
        <w:rFonts w:ascii="Arial" w:hAnsi="Arial" w:hint="default"/>
      </w:rPr>
    </w:lvl>
    <w:lvl w:ilvl="1" w:tplc="1C0EB5CA">
      <w:start w:val="1"/>
      <w:numFmt w:val="bullet"/>
      <w:lvlText w:val="–"/>
      <w:lvlJc w:val="left"/>
      <w:pPr>
        <w:tabs>
          <w:tab w:val="num" w:pos="1440"/>
        </w:tabs>
        <w:ind w:left="1440" w:hanging="360"/>
      </w:pPr>
      <w:rPr>
        <w:rFonts w:ascii="Arial" w:hAnsi="Arial" w:hint="default"/>
      </w:rPr>
    </w:lvl>
    <w:lvl w:ilvl="2" w:tplc="A1CA502C">
      <w:numFmt w:val="bullet"/>
      <w:lvlText w:val="•"/>
      <w:lvlJc w:val="left"/>
      <w:pPr>
        <w:tabs>
          <w:tab w:val="num" w:pos="2160"/>
        </w:tabs>
        <w:ind w:left="2160" w:hanging="360"/>
      </w:pPr>
      <w:rPr>
        <w:rFonts w:ascii="Arial" w:hAnsi="Arial" w:hint="default"/>
      </w:rPr>
    </w:lvl>
    <w:lvl w:ilvl="3" w:tplc="1A3AA12A" w:tentative="1">
      <w:start w:val="1"/>
      <w:numFmt w:val="bullet"/>
      <w:lvlText w:val="–"/>
      <w:lvlJc w:val="left"/>
      <w:pPr>
        <w:tabs>
          <w:tab w:val="num" w:pos="2880"/>
        </w:tabs>
        <w:ind w:left="2880" w:hanging="360"/>
      </w:pPr>
      <w:rPr>
        <w:rFonts w:ascii="Arial" w:hAnsi="Arial" w:hint="default"/>
      </w:rPr>
    </w:lvl>
    <w:lvl w:ilvl="4" w:tplc="5712AF64" w:tentative="1">
      <w:start w:val="1"/>
      <w:numFmt w:val="bullet"/>
      <w:lvlText w:val="–"/>
      <w:lvlJc w:val="left"/>
      <w:pPr>
        <w:tabs>
          <w:tab w:val="num" w:pos="3600"/>
        </w:tabs>
        <w:ind w:left="3600" w:hanging="360"/>
      </w:pPr>
      <w:rPr>
        <w:rFonts w:ascii="Arial" w:hAnsi="Arial" w:hint="default"/>
      </w:rPr>
    </w:lvl>
    <w:lvl w:ilvl="5" w:tplc="3E640A5C" w:tentative="1">
      <w:start w:val="1"/>
      <w:numFmt w:val="bullet"/>
      <w:lvlText w:val="–"/>
      <w:lvlJc w:val="left"/>
      <w:pPr>
        <w:tabs>
          <w:tab w:val="num" w:pos="4320"/>
        </w:tabs>
        <w:ind w:left="4320" w:hanging="360"/>
      </w:pPr>
      <w:rPr>
        <w:rFonts w:ascii="Arial" w:hAnsi="Arial" w:hint="default"/>
      </w:rPr>
    </w:lvl>
    <w:lvl w:ilvl="6" w:tplc="CC6CFEC0" w:tentative="1">
      <w:start w:val="1"/>
      <w:numFmt w:val="bullet"/>
      <w:lvlText w:val="–"/>
      <w:lvlJc w:val="left"/>
      <w:pPr>
        <w:tabs>
          <w:tab w:val="num" w:pos="5040"/>
        </w:tabs>
        <w:ind w:left="5040" w:hanging="360"/>
      </w:pPr>
      <w:rPr>
        <w:rFonts w:ascii="Arial" w:hAnsi="Arial" w:hint="default"/>
      </w:rPr>
    </w:lvl>
    <w:lvl w:ilvl="7" w:tplc="B31A688A" w:tentative="1">
      <w:start w:val="1"/>
      <w:numFmt w:val="bullet"/>
      <w:lvlText w:val="–"/>
      <w:lvlJc w:val="left"/>
      <w:pPr>
        <w:tabs>
          <w:tab w:val="num" w:pos="5760"/>
        </w:tabs>
        <w:ind w:left="5760" w:hanging="360"/>
      </w:pPr>
      <w:rPr>
        <w:rFonts w:ascii="Arial" w:hAnsi="Arial" w:hint="default"/>
      </w:rPr>
    </w:lvl>
    <w:lvl w:ilvl="8" w:tplc="F0220F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2048A9"/>
    <w:multiLevelType w:val="hybridMultilevel"/>
    <w:tmpl w:val="6CAC77EA"/>
    <w:lvl w:ilvl="0" w:tplc="E4DED2F0">
      <w:start w:val="1"/>
      <w:numFmt w:val="bullet"/>
      <w:lvlText w:val="–"/>
      <w:lvlJc w:val="left"/>
      <w:pPr>
        <w:tabs>
          <w:tab w:val="num" w:pos="720"/>
        </w:tabs>
        <w:ind w:left="720" w:hanging="360"/>
      </w:pPr>
      <w:rPr>
        <w:rFonts w:ascii="Arial" w:hAnsi="Arial" w:hint="default"/>
      </w:rPr>
    </w:lvl>
    <w:lvl w:ilvl="1" w:tplc="D3E822F2">
      <w:start w:val="1"/>
      <w:numFmt w:val="bullet"/>
      <w:lvlText w:val="–"/>
      <w:lvlJc w:val="left"/>
      <w:pPr>
        <w:tabs>
          <w:tab w:val="num" w:pos="1440"/>
        </w:tabs>
        <w:ind w:left="1440" w:hanging="360"/>
      </w:pPr>
      <w:rPr>
        <w:rFonts w:ascii="Arial" w:hAnsi="Arial" w:hint="default"/>
      </w:rPr>
    </w:lvl>
    <w:lvl w:ilvl="2" w:tplc="FC30876C">
      <w:numFmt w:val="bullet"/>
      <w:lvlText w:val="•"/>
      <w:lvlJc w:val="left"/>
      <w:pPr>
        <w:tabs>
          <w:tab w:val="num" w:pos="2160"/>
        </w:tabs>
        <w:ind w:left="2160" w:hanging="360"/>
      </w:pPr>
      <w:rPr>
        <w:rFonts w:ascii="Arial" w:hAnsi="Arial" w:hint="default"/>
      </w:rPr>
    </w:lvl>
    <w:lvl w:ilvl="3" w:tplc="E0F6ED5A" w:tentative="1">
      <w:start w:val="1"/>
      <w:numFmt w:val="bullet"/>
      <w:lvlText w:val="–"/>
      <w:lvlJc w:val="left"/>
      <w:pPr>
        <w:tabs>
          <w:tab w:val="num" w:pos="2880"/>
        </w:tabs>
        <w:ind w:left="2880" w:hanging="360"/>
      </w:pPr>
      <w:rPr>
        <w:rFonts w:ascii="Arial" w:hAnsi="Arial" w:hint="default"/>
      </w:rPr>
    </w:lvl>
    <w:lvl w:ilvl="4" w:tplc="5F48B67A" w:tentative="1">
      <w:start w:val="1"/>
      <w:numFmt w:val="bullet"/>
      <w:lvlText w:val="–"/>
      <w:lvlJc w:val="left"/>
      <w:pPr>
        <w:tabs>
          <w:tab w:val="num" w:pos="3600"/>
        </w:tabs>
        <w:ind w:left="3600" w:hanging="360"/>
      </w:pPr>
      <w:rPr>
        <w:rFonts w:ascii="Arial" w:hAnsi="Arial" w:hint="default"/>
      </w:rPr>
    </w:lvl>
    <w:lvl w:ilvl="5" w:tplc="18CEDB78" w:tentative="1">
      <w:start w:val="1"/>
      <w:numFmt w:val="bullet"/>
      <w:lvlText w:val="–"/>
      <w:lvlJc w:val="left"/>
      <w:pPr>
        <w:tabs>
          <w:tab w:val="num" w:pos="4320"/>
        </w:tabs>
        <w:ind w:left="4320" w:hanging="360"/>
      </w:pPr>
      <w:rPr>
        <w:rFonts w:ascii="Arial" w:hAnsi="Arial" w:hint="default"/>
      </w:rPr>
    </w:lvl>
    <w:lvl w:ilvl="6" w:tplc="2774F8EE" w:tentative="1">
      <w:start w:val="1"/>
      <w:numFmt w:val="bullet"/>
      <w:lvlText w:val="–"/>
      <w:lvlJc w:val="left"/>
      <w:pPr>
        <w:tabs>
          <w:tab w:val="num" w:pos="5040"/>
        </w:tabs>
        <w:ind w:left="5040" w:hanging="360"/>
      </w:pPr>
      <w:rPr>
        <w:rFonts w:ascii="Arial" w:hAnsi="Arial" w:hint="default"/>
      </w:rPr>
    </w:lvl>
    <w:lvl w:ilvl="7" w:tplc="7FDC9FFE" w:tentative="1">
      <w:start w:val="1"/>
      <w:numFmt w:val="bullet"/>
      <w:lvlText w:val="–"/>
      <w:lvlJc w:val="left"/>
      <w:pPr>
        <w:tabs>
          <w:tab w:val="num" w:pos="5760"/>
        </w:tabs>
        <w:ind w:left="5760" w:hanging="360"/>
      </w:pPr>
      <w:rPr>
        <w:rFonts w:ascii="Arial" w:hAnsi="Arial" w:hint="default"/>
      </w:rPr>
    </w:lvl>
    <w:lvl w:ilvl="8" w:tplc="638452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DB735B"/>
    <w:multiLevelType w:val="hybridMultilevel"/>
    <w:tmpl w:val="6D306B98"/>
    <w:lvl w:ilvl="0" w:tplc="2C9498E8">
      <w:start w:val="1"/>
      <w:numFmt w:val="bullet"/>
      <w:lvlText w:val="–"/>
      <w:lvlJc w:val="left"/>
      <w:pPr>
        <w:tabs>
          <w:tab w:val="num" w:pos="720"/>
        </w:tabs>
        <w:ind w:left="720" w:hanging="360"/>
      </w:pPr>
      <w:rPr>
        <w:rFonts w:ascii="Arial" w:hAnsi="Arial" w:hint="default"/>
      </w:rPr>
    </w:lvl>
    <w:lvl w:ilvl="1" w:tplc="834C9480">
      <w:start w:val="1"/>
      <w:numFmt w:val="bullet"/>
      <w:lvlText w:val="–"/>
      <w:lvlJc w:val="left"/>
      <w:pPr>
        <w:tabs>
          <w:tab w:val="num" w:pos="1440"/>
        </w:tabs>
        <w:ind w:left="1440" w:hanging="360"/>
      </w:pPr>
      <w:rPr>
        <w:rFonts w:ascii="Arial" w:hAnsi="Arial" w:hint="default"/>
      </w:rPr>
    </w:lvl>
    <w:lvl w:ilvl="2" w:tplc="6A8A9F1A">
      <w:numFmt w:val="bullet"/>
      <w:lvlText w:val="•"/>
      <w:lvlJc w:val="left"/>
      <w:pPr>
        <w:tabs>
          <w:tab w:val="num" w:pos="2160"/>
        </w:tabs>
        <w:ind w:left="2160" w:hanging="360"/>
      </w:pPr>
      <w:rPr>
        <w:rFonts w:ascii="Arial" w:hAnsi="Arial" w:hint="default"/>
      </w:rPr>
    </w:lvl>
    <w:lvl w:ilvl="3" w:tplc="42E6C162" w:tentative="1">
      <w:start w:val="1"/>
      <w:numFmt w:val="bullet"/>
      <w:lvlText w:val="–"/>
      <w:lvlJc w:val="left"/>
      <w:pPr>
        <w:tabs>
          <w:tab w:val="num" w:pos="2880"/>
        </w:tabs>
        <w:ind w:left="2880" w:hanging="360"/>
      </w:pPr>
      <w:rPr>
        <w:rFonts w:ascii="Arial" w:hAnsi="Arial" w:hint="default"/>
      </w:rPr>
    </w:lvl>
    <w:lvl w:ilvl="4" w:tplc="88E42082" w:tentative="1">
      <w:start w:val="1"/>
      <w:numFmt w:val="bullet"/>
      <w:lvlText w:val="–"/>
      <w:lvlJc w:val="left"/>
      <w:pPr>
        <w:tabs>
          <w:tab w:val="num" w:pos="3600"/>
        </w:tabs>
        <w:ind w:left="3600" w:hanging="360"/>
      </w:pPr>
      <w:rPr>
        <w:rFonts w:ascii="Arial" w:hAnsi="Arial" w:hint="default"/>
      </w:rPr>
    </w:lvl>
    <w:lvl w:ilvl="5" w:tplc="90660B7E" w:tentative="1">
      <w:start w:val="1"/>
      <w:numFmt w:val="bullet"/>
      <w:lvlText w:val="–"/>
      <w:lvlJc w:val="left"/>
      <w:pPr>
        <w:tabs>
          <w:tab w:val="num" w:pos="4320"/>
        </w:tabs>
        <w:ind w:left="4320" w:hanging="360"/>
      </w:pPr>
      <w:rPr>
        <w:rFonts w:ascii="Arial" w:hAnsi="Arial" w:hint="default"/>
      </w:rPr>
    </w:lvl>
    <w:lvl w:ilvl="6" w:tplc="5D7A8D72" w:tentative="1">
      <w:start w:val="1"/>
      <w:numFmt w:val="bullet"/>
      <w:lvlText w:val="–"/>
      <w:lvlJc w:val="left"/>
      <w:pPr>
        <w:tabs>
          <w:tab w:val="num" w:pos="5040"/>
        </w:tabs>
        <w:ind w:left="5040" w:hanging="360"/>
      </w:pPr>
      <w:rPr>
        <w:rFonts w:ascii="Arial" w:hAnsi="Arial" w:hint="default"/>
      </w:rPr>
    </w:lvl>
    <w:lvl w:ilvl="7" w:tplc="B2002C54" w:tentative="1">
      <w:start w:val="1"/>
      <w:numFmt w:val="bullet"/>
      <w:lvlText w:val="–"/>
      <w:lvlJc w:val="left"/>
      <w:pPr>
        <w:tabs>
          <w:tab w:val="num" w:pos="5760"/>
        </w:tabs>
        <w:ind w:left="5760" w:hanging="360"/>
      </w:pPr>
      <w:rPr>
        <w:rFonts w:ascii="Arial" w:hAnsi="Arial" w:hint="default"/>
      </w:rPr>
    </w:lvl>
    <w:lvl w:ilvl="8" w:tplc="DDF6EA1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643148"/>
    <w:multiLevelType w:val="hybridMultilevel"/>
    <w:tmpl w:val="A15A991C"/>
    <w:lvl w:ilvl="0" w:tplc="5BA8947C">
      <w:start w:val="1"/>
      <w:numFmt w:val="bullet"/>
      <w:lvlText w:val="–"/>
      <w:lvlJc w:val="left"/>
      <w:pPr>
        <w:tabs>
          <w:tab w:val="num" w:pos="720"/>
        </w:tabs>
        <w:ind w:left="720" w:hanging="360"/>
      </w:pPr>
      <w:rPr>
        <w:rFonts w:ascii="Arial" w:hAnsi="Arial" w:hint="default"/>
      </w:rPr>
    </w:lvl>
    <w:lvl w:ilvl="1" w:tplc="BC7458A2">
      <w:start w:val="1"/>
      <w:numFmt w:val="bullet"/>
      <w:lvlText w:val="–"/>
      <w:lvlJc w:val="left"/>
      <w:pPr>
        <w:tabs>
          <w:tab w:val="num" w:pos="1440"/>
        </w:tabs>
        <w:ind w:left="1440" w:hanging="360"/>
      </w:pPr>
      <w:rPr>
        <w:rFonts w:ascii="Arial" w:hAnsi="Arial" w:hint="default"/>
      </w:rPr>
    </w:lvl>
    <w:lvl w:ilvl="2" w:tplc="D0D4017A">
      <w:numFmt w:val="bullet"/>
      <w:lvlText w:val="•"/>
      <w:lvlJc w:val="left"/>
      <w:pPr>
        <w:tabs>
          <w:tab w:val="num" w:pos="2160"/>
        </w:tabs>
        <w:ind w:left="2160" w:hanging="360"/>
      </w:pPr>
      <w:rPr>
        <w:rFonts w:ascii="Arial" w:hAnsi="Arial" w:hint="default"/>
      </w:rPr>
    </w:lvl>
    <w:lvl w:ilvl="3" w:tplc="EE3E4238" w:tentative="1">
      <w:start w:val="1"/>
      <w:numFmt w:val="bullet"/>
      <w:lvlText w:val="–"/>
      <w:lvlJc w:val="left"/>
      <w:pPr>
        <w:tabs>
          <w:tab w:val="num" w:pos="2880"/>
        </w:tabs>
        <w:ind w:left="2880" w:hanging="360"/>
      </w:pPr>
      <w:rPr>
        <w:rFonts w:ascii="Arial" w:hAnsi="Arial" w:hint="default"/>
      </w:rPr>
    </w:lvl>
    <w:lvl w:ilvl="4" w:tplc="CD2EE284" w:tentative="1">
      <w:start w:val="1"/>
      <w:numFmt w:val="bullet"/>
      <w:lvlText w:val="–"/>
      <w:lvlJc w:val="left"/>
      <w:pPr>
        <w:tabs>
          <w:tab w:val="num" w:pos="3600"/>
        </w:tabs>
        <w:ind w:left="3600" w:hanging="360"/>
      </w:pPr>
      <w:rPr>
        <w:rFonts w:ascii="Arial" w:hAnsi="Arial" w:hint="default"/>
      </w:rPr>
    </w:lvl>
    <w:lvl w:ilvl="5" w:tplc="5E3238DE" w:tentative="1">
      <w:start w:val="1"/>
      <w:numFmt w:val="bullet"/>
      <w:lvlText w:val="–"/>
      <w:lvlJc w:val="left"/>
      <w:pPr>
        <w:tabs>
          <w:tab w:val="num" w:pos="4320"/>
        </w:tabs>
        <w:ind w:left="4320" w:hanging="360"/>
      </w:pPr>
      <w:rPr>
        <w:rFonts w:ascii="Arial" w:hAnsi="Arial" w:hint="default"/>
      </w:rPr>
    </w:lvl>
    <w:lvl w:ilvl="6" w:tplc="F908381A" w:tentative="1">
      <w:start w:val="1"/>
      <w:numFmt w:val="bullet"/>
      <w:lvlText w:val="–"/>
      <w:lvlJc w:val="left"/>
      <w:pPr>
        <w:tabs>
          <w:tab w:val="num" w:pos="5040"/>
        </w:tabs>
        <w:ind w:left="5040" w:hanging="360"/>
      </w:pPr>
      <w:rPr>
        <w:rFonts w:ascii="Arial" w:hAnsi="Arial" w:hint="default"/>
      </w:rPr>
    </w:lvl>
    <w:lvl w:ilvl="7" w:tplc="8D2C5C22" w:tentative="1">
      <w:start w:val="1"/>
      <w:numFmt w:val="bullet"/>
      <w:lvlText w:val="–"/>
      <w:lvlJc w:val="left"/>
      <w:pPr>
        <w:tabs>
          <w:tab w:val="num" w:pos="5760"/>
        </w:tabs>
        <w:ind w:left="5760" w:hanging="360"/>
      </w:pPr>
      <w:rPr>
        <w:rFonts w:ascii="Arial" w:hAnsi="Arial" w:hint="default"/>
      </w:rPr>
    </w:lvl>
    <w:lvl w:ilvl="8" w:tplc="155CDA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950EA7"/>
    <w:multiLevelType w:val="hybridMultilevel"/>
    <w:tmpl w:val="83582E78"/>
    <w:lvl w:ilvl="0" w:tplc="24567C62">
      <w:start w:val="1"/>
      <w:numFmt w:val="bullet"/>
      <w:lvlText w:val="–"/>
      <w:lvlJc w:val="left"/>
      <w:pPr>
        <w:tabs>
          <w:tab w:val="num" w:pos="720"/>
        </w:tabs>
        <w:ind w:left="720" w:hanging="360"/>
      </w:pPr>
      <w:rPr>
        <w:rFonts w:ascii="Arial" w:hAnsi="Arial" w:hint="default"/>
      </w:rPr>
    </w:lvl>
    <w:lvl w:ilvl="1" w:tplc="1AAEF868">
      <w:start w:val="1"/>
      <w:numFmt w:val="bullet"/>
      <w:lvlText w:val="–"/>
      <w:lvlJc w:val="left"/>
      <w:pPr>
        <w:tabs>
          <w:tab w:val="num" w:pos="1440"/>
        </w:tabs>
        <w:ind w:left="1440" w:hanging="360"/>
      </w:pPr>
      <w:rPr>
        <w:rFonts w:ascii="Arial" w:hAnsi="Arial" w:hint="default"/>
      </w:rPr>
    </w:lvl>
    <w:lvl w:ilvl="2" w:tplc="31FCDF62">
      <w:numFmt w:val="bullet"/>
      <w:lvlText w:val="•"/>
      <w:lvlJc w:val="left"/>
      <w:pPr>
        <w:tabs>
          <w:tab w:val="num" w:pos="2160"/>
        </w:tabs>
        <w:ind w:left="2160" w:hanging="360"/>
      </w:pPr>
      <w:rPr>
        <w:rFonts w:ascii="Arial" w:hAnsi="Arial" w:hint="default"/>
      </w:rPr>
    </w:lvl>
    <w:lvl w:ilvl="3" w:tplc="67C2ED60" w:tentative="1">
      <w:start w:val="1"/>
      <w:numFmt w:val="bullet"/>
      <w:lvlText w:val="–"/>
      <w:lvlJc w:val="left"/>
      <w:pPr>
        <w:tabs>
          <w:tab w:val="num" w:pos="2880"/>
        </w:tabs>
        <w:ind w:left="2880" w:hanging="360"/>
      </w:pPr>
      <w:rPr>
        <w:rFonts w:ascii="Arial" w:hAnsi="Arial" w:hint="default"/>
      </w:rPr>
    </w:lvl>
    <w:lvl w:ilvl="4" w:tplc="2AE8877E" w:tentative="1">
      <w:start w:val="1"/>
      <w:numFmt w:val="bullet"/>
      <w:lvlText w:val="–"/>
      <w:lvlJc w:val="left"/>
      <w:pPr>
        <w:tabs>
          <w:tab w:val="num" w:pos="3600"/>
        </w:tabs>
        <w:ind w:left="3600" w:hanging="360"/>
      </w:pPr>
      <w:rPr>
        <w:rFonts w:ascii="Arial" w:hAnsi="Arial" w:hint="default"/>
      </w:rPr>
    </w:lvl>
    <w:lvl w:ilvl="5" w:tplc="6568C1B4" w:tentative="1">
      <w:start w:val="1"/>
      <w:numFmt w:val="bullet"/>
      <w:lvlText w:val="–"/>
      <w:lvlJc w:val="left"/>
      <w:pPr>
        <w:tabs>
          <w:tab w:val="num" w:pos="4320"/>
        </w:tabs>
        <w:ind w:left="4320" w:hanging="360"/>
      </w:pPr>
      <w:rPr>
        <w:rFonts w:ascii="Arial" w:hAnsi="Arial" w:hint="default"/>
      </w:rPr>
    </w:lvl>
    <w:lvl w:ilvl="6" w:tplc="C84697CA" w:tentative="1">
      <w:start w:val="1"/>
      <w:numFmt w:val="bullet"/>
      <w:lvlText w:val="–"/>
      <w:lvlJc w:val="left"/>
      <w:pPr>
        <w:tabs>
          <w:tab w:val="num" w:pos="5040"/>
        </w:tabs>
        <w:ind w:left="5040" w:hanging="360"/>
      </w:pPr>
      <w:rPr>
        <w:rFonts w:ascii="Arial" w:hAnsi="Arial" w:hint="default"/>
      </w:rPr>
    </w:lvl>
    <w:lvl w:ilvl="7" w:tplc="C6AC5CAE" w:tentative="1">
      <w:start w:val="1"/>
      <w:numFmt w:val="bullet"/>
      <w:lvlText w:val="–"/>
      <w:lvlJc w:val="left"/>
      <w:pPr>
        <w:tabs>
          <w:tab w:val="num" w:pos="5760"/>
        </w:tabs>
        <w:ind w:left="5760" w:hanging="360"/>
      </w:pPr>
      <w:rPr>
        <w:rFonts w:ascii="Arial" w:hAnsi="Arial" w:hint="default"/>
      </w:rPr>
    </w:lvl>
    <w:lvl w:ilvl="8" w:tplc="D25811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D53564"/>
    <w:multiLevelType w:val="hybridMultilevel"/>
    <w:tmpl w:val="F2648BFE"/>
    <w:lvl w:ilvl="0" w:tplc="09C41C66">
      <w:start w:val="1"/>
      <w:numFmt w:val="bullet"/>
      <w:lvlText w:val="–"/>
      <w:lvlJc w:val="left"/>
      <w:pPr>
        <w:tabs>
          <w:tab w:val="num" w:pos="720"/>
        </w:tabs>
        <w:ind w:left="720" w:hanging="360"/>
      </w:pPr>
      <w:rPr>
        <w:rFonts w:ascii="Arial" w:hAnsi="Arial" w:hint="default"/>
      </w:rPr>
    </w:lvl>
    <w:lvl w:ilvl="1" w:tplc="BF54983A">
      <w:start w:val="1"/>
      <w:numFmt w:val="bullet"/>
      <w:lvlText w:val="–"/>
      <w:lvlJc w:val="left"/>
      <w:pPr>
        <w:tabs>
          <w:tab w:val="num" w:pos="1440"/>
        </w:tabs>
        <w:ind w:left="1440" w:hanging="360"/>
      </w:pPr>
      <w:rPr>
        <w:rFonts w:ascii="Arial" w:hAnsi="Arial" w:hint="default"/>
      </w:rPr>
    </w:lvl>
    <w:lvl w:ilvl="2" w:tplc="6B18E3B8">
      <w:numFmt w:val="bullet"/>
      <w:lvlText w:val="•"/>
      <w:lvlJc w:val="left"/>
      <w:pPr>
        <w:tabs>
          <w:tab w:val="num" w:pos="2160"/>
        </w:tabs>
        <w:ind w:left="2160" w:hanging="360"/>
      </w:pPr>
      <w:rPr>
        <w:rFonts w:ascii="Arial" w:hAnsi="Arial" w:hint="default"/>
      </w:rPr>
    </w:lvl>
    <w:lvl w:ilvl="3" w:tplc="9A4C03AA" w:tentative="1">
      <w:start w:val="1"/>
      <w:numFmt w:val="bullet"/>
      <w:lvlText w:val="–"/>
      <w:lvlJc w:val="left"/>
      <w:pPr>
        <w:tabs>
          <w:tab w:val="num" w:pos="2880"/>
        </w:tabs>
        <w:ind w:left="2880" w:hanging="360"/>
      </w:pPr>
      <w:rPr>
        <w:rFonts w:ascii="Arial" w:hAnsi="Arial" w:hint="default"/>
      </w:rPr>
    </w:lvl>
    <w:lvl w:ilvl="4" w:tplc="EF6ED328" w:tentative="1">
      <w:start w:val="1"/>
      <w:numFmt w:val="bullet"/>
      <w:lvlText w:val="–"/>
      <w:lvlJc w:val="left"/>
      <w:pPr>
        <w:tabs>
          <w:tab w:val="num" w:pos="3600"/>
        </w:tabs>
        <w:ind w:left="3600" w:hanging="360"/>
      </w:pPr>
      <w:rPr>
        <w:rFonts w:ascii="Arial" w:hAnsi="Arial" w:hint="default"/>
      </w:rPr>
    </w:lvl>
    <w:lvl w:ilvl="5" w:tplc="593E1522" w:tentative="1">
      <w:start w:val="1"/>
      <w:numFmt w:val="bullet"/>
      <w:lvlText w:val="–"/>
      <w:lvlJc w:val="left"/>
      <w:pPr>
        <w:tabs>
          <w:tab w:val="num" w:pos="4320"/>
        </w:tabs>
        <w:ind w:left="4320" w:hanging="360"/>
      </w:pPr>
      <w:rPr>
        <w:rFonts w:ascii="Arial" w:hAnsi="Arial" w:hint="default"/>
      </w:rPr>
    </w:lvl>
    <w:lvl w:ilvl="6" w:tplc="3314D742" w:tentative="1">
      <w:start w:val="1"/>
      <w:numFmt w:val="bullet"/>
      <w:lvlText w:val="–"/>
      <w:lvlJc w:val="left"/>
      <w:pPr>
        <w:tabs>
          <w:tab w:val="num" w:pos="5040"/>
        </w:tabs>
        <w:ind w:left="5040" w:hanging="360"/>
      </w:pPr>
      <w:rPr>
        <w:rFonts w:ascii="Arial" w:hAnsi="Arial" w:hint="default"/>
      </w:rPr>
    </w:lvl>
    <w:lvl w:ilvl="7" w:tplc="BE94CB32" w:tentative="1">
      <w:start w:val="1"/>
      <w:numFmt w:val="bullet"/>
      <w:lvlText w:val="–"/>
      <w:lvlJc w:val="left"/>
      <w:pPr>
        <w:tabs>
          <w:tab w:val="num" w:pos="5760"/>
        </w:tabs>
        <w:ind w:left="5760" w:hanging="360"/>
      </w:pPr>
      <w:rPr>
        <w:rFonts w:ascii="Arial" w:hAnsi="Arial" w:hint="default"/>
      </w:rPr>
    </w:lvl>
    <w:lvl w:ilvl="8" w:tplc="F24E47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0D145D"/>
    <w:multiLevelType w:val="hybridMultilevel"/>
    <w:tmpl w:val="B6764E7A"/>
    <w:lvl w:ilvl="0" w:tplc="30F2265E">
      <w:start w:val="1"/>
      <w:numFmt w:val="bullet"/>
      <w:lvlText w:val="–"/>
      <w:lvlJc w:val="left"/>
      <w:pPr>
        <w:tabs>
          <w:tab w:val="num" w:pos="720"/>
        </w:tabs>
        <w:ind w:left="720" w:hanging="360"/>
      </w:pPr>
      <w:rPr>
        <w:rFonts w:ascii="Arial" w:hAnsi="Arial" w:hint="default"/>
      </w:rPr>
    </w:lvl>
    <w:lvl w:ilvl="1" w:tplc="60A61A1C">
      <w:start w:val="1"/>
      <w:numFmt w:val="bullet"/>
      <w:lvlText w:val="–"/>
      <w:lvlJc w:val="left"/>
      <w:pPr>
        <w:tabs>
          <w:tab w:val="num" w:pos="1440"/>
        </w:tabs>
        <w:ind w:left="1440" w:hanging="360"/>
      </w:pPr>
      <w:rPr>
        <w:rFonts w:ascii="Arial" w:hAnsi="Arial" w:hint="default"/>
      </w:rPr>
    </w:lvl>
    <w:lvl w:ilvl="2" w:tplc="ECBEFCC8">
      <w:numFmt w:val="bullet"/>
      <w:lvlText w:val="•"/>
      <w:lvlJc w:val="left"/>
      <w:pPr>
        <w:tabs>
          <w:tab w:val="num" w:pos="2160"/>
        </w:tabs>
        <w:ind w:left="2160" w:hanging="360"/>
      </w:pPr>
      <w:rPr>
        <w:rFonts w:ascii="Arial" w:hAnsi="Arial" w:hint="default"/>
      </w:rPr>
    </w:lvl>
    <w:lvl w:ilvl="3" w:tplc="17740BE2">
      <w:numFmt w:val="bullet"/>
      <w:lvlText w:val="–"/>
      <w:lvlJc w:val="left"/>
      <w:pPr>
        <w:tabs>
          <w:tab w:val="num" w:pos="2880"/>
        </w:tabs>
        <w:ind w:left="2880" w:hanging="360"/>
      </w:pPr>
      <w:rPr>
        <w:rFonts w:ascii="Arial" w:hAnsi="Arial" w:hint="default"/>
      </w:rPr>
    </w:lvl>
    <w:lvl w:ilvl="4" w:tplc="56486992" w:tentative="1">
      <w:start w:val="1"/>
      <w:numFmt w:val="bullet"/>
      <w:lvlText w:val="–"/>
      <w:lvlJc w:val="left"/>
      <w:pPr>
        <w:tabs>
          <w:tab w:val="num" w:pos="3600"/>
        </w:tabs>
        <w:ind w:left="3600" w:hanging="360"/>
      </w:pPr>
      <w:rPr>
        <w:rFonts w:ascii="Arial" w:hAnsi="Arial" w:hint="default"/>
      </w:rPr>
    </w:lvl>
    <w:lvl w:ilvl="5" w:tplc="91E2FBF6" w:tentative="1">
      <w:start w:val="1"/>
      <w:numFmt w:val="bullet"/>
      <w:lvlText w:val="–"/>
      <w:lvlJc w:val="left"/>
      <w:pPr>
        <w:tabs>
          <w:tab w:val="num" w:pos="4320"/>
        </w:tabs>
        <w:ind w:left="4320" w:hanging="360"/>
      </w:pPr>
      <w:rPr>
        <w:rFonts w:ascii="Arial" w:hAnsi="Arial" w:hint="default"/>
      </w:rPr>
    </w:lvl>
    <w:lvl w:ilvl="6" w:tplc="9830FD6A" w:tentative="1">
      <w:start w:val="1"/>
      <w:numFmt w:val="bullet"/>
      <w:lvlText w:val="–"/>
      <w:lvlJc w:val="left"/>
      <w:pPr>
        <w:tabs>
          <w:tab w:val="num" w:pos="5040"/>
        </w:tabs>
        <w:ind w:left="5040" w:hanging="360"/>
      </w:pPr>
      <w:rPr>
        <w:rFonts w:ascii="Arial" w:hAnsi="Arial" w:hint="default"/>
      </w:rPr>
    </w:lvl>
    <w:lvl w:ilvl="7" w:tplc="61ECEE7C" w:tentative="1">
      <w:start w:val="1"/>
      <w:numFmt w:val="bullet"/>
      <w:lvlText w:val="–"/>
      <w:lvlJc w:val="left"/>
      <w:pPr>
        <w:tabs>
          <w:tab w:val="num" w:pos="5760"/>
        </w:tabs>
        <w:ind w:left="5760" w:hanging="360"/>
      </w:pPr>
      <w:rPr>
        <w:rFonts w:ascii="Arial" w:hAnsi="Arial" w:hint="default"/>
      </w:rPr>
    </w:lvl>
    <w:lvl w:ilvl="8" w:tplc="8DF437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43521D"/>
    <w:multiLevelType w:val="hybridMultilevel"/>
    <w:tmpl w:val="F2428212"/>
    <w:lvl w:ilvl="0" w:tplc="4D5E80BE">
      <w:start w:val="1"/>
      <w:numFmt w:val="bullet"/>
      <w:lvlText w:val="–"/>
      <w:lvlJc w:val="left"/>
      <w:pPr>
        <w:tabs>
          <w:tab w:val="num" w:pos="720"/>
        </w:tabs>
        <w:ind w:left="720" w:hanging="360"/>
      </w:pPr>
      <w:rPr>
        <w:rFonts w:ascii="Arial" w:hAnsi="Arial" w:hint="default"/>
      </w:rPr>
    </w:lvl>
    <w:lvl w:ilvl="1" w:tplc="59CAFC7E">
      <w:start w:val="1"/>
      <w:numFmt w:val="bullet"/>
      <w:lvlText w:val="–"/>
      <w:lvlJc w:val="left"/>
      <w:pPr>
        <w:tabs>
          <w:tab w:val="num" w:pos="1440"/>
        </w:tabs>
        <w:ind w:left="1440" w:hanging="360"/>
      </w:pPr>
      <w:rPr>
        <w:rFonts w:ascii="Arial" w:hAnsi="Arial" w:hint="default"/>
      </w:rPr>
    </w:lvl>
    <w:lvl w:ilvl="2" w:tplc="14101446">
      <w:numFmt w:val="bullet"/>
      <w:lvlText w:val="•"/>
      <w:lvlJc w:val="left"/>
      <w:pPr>
        <w:tabs>
          <w:tab w:val="num" w:pos="2160"/>
        </w:tabs>
        <w:ind w:left="2160" w:hanging="360"/>
      </w:pPr>
      <w:rPr>
        <w:rFonts w:ascii="Arial" w:hAnsi="Arial" w:hint="default"/>
      </w:rPr>
    </w:lvl>
    <w:lvl w:ilvl="3" w:tplc="15A4BC5E" w:tentative="1">
      <w:start w:val="1"/>
      <w:numFmt w:val="bullet"/>
      <w:lvlText w:val="–"/>
      <w:lvlJc w:val="left"/>
      <w:pPr>
        <w:tabs>
          <w:tab w:val="num" w:pos="2880"/>
        </w:tabs>
        <w:ind w:left="2880" w:hanging="360"/>
      </w:pPr>
      <w:rPr>
        <w:rFonts w:ascii="Arial" w:hAnsi="Arial" w:hint="default"/>
      </w:rPr>
    </w:lvl>
    <w:lvl w:ilvl="4" w:tplc="F190AB8A" w:tentative="1">
      <w:start w:val="1"/>
      <w:numFmt w:val="bullet"/>
      <w:lvlText w:val="–"/>
      <w:lvlJc w:val="left"/>
      <w:pPr>
        <w:tabs>
          <w:tab w:val="num" w:pos="3600"/>
        </w:tabs>
        <w:ind w:left="3600" w:hanging="360"/>
      </w:pPr>
      <w:rPr>
        <w:rFonts w:ascii="Arial" w:hAnsi="Arial" w:hint="default"/>
      </w:rPr>
    </w:lvl>
    <w:lvl w:ilvl="5" w:tplc="646C1244" w:tentative="1">
      <w:start w:val="1"/>
      <w:numFmt w:val="bullet"/>
      <w:lvlText w:val="–"/>
      <w:lvlJc w:val="left"/>
      <w:pPr>
        <w:tabs>
          <w:tab w:val="num" w:pos="4320"/>
        </w:tabs>
        <w:ind w:left="4320" w:hanging="360"/>
      </w:pPr>
      <w:rPr>
        <w:rFonts w:ascii="Arial" w:hAnsi="Arial" w:hint="default"/>
      </w:rPr>
    </w:lvl>
    <w:lvl w:ilvl="6" w:tplc="3C084B52" w:tentative="1">
      <w:start w:val="1"/>
      <w:numFmt w:val="bullet"/>
      <w:lvlText w:val="–"/>
      <w:lvlJc w:val="left"/>
      <w:pPr>
        <w:tabs>
          <w:tab w:val="num" w:pos="5040"/>
        </w:tabs>
        <w:ind w:left="5040" w:hanging="360"/>
      </w:pPr>
      <w:rPr>
        <w:rFonts w:ascii="Arial" w:hAnsi="Arial" w:hint="default"/>
      </w:rPr>
    </w:lvl>
    <w:lvl w:ilvl="7" w:tplc="0BC27300" w:tentative="1">
      <w:start w:val="1"/>
      <w:numFmt w:val="bullet"/>
      <w:lvlText w:val="–"/>
      <w:lvlJc w:val="left"/>
      <w:pPr>
        <w:tabs>
          <w:tab w:val="num" w:pos="5760"/>
        </w:tabs>
        <w:ind w:left="5760" w:hanging="360"/>
      </w:pPr>
      <w:rPr>
        <w:rFonts w:ascii="Arial" w:hAnsi="Arial" w:hint="default"/>
      </w:rPr>
    </w:lvl>
    <w:lvl w:ilvl="8" w:tplc="3BDCE9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C132C9E"/>
    <w:multiLevelType w:val="hybridMultilevel"/>
    <w:tmpl w:val="C85C0416"/>
    <w:lvl w:ilvl="0" w:tplc="31365946">
      <w:start w:val="1"/>
      <w:numFmt w:val="bullet"/>
      <w:lvlText w:val="–"/>
      <w:lvlJc w:val="left"/>
      <w:pPr>
        <w:tabs>
          <w:tab w:val="num" w:pos="720"/>
        </w:tabs>
        <w:ind w:left="720" w:hanging="360"/>
      </w:pPr>
      <w:rPr>
        <w:rFonts w:ascii="Arial" w:hAnsi="Arial" w:hint="default"/>
      </w:rPr>
    </w:lvl>
    <w:lvl w:ilvl="1" w:tplc="49AA86CA">
      <w:start w:val="1"/>
      <w:numFmt w:val="bullet"/>
      <w:lvlText w:val="–"/>
      <w:lvlJc w:val="left"/>
      <w:pPr>
        <w:tabs>
          <w:tab w:val="num" w:pos="1440"/>
        </w:tabs>
        <w:ind w:left="1440" w:hanging="360"/>
      </w:pPr>
      <w:rPr>
        <w:rFonts w:ascii="Arial" w:hAnsi="Arial" w:hint="default"/>
      </w:rPr>
    </w:lvl>
    <w:lvl w:ilvl="2" w:tplc="64B25E80">
      <w:numFmt w:val="bullet"/>
      <w:lvlText w:val="•"/>
      <w:lvlJc w:val="left"/>
      <w:pPr>
        <w:tabs>
          <w:tab w:val="num" w:pos="2160"/>
        </w:tabs>
        <w:ind w:left="2160" w:hanging="360"/>
      </w:pPr>
      <w:rPr>
        <w:rFonts w:ascii="Arial" w:hAnsi="Arial" w:hint="default"/>
      </w:rPr>
    </w:lvl>
    <w:lvl w:ilvl="3" w:tplc="C616D89C" w:tentative="1">
      <w:start w:val="1"/>
      <w:numFmt w:val="bullet"/>
      <w:lvlText w:val="–"/>
      <w:lvlJc w:val="left"/>
      <w:pPr>
        <w:tabs>
          <w:tab w:val="num" w:pos="2880"/>
        </w:tabs>
        <w:ind w:left="2880" w:hanging="360"/>
      </w:pPr>
      <w:rPr>
        <w:rFonts w:ascii="Arial" w:hAnsi="Arial" w:hint="default"/>
      </w:rPr>
    </w:lvl>
    <w:lvl w:ilvl="4" w:tplc="8DFEB022" w:tentative="1">
      <w:start w:val="1"/>
      <w:numFmt w:val="bullet"/>
      <w:lvlText w:val="–"/>
      <w:lvlJc w:val="left"/>
      <w:pPr>
        <w:tabs>
          <w:tab w:val="num" w:pos="3600"/>
        </w:tabs>
        <w:ind w:left="3600" w:hanging="360"/>
      </w:pPr>
      <w:rPr>
        <w:rFonts w:ascii="Arial" w:hAnsi="Arial" w:hint="default"/>
      </w:rPr>
    </w:lvl>
    <w:lvl w:ilvl="5" w:tplc="A0E4F10E" w:tentative="1">
      <w:start w:val="1"/>
      <w:numFmt w:val="bullet"/>
      <w:lvlText w:val="–"/>
      <w:lvlJc w:val="left"/>
      <w:pPr>
        <w:tabs>
          <w:tab w:val="num" w:pos="4320"/>
        </w:tabs>
        <w:ind w:left="4320" w:hanging="360"/>
      </w:pPr>
      <w:rPr>
        <w:rFonts w:ascii="Arial" w:hAnsi="Arial" w:hint="default"/>
      </w:rPr>
    </w:lvl>
    <w:lvl w:ilvl="6" w:tplc="364A2C48" w:tentative="1">
      <w:start w:val="1"/>
      <w:numFmt w:val="bullet"/>
      <w:lvlText w:val="–"/>
      <w:lvlJc w:val="left"/>
      <w:pPr>
        <w:tabs>
          <w:tab w:val="num" w:pos="5040"/>
        </w:tabs>
        <w:ind w:left="5040" w:hanging="360"/>
      </w:pPr>
      <w:rPr>
        <w:rFonts w:ascii="Arial" w:hAnsi="Arial" w:hint="default"/>
      </w:rPr>
    </w:lvl>
    <w:lvl w:ilvl="7" w:tplc="2B70ABCC" w:tentative="1">
      <w:start w:val="1"/>
      <w:numFmt w:val="bullet"/>
      <w:lvlText w:val="–"/>
      <w:lvlJc w:val="left"/>
      <w:pPr>
        <w:tabs>
          <w:tab w:val="num" w:pos="5760"/>
        </w:tabs>
        <w:ind w:left="5760" w:hanging="360"/>
      </w:pPr>
      <w:rPr>
        <w:rFonts w:ascii="Arial" w:hAnsi="Arial" w:hint="default"/>
      </w:rPr>
    </w:lvl>
    <w:lvl w:ilvl="8" w:tplc="3E6E93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C60C53"/>
    <w:multiLevelType w:val="hybridMultilevel"/>
    <w:tmpl w:val="0B6CAB28"/>
    <w:lvl w:ilvl="0" w:tplc="A00ED85E">
      <w:start w:val="1"/>
      <w:numFmt w:val="bullet"/>
      <w:lvlText w:val="•"/>
      <w:lvlJc w:val="left"/>
      <w:pPr>
        <w:tabs>
          <w:tab w:val="num" w:pos="720"/>
        </w:tabs>
        <w:ind w:left="720" w:hanging="360"/>
      </w:pPr>
      <w:rPr>
        <w:rFonts w:ascii="Arial" w:hAnsi="Arial" w:hint="default"/>
      </w:rPr>
    </w:lvl>
    <w:lvl w:ilvl="1" w:tplc="28CA3570">
      <w:numFmt w:val="bullet"/>
      <w:lvlText w:val="–"/>
      <w:lvlJc w:val="left"/>
      <w:pPr>
        <w:tabs>
          <w:tab w:val="num" w:pos="1440"/>
        </w:tabs>
        <w:ind w:left="1440" w:hanging="360"/>
      </w:pPr>
      <w:rPr>
        <w:rFonts w:ascii="Arial" w:hAnsi="Arial" w:hint="default"/>
      </w:rPr>
    </w:lvl>
    <w:lvl w:ilvl="2" w:tplc="9872B1E0" w:tentative="1">
      <w:start w:val="1"/>
      <w:numFmt w:val="bullet"/>
      <w:lvlText w:val="•"/>
      <w:lvlJc w:val="left"/>
      <w:pPr>
        <w:tabs>
          <w:tab w:val="num" w:pos="2160"/>
        </w:tabs>
        <w:ind w:left="2160" w:hanging="360"/>
      </w:pPr>
      <w:rPr>
        <w:rFonts w:ascii="Arial" w:hAnsi="Arial" w:hint="default"/>
      </w:rPr>
    </w:lvl>
    <w:lvl w:ilvl="3" w:tplc="8F380402" w:tentative="1">
      <w:start w:val="1"/>
      <w:numFmt w:val="bullet"/>
      <w:lvlText w:val="•"/>
      <w:lvlJc w:val="left"/>
      <w:pPr>
        <w:tabs>
          <w:tab w:val="num" w:pos="2880"/>
        </w:tabs>
        <w:ind w:left="2880" w:hanging="360"/>
      </w:pPr>
      <w:rPr>
        <w:rFonts w:ascii="Arial" w:hAnsi="Arial" w:hint="default"/>
      </w:rPr>
    </w:lvl>
    <w:lvl w:ilvl="4" w:tplc="06D0935E" w:tentative="1">
      <w:start w:val="1"/>
      <w:numFmt w:val="bullet"/>
      <w:lvlText w:val="•"/>
      <w:lvlJc w:val="left"/>
      <w:pPr>
        <w:tabs>
          <w:tab w:val="num" w:pos="3600"/>
        </w:tabs>
        <w:ind w:left="3600" w:hanging="360"/>
      </w:pPr>
      <w:rPr>
        <w:rFonts w:ascii="Arial" w:hAnsi="Arial" w:hint="default"/>
      </w:rPr>
    </w:lvl>
    <w:lvl w:ilvl="5" w:tplc="14880CCC" w:tentative="1">
      <w:start w:val="1"/>
      <w:numFmt w:val="bullet"/>
      <w:lvlText w:val="•"/>
      <w:lvlJc w:val="left"/>
      <w:pPr>
        <w:tabs>
          <w:tab w:val="num" w:pos="4320"/>
        </w:tabs>
        <w:ind w:left="4320" w:hanging="360"/>
      </w:pPr>
      <w:rPr>
        <w:rFonts w:ascii="Arial" w:hAnsi="Arial" w:hint="default"/>
      </w:rPr>
    </w:lvl>
    <w:lvl w:ilvl="6" w:tplc="4E78D314" w:tentative="1">
      <w:start w:val="1"/>
      <w:numFmt w:val="bullet"/>
      <w:lvlText w:val="•"/>
      <w:lvlJc w:val="left"/>
      <w:pPr>
        <w:tabs>
          <w:tab w:val="num" w:pos="5040"/>
        </w:tabs>
        <w:ind w:left="5040" w:hanging="360"/>
      </w:pPr>
      <w:rPr>
        <w:rFonts w:ascii="Arial" w:hAnsi="Arial" w:hint="default"/>
      </w:rPr>
    </w:lvl>
    <w:lvl w:ilvl="7" w:tplc="63425056" w:tentative="1">
      <w:start w:val="1"/>
      <w:numFmt w:val="bullet"/>
      <w:lvlText w:val="•"/>
      <w:lvlJc w:val="left"/>
      <w:pPr>
        <w:tabs>
          <w:tab w:val="num" w:pos="5760"/>
        </w:tabs>
        <w:ind w:left="5760" w:hanging="360"/>
      </w:pPr>
      <w:rPr>
        <w:rFonts w:ascii="Arial" w:hAnsi="Arial" w:hint="default"/>
      </w:rPr>
    </w:lvl>
    <w:lvl w:ilvl="8" w:tplc="5B9037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E11489"/>
    <w:multiLevelType w:val="hybridMultilevel"/>
    <w:tmpl w:val="029A2348"/>
    <w:lvl w:ilvl="0" w:tplc="0C0A3C08">
      <w:start w:val="8"/>
      <w:numFmt w:val="bullet"/>
      <w:lvlText w:val="-"/>
      <w:lvlJc w:val="left"/>
      <w:pPr>
        <w:ind w:left="360" w:hanging="36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4D82914"/>
    <w:multiLevelType w:val="hybridMultilevel"/>
    <w:tmpl w:val="32AA12E8"/>
    <w:lvl w:ilvl="0" w:tplc="93C8C96E">
      <w:start w:val="1"/>
      <w:numFmt w:val="bullet"/>
      <w:lvlText w:val="–"/>
      <w:lvlJc w:val="left"/>
      <w:pPr>
        <w:tabs>
          <w:tab w:val="num" w:pos="720"/>
        </w:tabs>
        <w:ind w:left="720" w:hanging="360"/>
      </w:pPr>
      <w:rPr>
        <w:rFonts w:ascii="Arial" w:hAnsi="Arial" w:hint="default"/>
      </w:rPr>
    </w:lvl>
    <w:lvl w:ilvl="1" w:tplc="18004080">
      <w:start w:val="1"/>
      <w:numFmt w:val="bullet"/>
      <w:lvlText w:val="–"/>
      <w:lvlJc w:val="left"/>
      <w:pPr>
        <w:tabs>
          <w:tab w:val="num" w:pos="1440"/>
        </w:tabs>
        <w:ind w:left="1440" w:hanging="360"/>
      </w:pPr>
      <w:rPr>
        <w:rFonts w:ascii="Arial" w:hAnsi="Arial" w:hint="default"/>
      </w:rPr>
    </w:lvl>
    <w:lvl w:ilvl="2" w:tplc="F9B2DE16">
      <w:numFmt w:val="bullet"/>
      <w:lvlText w:val="•"/>
      <w:lvlJc w:val="left"/>
      <w:pPr>
        <w:tabs>
          <w:tab w:val="num" w:pos="2160"/>
        </w:tabs>
        <w:ind w:left="2160" w:hanging="360"/>
      </w:pPr>
      <w:rPr>
        <w:rFonts w:ascii="Arial" w:hAnsi="Arial" w:hint="default"/>
      </w:rPr>
    </w:lvl>
    <w:lvl w:ilvl="3" w:tplc="8BD62368" w:tentative="1">
      <w:start w:val="1"/>
      <w:numFmt w:val="bullet"/>
      <w:lvlText w:val="–"/>
      <w:lvlJc w:val="left"/>
      <w:pPr>
        <w:tabs>
          <w:tab w:val="num" w:pos="2880"/>
        </w:tabs>
        <w:ind w:left="2880" w:hanging="360"/>
      </w:pPr>
      <w:rPr>
        <w:rFonts w:ascii="Arial" w:hAnsi="Arial" w:hint="default"/>
      </w:rPr>
    </w:lvl>
    <w:lvl w:ilvl="4" w:tplc="BC50DD64" w:tentative="1">
      <w:start w:val="1"/>
      <w:numFmt w:val="bullet"/>
      <w:lvlText w:val="–"/>
      <w:lvlJc w:val="left"/>
      <w:pPr>
        <w:tabs>
          <w:tab w:val="num" w:pos="3600"/>
        </w:tabs>
        <w:ind w:left="3600" w:hanging="360"/>
      </w:pPr>
      <w:rPr>
        <w:rFonts w:ascii="Arial" w:hAnsi="Arial" w:hint="default"/>
      </w:rPr>
    </w:lvl>
    <w:lvl w:ilvl="5" w:tplc="078E2D9A" w:tentative="1">
      <w:start w:val="1"/>
      <w:numFmt w:val="bullet"/>
      <w:lvlText w:val="–"/>
      <w:lvlJc w:val="left"/>
      <w:pPr>
        <w:tabs>
          <w:tab w:val="num" w:pos="4320"/>
        </w:tabs>
        <w:ind w:left="4320" w:hanging="360"/>
      </w:pPr>
      <w:rPr>
        <w:rFonts w:ascii="Arial" w:hAnsi="Arial" w:hint="default"/>
      </w:rPr>
    </w:lvl>
    <w:lvl w:ilvl="6" w:tplc="B2CE0652" w:tentative="1">
      <w:start w:val="1"/>
      <w:numFmt w:val="bullet"/>
      <w:lvlText w:val="–"/>
      <w:lvlJc w:val="left"/>
      <w:pPr>
        <w:tabs>
          <w:tab w:val="num" w:pos="5040"/>
        </w:tabs>
        <w:ind w:left="5040" w:hanging="360"/>
      </w:pPr>
      <w:rPr>
        <w:rFonts w:ascii="Arial" w:hAnsi="Arial" w:hint="default"/>
      </w:rPr>
    </w:lvl>
    <w:lvl w:ilvl="7" w:tplc="C4DCCF7C" w:tentative="1">
      <w:start w:val="1"/>
      <w:numFmt w:val="bullet"/>
      <w:lvlText w:val="–"/>
      <w:lvlJc w:val="left"/>
      <w:pPr>
        <w:tabs>
          <w:tab w:val="num" w:pos="5760"/>
        </w:tabs>
        <w:ind w:left="5760" w:hanging="360"/>
      </w:pPr>
      <w:rPr>
        <w:rFonts w:ascii="Arial" w:hAnsi="Arial" w:hint="default"/>
      </w:rPr>
    </w:lvl>
    <w:lvl w:ilvl="8" w:tplc="527A65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4C3A0B"/>
    <w:multiLevelType w:val="hybridMultilevel"/>
    <w:tmpl w:val="E638B3A0"/>
    <w:lvl w:ilvl="0" w:tplc="8E7A5152">
      <w:start w:val="1"/>
      <w:numFmt w:val="bullet"/>
      <w:lvlText w:val="–"/>
      <w:lvlJc w:val="left"/>
      <w:pPr>
        <w:tabs>
          <w:tab w:val="num" w:pos="720"/>
        </w:tabs>
        <w:ind w:left="720" w:hanging="360"/>
      </w:pPr>
      <w:rPr>
        <w:rFonts w:ascii="Arial" w:hAnsi="Arial" w:hint="default"/>
      </w:rPr>
    </w:lvl>
    <w:lvl w:ilvl="1" w:tplc="192CFE90">
      <w:start w:val="1"/>
      <w:numFmt w:val="bullet"/>
      <w:lvlText w:val="–"/>
      <w:lvlJc w:val="left"/>
      <w:pPr>
        <w:tabs>
          <w:tab w:val="num" w:pos="1440"/>
        </w:tabs>
        <w:ind w:left="1440" w:hanging="360"/>
      </w:pPr>
      <w:rPr>
        <w:rFonts w:ascii="Arial" w:hAnsi="Arial" w:hint="default"/>
      </w:rPr>
    </w:lvl>
    <w:lvl w:ilvl="2" w:tplc="6136DEB2">
      <w:numFmt w:val="bullet"/>
      <w:lvlText w:val="•"/>
      <w:lvlJc w:val="left"/>
      <w:pPr>
        <w:tabs>
          <w:tab w:val="num" w:pos="2160"/>
        </w:tabs>
        <w:ind w:left="2160" w:hanging="360"/>
      </w:pPr>
      <w:rPr>
        <w:rFonts w:ascii="Arial" w:hAnsi="Arial" w:hint="default"/>
      </w:rPr>
    </w:lvl>
    <w:lvl w:ilvl="3" w:tplc="E7286D8E" w:tentative="1">
      <w:start w:val="1"/>
      <w:numFmt w:val="bullet"/>
      <w:lvlText w:val="–"/>
      <w:lvlJc w:val="left"/>
      <w:pPr>
        <w:tabs>
          <w:tab w:val="num" w:pos="2880"/>
        </w:tabs>
        <w:ind w:left="2880" w:hanging="360"/>
      </w:pPr>
      <w:rPr>
        <w:rFonts w:ascii="Arial" w:hAnsi="Arial" w:hint="default"/>
      </w:rPr>
    </w:lvl>
    <w:lvl w:ilvl="4" w:tplc="774E89F2" w:tentative="1">
      <w:start w:val="1"/>
      <w:numFmt w:val="bullet"/>
      <w:lvlText w:val="–"/>
      <w:lvlJc w:val="left"/>
      <w:pPr>
        <w:tabs>
          <w:tab w:val="num" w:pos="3600"/>
        </w:tabs>
        <w:ind w:left="3600" w:hanging="360"/>
      </w:pPr>
      <w:rPr>
        <w:rFonts w:ascii="Arial" w:hAnsi="Arial" w:hint="default"/>
      </w:rPr>
    </w:lvl>
    <w:lvl w:ilvl="5" w:tplc="A8B6BB82" w:tentative="1">
      <w:start w:val="1"/>
      <w:numFmt w:val="bullet"/>
      <w:lvlText w:val="–"/>
      <w:lvlJc w:val="left"/>
      <w:pPr>
        <w:tabs>
          <w:tab w:val="num" w:pos="4320"/>
        </w:tabs>
        <w:ind w:left="4320" w:hanging="360"/>
      </w:pPr>
      <w:rPr>
        <w:rFonts w:ascii="Arial" w:hAnsi="Arial" w:hint="default"/>
      </w:rPr>
    </w:lvl>
    <w:lvl w:ilvl="6" w:tplc="1D409464" w:tentative="1">
      <w:start w:val="1"/>
      <w:numFmt w:val="bullet"/>
      <w:lvlText w:val="–"/>
      <w:lvlJc w:val="left"/>
      <w:pPr>
        <w:tabs>
          <w:tab w:val="num" w:pos="5040"/>
        </w:tabs>
        <w:ind w:left="5040" w:hanging="360"/>
      </w:pPr>
      <w:rPr>
        <w:rFonts w:ascii="Arial" w:hAnsi="Arial" w:hint="default"/>
      </w:rPr>
    </w:lvl>
    <w:lvl w:ilvl="7" w:tplc="6D801EA0" w:tentative="1">
      <w:start w:val="1"/>
      <w:numFmt w:val="bullet"/>
      <w:lvlText w:val="–"/>
      <w:lvlJc w:val="left"/>
      <w:pPr>
        <w:tabs>
          <w:tab w:val="num" w:pos="5760"/>
        </w:tabs>
        <w:ind w:left="5760" w:hanging="360"/>
      </w:pPr>
      <w:rPr>
        <w:rFonts w:ascii="Arial" w:hAnsi="Arial" w:hint="default"/>
      </w:rPr>
    </w:lvl>
    <w:lvl w:ilvl="8" w:tplc="4DDEBC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5E1F66"/>
    <w:multiLevelType w:val="hybridMultilevel"/>
    <w:tmpl w:val="96FA7E2A"/>
    <w:lvl w:ilvl="0" w:tplc="8640E25E">
      <w:start w:val="1"/>
      <w:numFmt w:val="bullet"/>
      <w:lvlText w:val="–"/>
      <w:lvlJc w:val="left"/>
      <w:pPr>
        <w:tabs>
          <w:tab w:val="num" w:pos="720"/>
        </w:tabs>
        <w:ind w:left="720" w:hanging="360"/>
      </w:pPr>
      <w:rPr>
        <w:rFonts w:ascii="Arial" w:hAnsi="Arial" w:hint="default"/>
      </w:rPr>
    </w:lvl>
    <w:lvl w:ilvl="1" w:tplc="EF0AD092">
      <w:start w:val="1"/>
      <w:numFmt w:val="bullet"/>
      <w:lvlText w:val="–"/>
      <w:lvlJc w:val="left"/>
      <w:pPr>
        <w:tabs>
          <w:tab w:val="num" w:pos="1440"/>
        </w:tabs>
        <w:ind w:left="1440" w:hanging="360"/>
      </w:pPr>
      <w:rPr>
        <w:rFonts w:ascii="Arial" w:hAnsi="Arial" w:hint="default"/>
      </w:rPr>
    </w:lvl>
    <w:lvl w:ilvl="2" w:tplc="F7505090">
      <w:numFmt w:val="bullet"/>
      <w:lvlText w:val="•"/>
      <w:lvlJc w:val="left"/>
      <w:pPr>
        <w:tabs>
          <w:tab w:val="num" w:pos="2160"/>
        </w:tabs>
        <w:ind w:left="2160" w:hanging="360"/>
      </w:pPr>
      <w:rPr>
        <w:rFonts w:ascii="Arial" w:hAnsi="Arial" w:hint="default"/>
      </w:rPr>
    </w:lvl>
    <w:lvl w:ilvl="3" w:tplc="12D4AFF2" w:tentative="1">
      <w:start w:val="1"/>
      <w:numFmt w:val="bullet"/>
      <w:lvlText w:val="–"/>
      <w:lvlJc w:val="left"/>
      <w:pPr>
        <w:tabs>
          <w:tab w:val="num" w:pos="2880"/>
        </w:tabs>
        <w:ind w:left="2880" w:hanging="360"/>
      </w:pPr>
      <w:rPr>
        <w:rFonts w:ascii="Arial" w:hAnsi="Arial" w:hint="default"/>
      </w:rPr>
    </w:lvl>
    <w:lvl w:ilvl="4" w:tplc="6BECCEA0" w:tentative="1">
      <w:start w:val="1"/>
      <w:numFmt w:val="bullet"/>
      <w:lvlText w:val="–"/>
      <w:lvlJc w:val="left"/>
      <w:pPr>
        <w:tabs>
          <w:tab w:val="num" w:pos="3600"/>
        </w:tabs>
        <w:ind w:left="3600" w:hanging="360"/>
      </w:pPr>
      <w:rPr>
        <w:rFonts w:ascii="Arial" w:hAnsi="Arial" w:hint="default"/>
      </w:rPr>
    </w:lvl>
    <w:lvl w:ilvl="5" w:tplc="4BCC3D34" w:tentative="1">
      <w:start w:val="1"/>
      <w:numFmt w:val="bullet"/>
      <w:lvlText w:val="–"/>
      <w:lvlJc w:val="left"/>
      <w:pPr>
        <w:tabs>
          <w:tab w:val="num" w:pos="4320"/>
        </w:tabs>
        <w:ind w:left="4320" w:hanging="360"/>
      </w:pPr>
      <w:rPr>
        <w:rFonts w:ascii="Arial" w:hAnsi="Arial" w:hint="default"/>
      </w:rPr>
    </w:lvl>
    <w:lvl w:ilvl="6" w:tplc="6FCC59A6" w:tentative="1">
      <w:start w:val="1"/>
      <w:numFmt w:val="bullet"/>
      <w:lvlText w:val="–"/>
      <w:lvlJc w:val="left"/>
      <w:pPr>
        <w:tabs>
          <w:tab w:val="num" w:pos="5040"/>
        </w:tabs>
        <w:ind w:left="5040" w:hanging="360"/>
      </w:pPr>
      <w:rPr>
        <w:rFonts w:ascii="Arial" w:hAnsi="Arial" w:hint="default"/>
      </w:rPr>
    </w:lvl>
    <w:lvl w:ilvl="7" w:tplc="A058DDB4" w:tentative="1">
      <w:start w:val="1"/>
      <w:numFmt w:val="bullet"/>
      <w:lvlText w:val="–"/>
      <w:lvlJc w:val="left"/>
      <w:pPr>
        <w:tabs>
          <w:tab w:val="num" w:pos="5760"/>
        </w:tabs>
        <w:ind w:left="5760" w:hanging="360"/>
      </w:pPr>
      <w:rPr>
        <w:rFonts w:ascii="Arial" w:hAnsi="Arial" w:hint="default"/>
      </w:rPr>
    </w:lvl>
    <w:lvl w:ilvl="8" w:tplc="DC0095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1"/>
  </w:num>
  <w:num w:numId="3">
    <w:abstractNumId w:val="22"/>
  </w:num>
  <w:num w:numId="4">
    <w:abstractNumId w:val="3"/>
  </w:num>
  <w:num w:numId="5">
    <w:abstractNumId w:val="9"/>
  </w:num>
  <w:num w:numId="6">
    <w:abstractNumId w:val="18"/>
  </w:num>
  <w:num w:numId="7">
    <w:abstractNumId w:val="14"/>
  </w:num>
  <w:num w:numId="8">
    <w:abstractNumId w:val="23"/>
    <w:lvlOverride w:ilvl="0">
      <w:startOverride w:val="1"/>
    </w:lvlOverride>
  </w:num>
  <w:num w:numId="9">
    <w:abstractNumId w:val="17"/>
  </w:num>
  <w:num w:numId="10">
    <w:abstractNumId w:val="13"/>
  </w:num>
  <w:num w:numId="11">
    <w:abstractNumId w:val="1"/>
  </w:num>
  <w:num w:numId="12">
    <w:abstractNumId w:val="5"/>
  </w:num>
  <w:num w:numId="13">
    <w:abstractNumId w:val="19"/>
  </w:num>
  <w:num w:numId="14">
    <w:abstractNumId w:val="20"/>
  </w:num>
  <w:num w:numId="15">
    <w:abstractNumId w:val="6"/>
  </w:num>
  <w:num w:numId="16">
    <w:abstractNumId w:val="16"/>
  </w:num>
  <w:num w:numId="17">
    <w:abstractNumId w:val="8"/>
  </w:num>
  <w:num w:numId="18">
    <w:abstractNumId w:val="4"/>
  </w:num>
  <w:num w:numId="19">
    <w:abstractNumId w:val="2"/>
  </w:num>
  <w:num w:numId="20">
    <w:abstractNumId w:val="12"/>
  </w:num>
  <w:num w:numId="21">
    <w:abstractNumId w:val="7"/>
  </w:num>
  <w:num w:numId="22">
    <w:abstractNumId w:val="0"/>
  </w:num>
  <w:num w:numId="23">
    <w:abstractNumId w:val="11"/>
  </w:num>
  <w:num w:numId="24">
    <w:abstractNumId w:val="1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365"/>
    <w:rsid w:val="000637AA"/>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8AF"/>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EBA"/>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A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60D"/>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DD3"/>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B2"/>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2F3"/>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A33"/>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5E9B"/>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D3B"/>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3B8"/>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AED"/>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1B"/>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2A2"/>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957"/>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2D1"/>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5A7"/>
    <w:rsid w:val="0055176A"/>
    <w:rsid w:val="0055187D"/>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CB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52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20"/>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942"/>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3CC"/>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A8"/>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11"/>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6EF"/>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6FB"/>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3DF6"/>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BB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7BF"/>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17E"/>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9D6"/>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17"/>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74D"/>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9D0"/>
    <w:rsid w:val="00B85071"/>
    <w:rsid w:val="00B8575B"/>
    <w:rsid w:val="00B85EAF"/>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D37"/>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0DE"/>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1C4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9D8"/>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1F"/>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29D"/>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CD8"/>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2FF0"/>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C57"/>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BA"/>
    <w:rsid w:val="00F00E00"/>
    <w:rsid w:val="00F00F67"/>
    <w:rsid w:val="00F01F0F"/>
    <w:rsid w:val="00F023E8"/>
    <w:rsid w:val="00F0272D"/>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B5A"/>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8C7"/>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1840345178">
          <w:marLeft w:val="1166"/>
          <w:marRight w:val="0"/>
          <w:marTop w:val="134"/>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470754450">
          <w:marLeft w:val="1800"/>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4159082">
      <w:bodyDiv w:val="1"/>
      <w:marLeft w:val="0"/>
      <w:marRight w:val="0"/>
      <w:marTop w:val="0"/>
      <w:marBottom w:val="0"/>
      <w:divBdr>
        <w:top w:val="none" w:sz="0" w:space="0" w:color="auto"/>
        <w:left w:val="none" w:sz="0" w:space="0" w:color="auto"/>
        <w:bottom w:val="none" w:sz="0" w:space="0" w:color="auto"/>
        <w:right w:val="none" w:sz="0" w:space="0" w:color="auto"/>
      </w:divBdr>
      <w:divsChild>
        <w:div w:id="537551897">
          <w:marLeft w:val="1166"/>
          <w:marRight w:val="0"/>
          <w:marTop w:val="82"/>
          <w:marBottom w:val="0"/>
          <w:divBdr>
            <w:top w:val="none" w:sz="0" w:space="0" w:color="auto"/>
            <w:left w:val="none" w:sz="0" w:space="0" w:color="auto"/>
            <w:bottom w:val="none" w:sz="0" w:space="0" w:color="auto"/>
            <w:right w:val="none" w:sz="0" w:space="0" w:color="auto"/>
          </w:divBdr>
        </w:div>
        <w:div w:id="1506821381">
          <w:marLeft w:val="1800"/>
          <w:marRight w:val="0"/>
          <w:marTop w:val="67"/>
          <w:marBottom w:val="0"/>
          <w:divBdr>
            <w:top w:val="none" w:sz="0" w:space="0" w:color="auto"/>
            <w:left w:val="none" w:sz="0" w:space="0" w:color="auto"/>
            <w:bottom w:val="none" w:sz="0" w:space="0" w:color="auto"/>
            <w:right w:val="none" w:sz="0" w:space="0" w:color="auto"/>
          </w:divBdr>
        </w:div>
        <w:div w:id="1909999835">
          <w:marLeft w:val="1800"/>
          <w:marRight w:val="0"/>
          <w:marTop w:val="67"/>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200823819">
          <w:marLeft w:val="1166"/>
          <w:marRight w:val="0"/>
          <w:marTop w:val="134"/>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35013697">
          <w:marLeft w:val="1166"/>
          <w:marRight w:val="0"/>
          <w:marTop w:val="134"/>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1933616">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6555304">
      <w:bodyDiv w:val="1"/>
      <w:marLeft w:val="0"/>
      <w:marRight w:val="0"/>
      <w:marTop w:val="0"/>
      <w:marBottom w:val="0"/>
      <w:divBdr>
        <w:top w:val="none" w:sz="0" w:space="0" w:color="auto"/>
        <w:left w:val="none" w:sz="0" w:space="0" w:color="auto"/>
        <w:bottom w:val="none" w:sz="0" w:space="0" w:color="auto"/>
        <w:right w:val="none" w:sz="0" w:space="0" w:color="auto"/>
      </w:divBdr>
      <w:divsChild>
        <w:div w:id="678896949">
          <w:marLeft w:val="1166"/>
          <w:marRight w:val="0"/>
          <w:marTop w:val="82"/>
          <w:marBottom w:val="0"/>
          <w:divBdr>
            <w:top w:val="none" w:sz="0" w:space="0" w:color="auto"/>
            <w:left w:val="none" w:sz="0" w:space="0" w:color="auto"/>
            <w:bottom w:val="none" w:sz="0" w:space="0" w:color="auto"/>
            <w:right w:val="none" w:sz="0" w:space="0" w:color="auto"/>
          </w:divBdr>
        </w:div>
        <w:div w:id="969163464">
          <w:marLeft w:val="1800"/>
          <w:marRight w:val="0"/>
          <w:marTop w:val="67"/>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7966114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0791521">
      <w:bodyDiv w:val="1"/>
      <w:marLeft w:val="0"/>
      <w:marRight w:val="0"/>
      <w:marTop w:val="0"/>
      <w:marBottom w:val="0"/>
      <w:divBdr>
        <w:top w:val="none" w:sz="0" w:space="0" w:color="auto"/>
        <w:left w:val="none" w:sz="0" w:space="0" w:color="auto"/>
        <w:bottom w:val="none" w:sz="0" w:space="0" w:color="auto"/>
        <w:right w:val="none" w:sz="0" w:space="0" w:color="auto"/>
      </w:divBdr>
      <w:divsChild>
        <w:div w:id="1131825870">
          <w:marLeft w:val="1166"/>
          <w:marRight w:val="0"/>
          <w:marTop w:val="82"/>
          <w:marBottom w:val="0"/>
          <w:divBdr>
            <w:top w:val="none" w:sz="0" w:space="0" w:color="auto"/>
            <w:left w:val="none" w:sz="0" w:space="0" w:color="auto"/>
            <w:bottom w:val="none" w:sz="0" w:space="0" w:color="auto"/>
            <w:right w:val="none" w:sz="0" w:space="0" w:color="auto"/>
          </w:divBdr>
        </w:div>
        <w:div w:id="244731022">
          <w:marLeft w:val="1800"/>
          <w:marRight w:val="0"/>
          <w:marTop w:val="67"/>
          <w:marBottom w:val="0"/>
          <w:divBdr>
            <w:top w:val="none" w:sz="0" w:space="0" w:color="auto"/>
            <w:left w:val="none" w:sz="0" w:space="0" w:color="auto"/>
            <w:bottom w:val="none" w:sz="0" w:space="0" w:color="auto"/>
            <w:right w:val="none" w:sz="0" w:space="0" w:color="auto"/>
          </w:divBdr>
        </w:div>
        <w:div w:id="1648197566">
          <w:marLeft w:val="1800"/>
          <w:marRight w:val="0"/>
          <w:marTop w:val="67"/>
          <w:marBottom w:val="0"/>
          <w:divBdr>
            <w:top w:val="none" w:sz="0" w:space="0" w:color="auto"/>
            <w:left w:val="none" w:sz="0" w:space="0" w:color="auto"/>
            <w:bottom w:val="none" w:sz="0" w:space="0" w:color="auto"/>
            <w:right w:val="none" w:sz="0" w:space="0" w:color="auto"/>
          </w:divBdr>
        </w:div>
        <w:div w:id="979577293">
          <w:marLeft w:val="1800"/>
          <w:marRight w:val="0"/>
          <w:marTop w:val="67"/>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 w:id="637950770">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396555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7823776">
      <w:bodyDiv w:val="1"/>
      <w:marLeft w:val="0"/>
      <w:marRight w:val="0"/>
      <w:marTop w:val="0"/>
      <w:marBottom w:val="0"/>
      <w:divBdr>
        <w:top w:val="none" w:sz="0" w:space="0" w:color="auto"/>
        <w:left w:val="none" w:sz="0" w:space="0" w:color="auto"/>
        <w:bottom w:val="none" w:sz="0" w:space="0" w:color="auto"/>
        <w:right w:val="none" w:sz="0" w:space="0" w:color="auto"/>
      </w:divBdr>
      <w:divsChild>
        <w:div w:id="699747981">
          <w:marLeft w:val="1166"/>
          <w:marRight w:val="0"/>
          <w:marTop w:val="82"/>
          <w:marBottom w:val="0"/>
          <w:divBdr>
            <w:top w:val="none" w:sz="0" w:space="0" w:color="auto"/>
            <w:left w:val="none" w:sz="0" w:space="0" w:color="auto"/>
            <w:bottom w:val="none" w:sz="0" w:space="0" w:color="auto"/>
            <w:right w:val="none" w:sz="0" w:space="0" w:color="auto"/>
          </w:divBdr>
        </w:div>
        <w:div w:id="306321789">
          <w:marLeft w:val="1800"/>
          <w:marRight w:val="0"/>
          <w:marTop w:val="67"/>
          <w:marBottom w:val="0"/>
          <w:divBdr>
            <w:top w:val="none" w:sz="0" w:space="0" w:color="auto"/>
            <w:left w:val="none" w:sz="0" w:space="0" w:color="auto"/>
            <w:bottom w:val="none" w:sz="0" w:space="0" w:color="auto"/>
            <w:right w:val="none" w:sz="0" w:space="0" w:color="auto"/>
          </w:divBdr>
        </w:div>
        <w:div w:id="200899233">
          <w:marLeft w:val="1800"/>
          <w:marRight w:val="0"/>
          <w:marTop w:val="67"/>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787013">
      <w:bodyDiv w:val="1"/>
      <w:marLeft w:val="0"/>
      <w:marRight w:val="0"/>
      <w:marTop w:val="0"/>
      <w:marBottom w:val="0"/>
      <w:divBdr>
        <w:top w:val="none" w:sz="0" w:space="0" w:color="auto"/>
        <w:left w:val="none" w:sz="0" w:space="0" w:color="auto"/>
        <w:bottom w:val="none" w:sz="0" w:space="0" w:color="auto"/>
        <w:right w:val="none" w:sz="0" w:space="0" w:color="auto"/>
      </w:divBdr>
      <w:divsChild>
        <w:div w:id="715080078">
          <w:marLeft w:val="1166"/>
          <w:marRight w:val="0"/>
          <w:marTop w:val="82"/>
          <w:marBottom w:val="0"/>
          <w:divBdr>
            <w:top w:val="none" w:sz="0" w:space="0" w:color="auto"/>
            <w:left w:val="none" w:sz="0" w:space="0" w:color="auto"/>
            <w:bottom w:val="none" w:sz="0" w:space="0" w:color="auto"/>
            <w:right w:val="none" w:sz="0" w:space="0" w:color="auto"/>
          </w:divBdr>
        </w:div>
        <w:div w:id="2131782066">
          <w:marLeft w:val="1800"/>
          <w:marRight w:val="0"/>
          <w:marTop w:val="67"/>
          <w:marBottom w:val="0"/>
          <w:divBdr>
            <w:top w:val="none" w:sz="0" w:space="0" w:color="auto"/>
            <w:left w:val="none" w:sz="0" w:space="0" w:color="auto"/>
            <w:bottom w:val="none" w:sz="0" w:space="0" w:color="auto"/>
            <w:right w:val="none" w:sz="0" w:space="0" w:color="auto"/>
          </w:divBdr>
        </w:div>
        <w:div w:id="1817331995">
          <w:marLeft w:val="1800"/>
          <w:marRight w:val="0"/>
          <w:marTop w:val="67"/>
          <w:marBottom w:val="0"/>
          <w:divBdr>
            <w:top w:val="none" w:sz="0" w:space="0" w:color="auto"/>
            <w:left w:val="none" w:sz="0" w:space="0" w:color="auto"/>
            <w:bottom w:val="none" w:sz="0" w:space="0" w:color="auto"/>
            <w:right w:val="none" w:sz="0" w:space="0" w:color="auto"/>
          </w:divBdr>
        </w:div>
      </w:divsChild>
    </w:div>
    <w:div w:id="834540874">
      <w:bodyDiv w:val="1"/>
      <w:marLeft w:val="0"/>
      <w:marRight w:val="0"/>
      <w:marTop w:val="0"/>
      <w:marBottom w:val="0"/>
      <w:divBdr>
        <w:top w:val="none" w:sz="0" w:space="0" w:color="auto"/>
        <w:left w:val="none" w:sz="0" w:space="0" w:color="auto"/>
        <w:bottom w:val="none" w:sz="0" w:space="0" w:color="auto"/>
        <w:right w:val="none" w:sz="0" w:space="0" w:color="auto"/>
      </w:divBdr>
    </w:div>
    <w:div w:id="84201163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8260301">
      <w:bodyDiv w:val="1"/>
      <w:marLeft w:val="0"/>
      <w:marRight w:val="0"/>
      <w:marTop w:val="0"/>
      <w:marBottom w:val="0"/>
      <w:divBdr>
        <w:top w:val="none" w:sz="0" w:space="0" w:color="auto"/>
        <w:left w:val="none" w:sz="0" w:space="0" w:color="auto"/>
        <w:bottom w:val="none" w:sz="0" w:space="0" w:color="auto"/>
        <w:right w:val="none" w:sz="0" w:space="0" w:color="auto"/>
      </w:divBdr>
      <w:divsChild>
        <w:div w:id="2059889298">
          <w:marLeft w:val="1166"/>
          <w:marRight w:val="0"/>
          <w:marTop w:val="82"/>
          <w:marBottom w:val="0"/>
          <w:divBdr>
            <w:top w:val="none" w:sz="0" w:space="0" w:color="auto"/>
            <w:left w:val="none" w:sz="0" w:space="0" w:color="auto"/>
            <w:bottom w:val="none" w:sz="0" w:space="0" w:color="auto"/>
            <w:right w:val="none" w:sz="0" w:space="0" w:color="auto"/>
          </w:divBdr>
        </w:div>
        <w:div w:id="1442258499">
          <w:marLeft w:val="1800"/>
          <w:marRight w:val="0"/>
          <w:marTop w:val="67"/>
          <w:marBottom w:val="0"/>
          <w:divBdr>
            <w:top w:val="none" w:sz="0" w:space="0" w:color="auto"/>
            <w:left w:val="none" w:sz="0" w:space="0" w:color="auto"/>
            <w:bottom w:val="none" w:sz="0" w:space="0" w:color="auto"/>
            <w:right w:val="none" w:sz="0" w:space="0" w:color="auto"/>
          </w:divBdr>
        </w:div>
        <w:div w:id="425929180">
          <w:marLeft w:val="1800"/>
          <w:marRight w:val="0"/>
          <w:marTop w:val="67"/>
          <w:marBottom w:val="0"/>
          <w:divBdr>
            <w:top w:val="none" w:sz="0" w:space="0" w:color="auto"/>
            <w:left w:val="none" w:sz="0" w:space="0" w:color="auto"/>
            <w:bottom w:val="none" w:sz="0" w:space="0" w:color="auto"/>
            <w:right w:val="none" w:sz="0" w:space="0" w:color="auto"/>
          </w:divBdr>
        </w:div>
        <w:div w:id="1485270275">
          <w:marLeft w:val="1800"/>
          <w:marRight w:val="0"/>
          <w:marTop w:val="67"/>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37576641">
      <w:bodyDiv w:val="1"/>
      <w:marLeft w:val="0"/>
      <w:marRight w:val="0"/>
      <w:marTop w:val="0"/>
      <w:marBottom w:val="0"/>
      <w:divBdr>
        <w:top w:val="none" w:sz="0" w:space="0" w:color="auto"/>
        <w:left w:val="none" w:sz="0" w:space="0" w:color="auto"/>
        <w:bottom w:val="none" w:sz="0" w:space="0" w:color="auto"/>
        <w:right w:val="none" w:sz="0" w:space="0" w:color="auto"/>
      </w:divBdr>
      <w:divsChild>
        <w:div w:id="2127263129">
          <w:marLeft w:val="1166"/>
          <w:marRight w:val="0"/>
          <w:marTop w:val="82"/>
          <w:marBottom w:val="0"/>
          <w:divBdr>
            <w:top w:val="none" w:sz="0" w:space="0" w:color="auto"/>
            <w:left w:val="none" w:sz="0" w:space="0" w:color="auto"/>
            <w:bottom w:val="none" w:sz="0" w:space="0" w:color="auto"/>
            <w:right w:val="none" w:sz="0" w:space="0" w:color="auto"/>
          </w:divBdr>
        </w:div>
        <w:div w:id="1575579154">
          <w:marLeft w:val="1800"/>
          <w:marRight w:val="0"/>
          <w:marTop w:val="67"/>
          <w:marBottom w:val="0"/>
          <w:divBdr>
            <w:top w:val="none" w:sz="0" w:space="0" w:color="auto"/>
            <w:left w:val="none" w:sz="0" w:space="0" w:color="auto"/>
            <w:bottom w:val="none" w:sz="0" w:space="0" w:color="auto"/>
            <w:right w:val="none" w:sz="0" w:space="0" w:color="auto"/>
          </w:divBdr>
        </w:div>
        <w:div w:id="1130588513">
          <w:marLeft w:val="1800"/>
          <w:marRight w:val="0"/>
          <w:marTop w:val="67"/>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7546376">
      <w:bodyDiv w:val="1"/>
      <w:marLeft w:val="0"/>
      <w:marRight w:val="0"/>
      <w:marTop w:val="0"/>
      <w:marBottom w:val="0"/>
      <w:divBdr>
        <w:top w:val="none" w:sz="0" w:space="0" w:color="auto"/>
        <w:left w:val="none" w:sz="0" w:space="0" w:color="auto"/>
        <w:bottom w:val="none" w:sz="0" w:space="0" w:color="auto"/>
        <w:right w:val="none" w:sz="0" w:space="0" w:color="auto"/>
      </w:divBdr>
      <w:divsChild>
        <w:div w:id="2101095004">
          <w:marLeft w:val="1166"/>
          <w:marRight w:val="0"/>
          <w:marTop w:val="82"/>
          <w:marBottom w:val="0"/>
          <w:divBdr>
            <w:top w:val="none" w:sz="0" w:space="0" w:color="auto"/>
            <w:left w:val="none" w:sz="0" w:space="0" w:color="auto"/>
            <w:bottom w:val="none" w:sz="0" w:space="0" w:color="auto"/>
            <w:right w:val="none" w:sz="0" w:space="0" w:color="auto"/>
          </w:divBdr>
        </w:div>
        <w:div w:id="189883064">
          <w:marLeft w:val="1800"/>
          <w:marRight w:val="0"/>
          <w:marTop w:val="67"/>
          <w:marBottom w:val="0"/>
          <w:divBdr>
            <w:top w:val="none" w:sz="0" w:space="0" w:color="auto"/>
            <w:left w:val="none" w:sz="0" w:space="0" w:color="auto"/>
            <w:bottom w:val="none" w:sz="0" w:space="0" w:color="auto"/>
            <w:right w:val="none" w:sz="0" w:space="0" w:color="auto"/>
          </w:divBdr>
        </w:div>
        <w:div w:id="593977017">
          <w:marLeft w:val="1800"/>
          <w:marRight w:val="0"/>
          <w:marTop w:val="67"/>
          <w:marBottom w:val="0"/>
          <w:divBdr>
            <w:top w:val="none" w:sz="0" w:space="0" w:color="auto"/>
            <w:left w:val="none" w:sz="0" w:space="0" w:color="auto"/>
            <w:bottom w:val="none" w:sz="0" w:space="0" w:color="auto"/>
            <w:right w:val="none" w:sz="0" w:space="0" w:color="auto"/>
          </w:divBdr>
        </w:div>
        <w:div w:id="1898588247">
          <w:marLeft w:val="2520"/>
          <w:marRight w:val="0"/>
          <w:marTop w:val="48"/>
          <w:marBottom w:val="0"/>
          <w:divBdr>
            <w:top w:val="none" w:sz="0" w:space="0" w:color="auto"/>
            <w:left w:val="none" w:sz="0" w:space="0" w:color="auto"/>
            <w:bottom w:val="none" w:sz="0" w:space="0" w:color="auto"/>
            <w:right w:val="none" w:sz="0" w:space="0" w:color="auto"/>
          </w:divBdr>
        </w:div>
        <w:div w:id="583101726">
          <w:marLeft w:val="2520"/>
          <w:marRight w:val="0"/>
          <w:marTop w:val="48"/>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298145187">
      <w:bodyDiv w:val="1"/>
      <w:marLeft w:val="0"/>
      <w:marRight w:val="0"/>
      <w:marTop w:val="0"/>
      <w:marBottom w:val="0"/>
      <w:divBdr>
        <w:top w:val="none" w:sz="0" w:space="0" w:color="auto"/>
        <w:left w:val="none" w:sz="0" w:space="0" w:color="auto"/>
        <w:bottom w:val="none" w:sz="0" w:space="0" w:color="auto"/>
        <w:right w:val="none" w:sz="0" w:space="0" w:color="auto"/>
      </w:divBdr>
      <w:divsChild>
        <w:div w:id="1135371643">
          <w:marLeft w:val="1166"/>
          <w:marRight w:val="0"/>
          <w:marTop w:val="82"/>
          <w:marBottom w:val="0"/>
          <w:divBdr>
            <w:top w:val="none" w:sz="0" w:space="0" w:color="auto"/>
            <w:left w:val="none" w:sz="0" w:space="0" w:color="auto"/>
            <w:bottom w:val="none" w:sz="0" w:space="0" w:color="auto"/>
            <w:right w:val="none" w:sz="0" w:space="0" w:color="auto"/>
          </w:divBdr>
        </w:div>
        <w:div w:id="970473800">
          <w:marLeft w:val="1800"/>
          <w:marRight w:val="0"/>
          <w:marTop w:val="67"/>
          <w:marBottom w:val="0"/>
          <w:divBdr>
            <w:top w:val="none" w:sz="0" w:space="0" w:color="auto"/>
            <w:left w:val="none" w:sz="0" w:space="0" w:color="auto"/>
            <w:bottom w:val="none" w:sz="0" w:space="0" w:color="auto"/>
            <w:right w:val="none" w:sz="0" w:space="0" w:color="auto"/>
          </w:divBdr>
        </w:div>
        <w:div w:id="1778981772">
          <w:marLeft w:val="1800"/>
          <w:marRight w:val="0"/>
          <w:marTop w:val="67"/>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39623169">
      <w:bodyDiv w:val="1"/>
      <w:marLeft w:val="0"/>
      <w:marRight w:val="0"/>
      <w:marTop w:val="0"/>
      <w:marBottom w:val="0"/>
      <w:divBdr>
        <w:top w:val="none" w:sz="0" w:space="0" w:color="auto"/>
        <w:left w:val="none" w:sz="0" w:space="0" w:color="auto"/>
        <w:bottom w:val="none" w:sz="0" w:space="0" w:color="auto"/>
        <w:right w:val="none" w:sz="0" w:space="0" w:color="auto"/>
      </w:divBdr>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8160885">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49991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645101">
      <w:bodyDiv w:val="1"/>
      <w:marLeft w:val="0"/>
      <w:marRight w:val="0"/>
      <w:marTop w:val="0"/>
      <w:marBottom w:val="0"/>
      <w:divBdr>
        <w:top w:val="none" w:sz="0" w:space="0" w:color="auto"/>
        <w:left w:val="none" w:sz="0" w:space="0" w:color="auto"/>
        <w:bottom w:val="none" w:sz="0" w:space="0" w:color="auto"/>
        <w:right w:val="none" w:sz="0" w:space="0" w:color="auto"/>
      </w:divBdr>
      <w:divsChild>
        <w:div w:id="1642493903">
          <w:marLeft w:val="547"/>
          <w:marRight w:val="0"/>
          <w:marTop w:val="115"/>
          <w:marBottom w:val="0"/>
          <w:divBdr>
            <w:top w:val="none" w:sz="0" w:space="0" w:color="auto"/>
            <w:left w:val="none" w:sz="0" w:space="0" w:color="auto"/>
            <w:bottom w:val="none" w:sz="0" w:space="0" w:color="auto"/>
            <w:right w:val="none" w:sz="0" w:space="0" w:color="auto"/>
          </w:divBdr>
        </w:div>
        <w:div w:id="766848030">
          <w:marLeft w:val="1166"/>
          <w:marRight w:val="0"/>
          <w:marTop w:val="96"/>
          <w:marBottom w:val="0"/>
          <w:divBdr>
            <w:top w:val="none" w:sz="0" w:space="0" w:color="auto"/>
            <w:left w:val="none" w:sz="0" w:space="0" w:color="auto"/>
            <w:bottom w:val="none" w:sz="0" w:space="0" w:color="auto"/>
            <w:right w:val="none" w:sz="0" w:space="0" w:color="auto"/>
          </w:divBdr>
        </w:div>
        <w:div w:id="1144397894">
          <w:marLeft w:val="1166"/>
          <w:marRight w:val="0"/>
          <w:marTop w:val="96"/>
          <w:marBottom w:val="0"/>
          <w:divBdr>
            <w:top w:val="none" w:sz="0" w:space="0" w:color="auto"/>
            <w:left w:val="none" w:sz="0" w:space="0" w:color="auto"/>
            <w:bottom w:val="none" w:sz="0" w:space="0" w:color="auto"/>
            <w:right w:val="none" w:sz="0" w:space="0" w:color="auto"/>
          </w:divBdr>
        </w:div>
        <w:div w:id="910113517">
          <w:marLeft w:val="1166"/>
          <w:marRight w:val="0"/>
          <w:marTop w:val="96"/>
          <w:marBottom w:val="0"/>
          <w:divBdr>
            <w:top w:val="none" w:sz="0" w:space="0" w:color="auto"/>
            <w:left w:val="none" w:sz="0" w:space="0" w:color="auto"/>
            <w:bottom w:val="none" w:sz="0" w:space="0" w:color="auto"/>
            <w:right w:val="none" w:sz="0" w:space="0" w:color="auto"/>
          </w:divBdr>
        </w:div>
        <w:div w:id="57555914">
          <w:marLeft w:val="1166"/>
          <w:marRight w:val="0"/>
          <w:marTop w:val="9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1880303">
      <w:bodyDiv w:val="1"/>
      <w:marLeft w:val="0"/>
      <w:marRight w:val="0"/>
      <w:marTop w:val="0"/>
      <w:marBottom w:val="0"/>
      <w:divBdr>
        <w:top w:val="none" w:sz="0" w:space="0" w:color="auto"/>
        <w:left w:val="none" w:sz="0" w:space="0" w:color="auto"/>
        <w:bottom w:val="none" w:sz="0" w:space="0" w:color="auto"/>
        <w:right w:val="none" w:sz="0" w:space="0" w:color="auto"/>
      </w:divBdr>
      <w:divsChild>
        <w:div w:id="14887579">
          <w:marLeft w:val="360"/>
          <w:marRight w:val="0"/>
          <w:marTop w:val="200"/>
          <w:marBottom w:val="0"/>
          <w:divBdr>
            <w:top w:val="none" w:sz="0" w:space="0" w:color="auto"/>
            <w:left w:val="none" w:sz="0" w:space="0" w:color="auto"/>
            <w:bottom w:val="none" w:sz="0" w:space="0" w:color="auto"/>
            <w:right w:val="none" w:sz="0" w:space="0" w:color="auto"/>
          </w:divBdr>
        </w:div>
        <w:div w:id="1776824508">
          <w:marLeft w:val="1080"/>
          <w:marRight w:val="0"/>
          <w:marTop w:val="100"/>
          <w:marBottom w:val="0"/>
          <w:divBdr>
            <w:top w:val="none" w:sz="0" w:space="0" w:color="auto"/>
            <w:left w:val="none" w:sz="0" w:space="0" w:color="auto"/>
            <w:bottom w:val="none" w:sz="0" w:space="0" w:color="auto"/>
            <w:right w:val="none" w:sz="0" w:space="0" w:color="auto"/>
          </w:divBdr>
        </w:div>
        <w:div w:id="1919244793">
          <w:marLeft w:val="1080"/>
          <w:marRight w:val="0"/>
          <w:marTop w:val="100"/>
          <w:marBottom w:val="0"/>
          <w:divBdr>
            <w:top w:val="none" w:sz="0" w:space="0" w:color="auto"/>
            <w:left w:val="none" w:sz="0" w:space="0" w:color="auto"/>
            <w:bottom w:val="none" w:sz="0" w:space="0" w:color="auto"/>
            <w:right w:val="none" w:sz="0" w:space="0" w:color="auto"/>
          </w:divBdr>
        </w:div>
        <w:div w:id="1945186901">
          <w:marLeft w:val="1080"/>
          <w:marRight w:val="0"/>
          <w:marTop w:val="100"/>
          <w:marBottom w:val="0"/>
          <w:divBdr>
            <w:top w:val="none" w:sz="0" w:space="0" w:color="auto"/>
            <w:left w:val="none" w:sz="0" w:space="0" w:color="auto"/>
            <w:bottom w:val="none" w:sz="0" w:space="0" w:color="auto"/>
            <w:right w:val="none" w:sz="0" w:space="0" w:color="auto"/>
          </w:divBdr>
        </w:div>
        <w:div w:id="1244074080">
          <w:marLeft w:val="1080"/>
          <w:marRight w:val="0"/>
          <w:marTop w:val="100"/>
          <w:marBottom w:val="0"/>
          <w:divBdr>
            <w:top w:val="none" w:sz="0" w:space="0" w:color="auto"/>
            <w:left w:val="none" w:sz="0" w:space="0" w:color="auto"/>
            <w:bottom w:val="none" w:sz="0" w:space="0" w:color="auto"/>
            <w:right w:val="none" w:sz="0" w:space="0" w:color="auto"/>
          </w:divBdr>
        </w:div>
        <w:div w:id="773941242">
          <w:marLeft w:val="1080"/>
          <w:marRight w:val="0"/>
          <w:marTop w:val="100"/>
          <w:marBottom w:val="0"/>
          <w:divBdr>
            <w:top w:val="none" w:sz="0" w:space="0" w:color="auto"/>
            <w:left w:val="none" w:sz="0" w:space="0" w:color="auto"/>
            <w:bottom w:val="none" w:sz="0" w:space="0" w:color="auto"/>
            <w:right w:val="none" w:sz="0" w:space="0" w:color="auto"/>
          </w:divBdr>
        </w:div>
        <w:div w:id="1753774421">
          <w:marLeft w:val="1080"/>
          <w:marRight w:val="0"/>
          <w:marTop w:val="100"/>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82319">
      <w:bodyDiv w:val="1"/>
      <w:marLeft w:val="0"/>
      <w:marRight w:val="0"/>
      <w:marTop w:val="0"/>
      <w:marBottom w:val="0"/>
      <w:divBdr>
        <w:top w:val="none" w:sz="0" w:space="0" w:color="auto"/>
        <w:left w:val="none" w:sz="0" w:space="0" w:color="auto"/>
        <w:bottom w:val="none" w:sz="0" w:space="0" w:color="auto"/>
        <w:right w:val="none" w:sz="0" w:space="0" w:color="auto"/>
      </w:divBdr>
    </w:div>
    <w:div w:id="1771511831">
      <w:bodyDiv w:val="1"/>
      <w:marLeft w:val="0"/>
      <w:marRight w:val="0"/>
      <w:marTop w:val="0"/>
      <w:marBottom w:val="0"/>
      <w:divBdr>
        <w:top w:val="none" w:sz="0" w:space="0" w:color="auto"/>
        <w:left w:val="none" w:sz="0" w:space="0" w:color="auto"/>
        <w:bottom w:val="none" w:sz="0" w:space="0" w:color="auto"/>
        <w:right w:val="none" w:sz="0" w:space="0" w:color="auto"/>
      </w:divBdr>
      <w:divsChild>
        <w:div w:id="876813580">
          <w:marLeft w:val="1166"/>
          <w:marRight w:val="0"/>
          <w:marTop w:val="82"/>
          <w:marBottom w:val="0"/>
          <w:divBdr>
            <w:top w:val="none" w:sz="0" w:space="0" w:color="auto"/>
            <w:left w:val="none" w:sz="0" w:space="0" w:color="auto"/>
            <w:bottom w:val="none" w:sz="0" w:space="0" w:color="auto"/>
            <w:right w:val="none" w:sz="0" w:space="0" w:color="auto"/>
          </w:divBdr>
        </w:div>
        <w:div w:id="1115292492">
          <w:marLeft w:val="1800"/>
          <w:marRight w:val="0"/>
          <w:marTop w:val="67"/>
          <w:marBottom w:val="0"/>
          <w:divBdr>
            <w:top w:val="none" w:sz="0" w:space="0" w:color="auto"/>
            <w:left w:val="none" w:sz="0" w:space="0" w:color="auto"/>
            <w:bottom w:val="none" w:sz="0" w:space="0" w:color="auto"/>
            <w:right w:val="none" w:sz="0" w:space="0" w:color="auto"/>
          </w:divBdr>
        </w:div>
        <w:div w:id="2107533746">
          <w:marLeft w:val="1800"/>
          <w:marRight w:val="0"/>
          <w:marTop w:val="67"/>
          <w:marBottom w:val="0"/>
          <w:divBdr>
            <w:top w:val="none" w:sz="0" w:space="0" w:color="auto"/>
            <w:left w:val="none" w:sz="0" w:space="0" w:color="auto"/>
            <w:bottom w:val="none" w:sz="0" w:space="0" w:color="auto"/>
            <w:right w:val="none" w:sz="0" w:space="0" w:color="auto"/>
          </w:divBdr>
        </w:div>
      </w:divsChild>
    </w:div>
    <w:div w:id="1773625037">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863001">
      <w:bodyDiv w:val="1"/>
      <w:marLeft w:val="0"/>
      <w:marRight w:val="0"/>
      <w:marTop w:val="0"/>
      <w:marBottom w:val="0"/>
      <w:divBdr>
        <w:top w:val="none" w:sz="0" w:space="0" w:color="auto"/>
        <w:left w:val="none" w:sz="0" w:space="0" w:color="auto"/>
        <w:bottom w:val="none" w:sz="0" w:space="0" w:color="auto"/>
        <w:right w:val="none" w:sz="0" w:space="0" w:color="auto"/>
      </w:divBdr>
      <w:divsChild>
        <w:div w:id="1060832927">
          <w:marLeft w:val="1166"/>
          <w:marRight w:val="0"/>
          <w:marTop w:val="82"/>
          <w:marBottom w:val="0"/>
          <w:divBdr>
            <w:top w:val="none" w:sz="0" w:space="0" w:color="auto"/>
            <w:left w:val="none" w:sz="0" w:space="0" w:color="auto"/>
            <w:bottom w:val="none" w:sz="0" w:space="0" w:color="auto"/>
            <w:right w:val="none" w:sz="0" w:space="0" w:color="auto"/>
          </w:divBdr>
        </w:div>
        <w:div w:id="337466091">
          <w:marLeft w:val="1800"/>
          <w:marRight w:val="0"/>
          <w:marTop w:val="67"/>
          <w:marBottom w:val="0"/>
          <w:divBdr>
            <w:top w:val="none" w:sz="0" w:space="0" w:color="auto"/>
            <w:left w:val="none" w:sz="0" w:space="0" w:color="auto"/>
            <w:bottom w:val="none" w:sz="0" w:space="0" w:color="auto"/>
            <w:right w:val="none" w:sz="0" w:space="0" w:color="auto"/>
          </w:divBdr>
        </w:div>
        <w:div w:id="1038510667">
          <w:marLeft w:val="1800"/>
          <w:marRight w:val="0"/>
          <w:marTop w:val="67"/>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66932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9579323">
      <w:bodyDiv w:val="1"/>
      <w:marLeft w:val="0"/>
      <w:marRight w:val="0"/>
      <w:marTop w:val="0"/>
      <w:marBottom w:val="0"/>
      <w:divBdr>
        <w:top w:val="none" w:sz="0" w:space="0" w:color="auto"/>
        <w:left w:val="none" w:sz="0" w:space="0" w:color="auto"/>
        <w:bottom w:val="none" w:sz="0" w:space="0" w:color="auto"/>
        <w:right w:val="none" w:sz="0" w:space="0" w:color="auto"/>
      </w:divBdr>
      <w:divsChild>
        <w:div w:id="80222430">
          <w:marLeft w:val="1166"/>
          <w:marRight w:val="0"/>
          <w:marTop w:val="82"/>
          <w:marBottom w:val="0"/>
          <w:divBdr>
            <w:top w:val="none" w:sz="0" w:space="0" w:color="auto"/>
            <w:left w:val="none" w:sz="0" w:space="0" w:color="auto"/>
            <w:bottom w:val="none" w:sz="0" w:space="0" w:color="auto"/>
            <w:right w:val="none" w:sz="0" w:space="0" w:color="auto"/>
          </w:divBdr>
        </w:div>
        <w:div w:id="1313826408">
          <w:marLeft w:val="1800"/>
          <w:marRight w:val="0"/>
          <w:marTop w:val="67"/>
          <w:marBottom w:val="0"/>
          <w:divBdr>
            <w:top w:val="none" w:sz="0" w:space="0" w:color="auto"/>
            <w:left w:val="none" w:sz="0" w:space="0" w:color="auto"/>
            <w:bottom w:val="none" w:sz="0" w:space="0" w:color="auto"/>
            <w:right w:val="none" w:sz="0" w:space="0" w:color="auto"/>
          </w:divBdr>
        </w:div>
        <w:div w:id="1058237273">
          <w:marLeft w:val="1800"/>
          <w:marRight w:val="0"/>
          <w:marTop w:val="67"/>
          <w:marBottom w:val="0"/>
          <w:divBdr>
            <w:top w:val="none" w:sz="0" w:space="0" w:color="auto"/>
            <w:left w:val="none" w:sz="0" w:space="0" w:color="auto"/>
            <w:bottom w:val="none" w:sz="0" w:space="0" w:color="auto"/>
            <w:right w:val="none" w:sz="0" w:space="0" w:color="auto"/>
          </w:divBdr>
        </w:div>
        <w:div w:id="392626569">
          <w:marLeft w:val="2520"/>
          <w:marRight w:val="0"/>
          <w:marTop w:val="48"/>
          <w:marBottom w:val="0"/>
          <w:divBdr>
            <w:top w:val="none" w:sz="0" w:space="0" w:color="auto"/>
            <w:left w:val="none" w:sz="0" w:space="0" w:color="auto"/>
            <w:bottom w:val="none" w:sz="0" w:space="0" w:color="auto"/>
            <w:right w:val="none" w:sz="0" w:space="0" w:color="auto"/>
          </w:divBdr>
        </w:div>
        <w:div w:id="692847663">
          <w:marLeft w:val="2520"/>
          <w:marRight w:val="0"/>
          <w:marTop w:val="48"/>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7729558">
      <w:bodyDiv w:val="1"/>
      <w:marLeft w:val="0"/>
      <w:marRight w:val="0"/>
      <w:marTop w:val="0"/>
      <w:marBottom w:val="0"/>
      <w:divBdr>
        <w:top w:val="none" w:sz="0" w:space="0" w:color="auto"/>
        <w:left w:val="none" w:sz="0" w:space="0" w:color="auto"/>
        <w:bottom w:val="none" w:sz="0" w:space="0" w:color="auto"/>
        <w:right w:val="none" w:sz="0" w:space="0" w:color="auto"/>
      </w:divBdr>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1138760564">
          <w:marLeft w:val="1166"/>
          <w:marRight w:val="0"/>
          <w:marTop w:val="134"/>
          <w:marBottom w:val="0"/>
          <w:divBdr>
            <w:top w:val="none" w:sz="0" w:space="0" w:color="auto"/>
            <w:left w:val="none" w:sz="0" w:space="0" w:color="auto"/>
            <w:bottom w:val="none" w:sz="0" w:space="0" w:color="auto"/>
            <w:right w:val="none" w:sz="0" w:space="0" w:color="auto"/>
          </w:divBdr>
        </w:div>
        <w:div w:id="567423506">
          <w:marLeft w:val="1800"/>
          <w:marRight w:val="0"/>
          <w:marTop w:val="115"/>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6898801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0221372">
      <w:bodyDiv w:val="1"/>
      <w:marLeft w:val="0"/>
      <w:marRight w:val="0"/>
      <w:marTop w:val="0"/>
      <w:marBottom w:val="0"/>
      <w:divBdr>
        <w:top w:val="none" w:sz="0" w:space="0" w:color="auto"/>
        <w:left w:val="none" w:sz="0" w:space="0" w:color="auto"/>
        <w:bottom w:val="none" w:sz="0" w:space="0" w:color="auto"/>
        <w:right w:val="none" w:sz="0" w:space="0" w:color="auto"/>
      </w:divBdr>
      <w:divsChild>
        <w:div w:id="1351642789">
          <w:marLeft w:val="1166"/>
          <w:marRight w:val="0"/>
          <w:marTop w:val="82"/>
          <w:marBottom w:val="0"/>
          <w:divBdr>
            <w:top w:val="none" w:sz="0" w:space="0" w:color="auto"/>
            <w:left w:val="none" w:sz="0" w:space="0" w:color="auto"/>
            <w:bottom w:val="none" w:sz="0" w:space="0" w:color="auto"/>
            <w:right w:val="none" w:sz="0" w:space="0" w:color="auto"/>
          </w:divBdr>
        </w:div>
        <w:div w:id="1698458359">
          <w:marLeft w:val="1800"/>
          <w:marRight w:val="0"/>
          <w:marTop w:val="67"/>
          <w:marBottom w:val="0"/>
          <w:divBdr>
            <w:top w:val="none" w:sz="0" w:space="0" w:color="auto"/>
            <w:left w:val="none" w:sz="0" w:space="0" w:color="auto"/>
            <w:bottom w:val="none" w:sz="0" w:space="0" w:color="auto"/>
            <w:right w:val="none" w:sz="0" w:space="0" w:color="auto"/>
          </w:divBdr>
        </w:div>
        <w:div w:id="549997126">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DA58196-E13E-4AD9-AE71-233CF1C2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11600</TotalTime>
  <Pages>1</Pages>
  <Words>1038</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28</cp:revision>
  <cp:lastPrinted>2009-04-22T06:01:00Z</cp:lastPrinted>
  <dcterms:created xsi:type="dcterms:W3CDTF">2020-07-07T06:33:00Z</dcterms:created>
  <dcterms:modified xsi:type="dcterms:W3CDTF">2020-10-23T13:39:00Z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