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A7614D" w14:textId="0B036805" w:rsidR="001F388A" w:rsidRDefault="001F388A" w:rsidP="001F388A">
      <w:pPr>
        <w:pStyle w:val="CRCoverPage"/>
        <w:tabs>
          <w:tab w:val="right" w:pos="9639"/>
        </w:tabs>
        <w:spacing w:after="0"/>
        <w:rPr>
          <w:b/>
          <w:i/>
          <w:noProof/>
          <w:sz w:val="28"/>
        </w:rPr>
      </w:pPr>
      <w:bookmarkStart w:id="0" w:name="_Hlk47615153"/>
      <w:bookmarkStart w:id="1" w:name="_Toc491868096"/>
      <w:r>
        <w:rPr>
          <w:b/>
          <w:noProof/>
          <w:sz w:val="24"/>
        </w:rPr>
        <w:t>3GPP TSG-</w:t>
      </w:r>
      <w:r w:rsidR="00DE66A9">
        <w:fldChar w:fldCharType="begin"/>
      </w:r>
      <w:r w:rsidR="00DE66A9">
        <w:instrText xml:space="preserve"> DOCPROPERTY  TSG/WGRef  \* MERGEFORMAT </w:instrText>
      </w:r>
      <w:r w:rsidR="00DE66A9">
        <w:fldChar w:fldCharType="separate"/>
      </w:r>
      <w:r>
        <w:rPr>
          <w:b/>
          <w:noProof/>
          <w:sz w:val="24"/>
        </w:rPr>
        <w:t>RAN4</w:t>
      </w:r>
      <w:r w:rsidR="00DE66A9">
        <w:rPr>
          <w:b/>
          <w:noProof/>
          <w:sz w:val="24"/>
        </w:rPr>
        <w:fldChar w:fldCharType="end"/>
      </w:r>
      <w:r>
        <w:rPr>
          <w:b/>
          <w:noProof/>
          <w:sz w:val="24"/>
        </w:rPr>
        <w:t xml:space="preserve"> Meeting #</w:t>
      </w:r>
      <w:r w:rsidR="00DE66A9">
        <w:fldChar w:fldCharType="begin"/>
      </w:r>
      <w:r w:rsidR="00DE66A9">
        <w:instrText xml:space="preserve"> DOCPROPERTY  MtgSeq  \* MERGEFORMAT </w:instrText>
      </w:r>
      <w:r w:rsidR="00DE66A9">
        <w:fldChar w:fldCharType="separate"/>
      </w:r>
      <w:r>
        <w:rPr>
          <w:b/>
          <w:noProof/>
          <w:sz w:val="24"/>
        </w:rPr>
        <w:t>97</w:t>
      </w:r>
      <w:r w:rsidR="00DE66A9">
        <w:rPr>
          <w:b/>
          <w:noProof/>
          <w:sz w:val="24"/>
        </w:rPr>
        <w:fldChar w:fldCharType="end"/>
      </w:r>
      <w:r w:rsidR="00DE66A9">
        <w:fldChar w:fldCharType="begin"/>
      </w:r>
      <w:r w:rsidR="00DE66A9">
        <w:instrText xml:space="preserve"> DOCPROPERTY  MtgTitle  \* MERGEFORMAT </w:instrText>
      </w:r>
      <w:r w:rsidR="00DE66A9">
        <w:fldChar w:fldCharType="separate"/>
      </w:r>
      <w:r>
        <w:rPr>
          <w:b/>
          <w:noProof/>
          <w:sz w:val="24"/>
        </w:rPr>
        <w:t>-e</w:t>
      </w:r>
      <w:r w:rsidR="00DE66A9">
        <w:rPr>
          <w:b/>
          <w:noProof/>
          <w:sz w:val="24"/>
        </w:rPr>
        <w:fldChar w:fldCharType="end"/>
      </w:r>
      <w:r>
        <w:rPr>
          <w:b/>
          <w:i/>
          <w:noProof/>
          <w:sz w:val="28"/>
        </w:rPr>
        <w:tab/>
      </w:r>
      <w:r>
        <w:fldChar w:fldCharType="begin"/>
      </w:r>
      <w:r>
        <w:instrText xml:space="preserve"> DOCPROPERTY  Tdoc#  \* MERGEFORMAT </w:instrText>
      </w:r>
      <w:r>
        <w:fldChar w:fldCharType="end"/>
      </w:r>
      <w:r w:rsidR="003450EB" w:rsidRPr="003450EB">
        <w:rPr>
          <w:b/>
          <w:i/>
          <w:noProof/>
          <w:sz w:val="28"/>
        </w:rPr>
        <w:t>R4-2015728</w:t>
      </w:r>
    </w:p>
    <w:p w14:paraId="464C877C" w14:textId="77777777" w:rsidR="001F388A" w:rsidRDefault="00DE66A9" w:rsidP="001F388A">
      <w:pPr>
        <w:pStyle w:val="CRCoverPage"/>
        <w:outlineLvl w:val="0"/>
        <w:rPr>
          <w:b/>
          <w:noProof/>
          <w:sz w:val="24"/>
        </w:rPr>
      </w:pPr>
      <w:r>
        <w:fldChar w:fldCharType="begin"/>
      </w:r>
      <w:r>
        <w:instrText xml:space="preserve"> DOCPROPERTY  Location  \* MERGEFORMAT </w:instrText>
      </w:r>
      <w:r>
        <w:fldChar w:fldCharType="separate"/>
      </w:r>
      <w:r w:rsidR="001F388A">
        <w:rPr>
          <w:b/>
          <w:noProof/>
          <w:sz w:val="24"/>
        </w:rPr>
        <w:t>Online</w:t>
      </w:r>
      <w:r>
        <w:rPr>
          <w:b/>
          <w:noProof/>
          <w:sz w:val="24"/>
        </w:rPr>
        <w:fldChar w:fldCharType="end"/>
      </w:r>
      <w:r w:rsidR="001F388A">
        <w:rPr>
          <w:b/>
          <w:noProof/>
          <w:sz w:val="24"/>
        </w:rPr>
        <w:t xml:space="preserve">, </w:t>
      </w:r>
      <w:r w:rsidR="001F388A">
        <w:fldChar w:fldCharType="begin"/>
      </w:r>
      <w:r w:rsidR="001F388A">
        <w:instrText xml:space="preserve"> DOCPROPERTY  Country  \* MERGEFORMAT </w:instrText>
      </w:r>
      <w:r w:rsidR="001F388A">
        <w:fldChar w:fldCharType="end"/>
      </w:r>
      <w:r w:rsidR="001F388A">
        <w:rPr>
          <w:b/>
          <w:noProof/>
          <w:sz w:val="24"/>
        </w:rPr>
        <w:t>, 2</w:t>
      </w:r>
      <w:r w:rsidR="001F388A">
        <w:rPr>
          <w:b/>
          <w:noProof/>
          <w:sz w:val="24"/>
          <w:vertAlign w:val="superscript"/>
        </w:rPr>
        <w:t>nd</w:t>
      </w:r>
      <w:r w:rsidR="001F388A">
        <w:rPr>
          <w:b/>
          <w:noProof/>
          <w:sz w:val="24"/>
        </w:rPr>
        <w:t xml:space="preserve"> November – </w:t>
      </w:r>
      <w:r>
        <w:fldChar w:fldCharType="begin"/>
      </w:r>
      <w:r>
        <w:instrText xml:space="preserve"> DOCPROPERTY  EndDate  \* MERGEFORMAT </w:instrText>
      </w:r>
      <w:r>
        <w:fldChar w:fldCharType="separate"/>
      </w:r>
      <w:r w:rsidR="001F388A">
        <w:rPr>
          <w:b/>
          <w:noProof/>
          <w:sz w:val="24"/>
        </w:rPr>
        <w:t>13</w:t>
      </w:r>
      <w:r w:rsidR="001F388A" w:rsidRPr="00365D03">
        <w:rPr>
          <w:b/>
          <w:noProof/>
          <w:sz w:val="24"/>
          <w:vertAlign w:val="superscript"/>
        </w:rPr>
        <w:t xml:space="preserve"> </w:t>
      </w:r>
      <w:r w:rsidR="001F388A">
        <w:rPr>
          <w:b/>
          <w:noProof/>
          <w:sz w:val="24"/>
          <w:vertAlign w:val="superscript"/>
        </w:rPr>
        <w:t>th</w:t>
      </w:r>
      <w:r w:rsidR="001F388A">
        <w:rPr>
          <w:b/>
          <w:noProof/>
          <w:sz w:val="24"/>
        </w:rPr>
        <w:t xml:space="preserve"> November 2020</w:t>
      </w:r>
      <w:r>
        <w:rPr>
          <w:b/>
          <w:noProof/>
          <w:sz w:val="24"/>
        </w:rPr>
        <w:fldChar w:fldCharType="end"/>
      </w:r>
      <w:bookmarkEnd w:id="0"/>
    </w:p>
    <w:p w14:paraId="5BE65FC9" w14:textId="77777777" w:rsidR="003B61A8" w:rsidRDefault="003B61A8" w:rsidP="003B61A8">
      <w:pPr>
        <w:spacing w:after="120"/>
        <w:ind w:left="1985" w:hanging="1985"/>
        <w:rPr>
          <w:rFonts w:ascii="Arial" w:eastAsia="SimSun"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581CEB7D" w:rsidR="003B61A8" w:rsidRDefault="003B61A8" w:rsidP="003B61A8">
      <w:pPr>
        <w:spacing w:after="120"/>
        <w:ind w:left="1985" w:hanging="1985"/>
        <w:rPr>
          <w:rFonts w:ascii="Arial" w:hAnsi="Arial" w:cs="Arial"/>
          <w:bCs/>
          <w:color w:val="FF0000"/>
        </w:rPr>
      </w:pPr>
      <w:r w:rsidRPr="00C62FDA">
        <w:rPr>
          <w:rFonts w:ascii="Arial" w:hAnsi="Arial" w:cs="Arial"/>
          <w:b/>
        </w:rPr>
        <w:t>Title:</w:t>
      </w:r>
      <w:r>
        <w:rPr>
          <w:rFonts w:ascii="Arial" w:hAnsi="Arial" w:cs="Arial"/>
          <w:b/>
        </w:rPr>
        <w:tab/>
      </w:r>
      <w:r w:rsidR="00B42A00">
        <w:rPr>
          <w:rFonts w:ascii="Arial" w:hAnsi="Arial" w:cs="Arial"/>
        </w:rPr>
        <w:t>Discussion on PT-RS for 52 GHz and beyond</w:t>
      </w:r>
    </w:p>
    <w:p w14:paraId="72798C4E" w14:textId="487C5B02" w:rsidR="003B61A8" w:rsidRPr="004461D3" w:rsidRDefault="003B61A8" w:rsidP="003B61A8">
      <w:pPr>
        <w:spacing w:after="120"/>
        <w:ind w:left="1985" w:hanging="1985"/>
        <w:rPr>
          <w:rFonts w:ascii="Arial" w:hAnsi="Arial" w:cs="Arial"/>
          <w:color w:val="FF0000"/>
          <w:lang w:val="en-US"/>
        </w:rPr>
      </w:pPr>
      <w:r w:rsidRPr="004461D3">
        <w:rPr>
          <w:rFonts w:ascii="Arial" w:hAnsi="Arial" w:cs="Arial"/>
          <w:b/>
          <w:lang w:val="en-US"/>
        </w:rPr>
        <w:t>Agenda item:</w:t>
      </w:r>
      <w:r w:rsidRPr="004461D3">
        <w:rPr>
          <w:rFonts w:ascii="Arial" w:hAnsi="Arial" w:cs="Arial"/>
          <w:b/>
          <w:lang w:val="en-US"/>
        </w:rPr>
        <w:tab/>
      </w:r>
      <w:bookmarkStart w:id="2" w:name="_GoBack"/>
      <w:bookmarkEnd w:id="2"/>
      <w:r w:rsidR="00DE66A9">
        <w:rPr>
          <w:rFonts w:ascii="Arial" w:hAnsi="Arial" w:cs="Arial"/>
          <w:bCs/>
          <w:lang w:val="en-US"/>
        </w:rPr>
        <w:t>13.2.4</w:t>
      </w:r>
    </w:p>
    <w:p w14:paraId="3C088A4A" w14:textId="1FA507A1"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00B42A00">
        <w:rPr>
          <w:rFonts w:ascii="Arial" w:hAnsi="Arial" w:cs="Arial"/>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B41025">
      <w:pPr>
        <w:pStyle w:val="Heading1"/>
        <w:keepLines w:val="0"/>
        <w:numPr>
          <w:ilvl w:val="0"/>
          <w:numId w:val="1"/>
        </w:numPr>
        <w:pBdr>
          <w:top w:val="none" w:sz="0" w:space="0" w:color="auto"/>
        </w:pBdr>
        <w:spacing w:before="0" w:after="240"/>
        <w:ind w:right="284" w:hanging="720"/>
      </w:pPr>
      <w:r>
        <w:t>Introduction</w:t>
      </w:r>
    </w:p>
    <w:p w14:paraId="5A7392F9" w14:textId="36BC3129" w:rsidR="007E3867" w:rsidRDefault="007E3867" w:rsidP="007E3867">
      <w:r>
        <w:t>During last RAN4 meeting, RAN4 #96-e, contributions regarding technological impacts at 52.6 GHz and beyond were discussed.  Interested companies brought studies on PN, antenna parameters, to name a few and impact of physical layer design, specifically PT-RS was also discussed.  As a conclusion to the discussion a WF was drafted with the following points:</w:t>
      </w:r>
    </w:p>
    <w:p w14:paraId="2A56FD1F" w14:textId="77777777" w:rsidR="007E3867" w:rsidRPr="007E3867" w:rsidRDefault="007E3867" w:rsidP="007E3867">
      <w:pPr>
        <w:numPr>
          <w:ilvl w:val="0"/>
          <w:numId w:val="22"/>
        </w:numPr>
        <w:rPr>
          <w:i/>
          <w:iCs/>
          <w:lang w:val="en-US"/>
        </w:rPr>
      </w:pPr>
      <w:r w:rsidRPr="007E3867">
        <w:rPr>
          <w:i/>
          <w:iCs/>
          <w:lang w:val="fi-FI"/>
        </w:rPr>
        <w:t>RAN4 agrees PT-RS design is RAN1 responsibility</w:t>
      </w:r>
    </w:p>
    <w:p w14:paraId="66396421" w14:textId="77777777" w:rsidR="007E3867" w:rsidRPr="007E3867" w:rsidRDefault="007E3867" w:rsidP="007E3867">
      <w:pPr>
        <w:numPr>
          <w:ilvl w:val="0"/>
          <w:numId w:val="22"/>
        </w:numPr>
        <w:rPr>
          <w:i/>
          <w:iCs/>
          <w:lang w:val="en-US"/>
        </w:rPr>
      </w:pPr>
      <w:r w:rsidRPr="007E3867">
        <w:rPr>
          <w:i/>
          <w:iCs/>
          <w:lang w:val="fi-FI"/>
        </w:rPr>
        <w:t>RAN4 is the expert group for RF and link performance and can provide feedback to RAN1 from this perspective.</w:t>
      </w:r>
    </w:p>
    <w:p w14:paraId="42C325F9" w14:textId="77777777" w:rsidR="007E3867" w:rsidRPr="007E3867" w:rsidRDefault="007E3867" w:rsidP="007E3867">
      <w:pPr>
        <w:numPr>
          <w:ilvl w:val="1"/>
          <w:numId w:val="22"/>
        </w:numPr>
        <w:rPr>
          <w:i/>
          <w:iCs/>
          <w:lang w:val="en-US"/>
        </w:rPr>
      </w:pPr>
      <w:r w:rsidRPr="007E3867">
        <w:rPr>
          <w:i/>
          <w:iCs/>
          <w:lang w:val="fi-FI"/>
        </w:rPr>
        <w:t>Such feedback should be provided when there is possible implications to RAN1 design</w:t>
      </w:r>
    </w:p>
    <w:p w14:paraId="53948F15" w14:textId="77777777" w:rsidR="007E3867" w:rsidRPr="007E3867" w:rsidRDefault="007E3867" w:rsidP="007E3867">
      <w:pPr>
        <w:numPr>
          <w:ilvl w:val="0"/>
          <w:numId w:val="22"/>
        </w:numPr>
        <w:rPr>
          <w:i/>
          <w:iCs/>
          <w:lang w:val="en-US"/>
        </w:rPr>
      </w:pPr>
      <w:r w:rsidRPr="007E3867">
        <w:rPr>
          <w:i/>
          <w:iCs/>
          <w:lang w:val="fi-FI"/>
        </w:rPr>
        <w:t xml:space="preserve">Based on simulations provided to RAN4#96-e, PT-RS enhancements for &gt;52.6 GHz frequencies may enable better performance especially with high order modulations. </w:t>
      </w:r>
    </w:p>
    <w:p w14:paraId="0541F95E" w14:textId="77777777" w:rsidR="007E3867" w:rsidRPr="007E3867" w:rsidRDefault="007E3867" w:rsidP="007E3867">
      <w:pPr>
        <w:ind w:left="720"/>
        <w:rPr>
          <w:i/>
          <w:iCs/>
          <w:lang w:val="en-US"/>
        </w:rPr>
      </w:pPr>
      <w:r w:rsidRPr="007E3867">
        <w:rPr>
          <w:rFonts w:ascii="Wingdings" w:eastAsia="Wingdings" w:hAnsi="Wingdings" w:cs="Wingdings"/>
          <w:i/>
          <w:iCs/>
          <w:lang w:val="fi-FI"/>
        </w:rPr>
        <w:sym w:font="Wingdings" w:char="F0E0"/>
      </w:r>
      <w:r w:rsidRPr="007E3867">
        <w:rPr>
          <w:i/>
          <w:iCs/>
          <w:lang w:val="fi-FI"/>
        </w:rPr>
        <w:t xml:space="preserve"> Include in reply LS to RAN1 that RAN4 sees enhancements to PT-RS may be useful for &gt;52.6 GHz frequencies and respectfully asks RAN1 to take this into account in their work.</w:t>
      </w:r>
    </w:p>
    <w:p w14:paraId="374B344B" w14:textId="4C05CC92" w:rsidR="007E3867" w:rsidRDefault="007E3867" w:rsidP="007E3867">
      <w:r>
        <w:t>Although the discussion on physical layer parameters should be evaluated and discussed in RAN1, if the design has impact on RF or RAN4 requirements th</w:t>
      </w:r>
      <w:r w:rsidR="00982141">
        <w:t xml:space="preserve">en those issues should be treated within the RAN4 fora. In this contribution, we evaluate the current PT-RS rel-15 design from RF and performance perspective. </w:t>
      </w:r>
    </w:p>
    <w:p w14:paraId="4A9565A3" w14:textId="6A6674B7" w:rsidR="00783817" w:rsidRDefault="00783817" w:rsidP="004E319C">
      <w:pPr>
        <w:pBdr>
          <w:bottom w:val="single" w:sz="4" w:space="0" w:color="auto"/>
        </w:pBdr>
        <w:rPr>
          <w:rFonts w:ascii="Arial" w:hAnsi="Arial" w:cs="Arial"/>
        </w:rPr>
      </w:pPr>
    </w:p>
    <w:p w14:paraId="55178D93" w14:textId="2C7FB36D" w:rsidR="004E319C" w:rsidRDefault="004E319C" w:rsidP="004E319C">
      <w:pPr>
        <w:pStyle w:val="Heading1"/>
        <w:keepLines w:val="0"/>
        <w:numPr>
          <w:ilvl w:val="0"/>
          <w:numId w:val="1"/>
        </w:numPr>
        <w:pBdr>
          <w:top w:val="none" w:sz="0" w:space="0" w:color="auto"/>
        </w:pBdr>
        <w:spacing w:before="0" w:after="240"/>
        <w:ind w:right="284" w:hanging="720"/>
      </w:pPr>
      <w:r>
        <w:t>Discussion</w:t>
      </w:r>
    </w:p>
    <w:p w14:paraId="2F3E8A88" w14:textId="54E1D0C3" w:rsidR="00885A98" w:rsidRDefault="001A2F02" w:rsidP="001A2F02">
      <w:bookmarkStart w:id="3" w:name="_Hlk24027289"/>
      <w:r>
        <w:t>As discussions continue</w:t>
      </w:r>
      <w:r w:rsidR="005617A2">
        <w:t>,</w:t>
      </w:r>
      <w:r>
        <w:t xml:space="preserve"> requirement aspects relating to spectrum beyond 52.6 GHz </w:t>
      </w:r>
      <w:r w:rsidR="005617A2">
        <w:t xml:space="preserve">present </w:t>
      </w:r>
      <w:r>
        <w:t xml:space="preserve">technological challenges such as PA, antenna, channel bandwidths, subcarrier spacing and the like, some companies expressed the need to change existing rel-15 PT-RS design.  </w:t>
      </w:r>
    </w:p>
    <w:p w14:paraId="122C6A45" w14:textId="7147EE69" w:rsidR="00D70F20" w:rsidRDefault="00D70F20" w:rsidP="00D70F20">
      <w:pPr>
        <w:pStyle w:val="BodyText"/>
      </w:pPr>
      <w:r w:rsidRPr="00D55D0C">
        <w:t>In the study for NR mm-wave frequencies, phase noise was identified as one important factor to consider in the selection of subcarrier spacing that maximizes the achievable signal quality</w:t>
      </w:r>
      <w:r w:rsidR="00A8183A">
        <w:t xml:space="preserve">. </w:t>
      </w:r>
      <w:r w:rsidRPr="00D55D0C">
        <w:t>Since phase noise generally increases by 6 dB when carrier frequency doubles, impacts of phase noise on NR operations in the 52.6 – 71 GHz range can be expected to be more pronounced than those on NR operations in the FR2. The presence of phase noise can cause two types of impairments to an OFDM signal: (1) a common random phase rotation (same on each subcarrier); and (2) inter-carrier interference</w:t>
      </w:r>
      <w:r w:rsidR="0075106D">
        <w:t xml:space="preserve"> (ICI)</w:t>
      </w:r>
      <w:r w:rsidRPr="00D55D0C">
        <w:t xml:space="preserve"> between subcarriers. </w:t>
      </w:r>
    </w:p>
    <w:p w14:paraId="4CF5837A" w14:textId="4650E391" w:rsidR="00D70F20" w:rsidRDefault="00D70F20" w:rsidP="00D70F20">
      <w:pPr>
        <w:pStyle w:val="BodyText"/>
      </w:pPr>
      <w:r w:rsidRPr="00D55D0C">
        <w:t>In this</w:t>
      </w:r>
      <w:r>
        <w:t xml:space="preserve"> section</w:t>
      </w:r>
      <w:r w:rsidRPr="00D55D0C">
        <w:t>, we evaluate two approaches to mitigate OFDM signal performance degradation caused by time-varying phase noise induced ICI</w:t>
      </w:r>
      <w:r>
        <w:t>:</w:t>
      </w:r>
    </w:p>
    <w:p w14:paraId="01C1B1D2" w14:textId="3F8F0471" w:rsidR="00D70F20" w:rsidRDefault="00D70F20" w:rsidP="00D70F20">
      <w:pPr>
        <w:pStyle w:val="BodyText"/>
        <w:numPr>
          <w:ilvl w:val="0"/>
          <w:numId w:val="29"/>
        </w:numPr>
        <w:overflowPunct w:val="0"/>
        <w:autoSpaceDE w:val="0"/>
        <w:autoSpaceDN w:val="0"/>
        <w:adjustRightInd w:val="0"/>
        <w:jc w:val="both"/>
        <w:textAlignment w:val="baseline"/>
      </w:pPr>
      <w:r>
        <w:t>Direct de-ICI filtering approach</w:t>
      </w:r>
      <w:r w:rsidR="003C111E">
        <w:t xml:space="preserve"> (</w:t>
      </w:r>
      <w:r w:rsidR="005617A2">
        <w:t xml:space="preserve">see </w:t>
      </w:r>
      <w:r w:rsidR="005C5BB9">
        <w:t>Anne</w:t>
      </w:r>
      <w:r w:rsidR="00985679">
        <w:t>x</w:t>
      </w:r>
      <w:r w:rsidR="003C111E" w:rsidRPr="000B51B8">
        <w:t xml:space="preserve"> </w:t>
      </w:r>
      <w:r w:rsidR="003C111E">
        <w:t>5</w:t>
      </w:r>
      <w:r w:rsidR="003C111E" w:rsidRPr="000B51B8">
        <w:t>.</w:t>
      </w:r>
      <w:r w:rsidR="003C111E">
        <w:t>1</w:t>
      </w:r>
      <w:r w:rsidR="003C111E" w:rsidRPr="000B51B8">
        <w:t>.</w:t>
      </w:r>
      <w:r w:rsidR="003C111E">
        <w:t>1)</w:t>
      </w:r>
    </w:p>
    <w:p w14:paraId="7ECF783D" w14:textId="77777777" w:rsidR="00D70F20" w:rsidRDefault="00D70F20" w:rsidP="00D70F20">
      <w:pPr>
        <w:pStyle w:val="BodyText"/>
        <w:numPr>
          <w:ilvl w:val="1"/>
          <w:numId w:val="29"/>
        </w:numPr>
        <w:overflowPunct w:val="0"/>
        <w:autoSpaceDE w:val="0"/>
        <w:autoSpaceDN w:val="0"/>
        <w:adjustRightInd w:val="0"/>
        <w:jc w:val="both"/>
        <w:textAlignment w:val="baseline"/>
      </w:pPr>
      <w:r>
        <w:t xml:space="preserve">With this approach </w:t>
      </w:r>
      <w:r w:rsidRPr="00D55D0C">
        <w:t>a filter on the received signal is estimated directly such that the filtered received signal becomes approximately free of ICI</w:t>
      </w:r>
    </w:p>
    <w:p w14:paraId="7844A9C8" w14:textId="77777777" w:rsidR="00D70F20" w:rsidRDefault="00D70F20" w:rsidP="00D70F20">
      <w:pPr>
        <w:pStyle w:val="BodyText"/>
        <w:numPr>
          <w:ilvl w:val="1"/>
          <w:numId w:val="29"/>
        </w:numPr>
        <w:overflowPunct w:val="0"/>
        <w:autoSpaceDE w:val="0"/>
        <w:autoSpaceDN w:val="0"/>
        <w:adjustRightInd w:val="0"/>
        <w:jc w:val="both"/>
        <w:textAlignment w:val="baseline"/>
      </w:pPr>
      <w:r>
        <w:t>No change to the Rel-15 PTRS design is needed; this approach works for arbitrary PT-RS structures.</w:t>
      </w:r>
    </w:p>
    <w:p w14:paraId="7D324488" w14:textId="56060231" w:rsidR="00D70F20" w:rsidRDefault="00D70F20" w:rsidP="00D70F20">
      <w:pPr>
        <w:pStyle w:val="BodyText"/>
        <w:numPr>
          <w:ilvl w:val="0"/>
          <w:numId w:val="29"/>
        </w:numPr>
        <w:overflowPunct w:val="0"/>
        <w:autoSpaceDE w:val="0"/>
        <w:autoSpaceDN w:val="0"/>
        <w:adjustRightInd w:val="0"/>
        <w:jc w:val="both"/>
        <w:textAlignment w:val="baseline"/>
      </w:pPr>
      <w:r>
        <w:t>ICI filter approximation approach</w:t>
      </w:r>
      <w:r w:rsidR="003C111E">
        <w:t xml:space="preserve"> (</w:t>
      </w:r>
      <w:r w:rsidR="005617A2">
        <w:t xml:space="preserve">see </w:t>
      </w:r>
      <w:r w:rsidR="00985679">
        <w:t>Ann</w:t>
      </w:r>
      <w:r w:rsidR="002B5BF5">
        <w:t>ex</w:t>
      </w:r>
      <w:r w:rsidR="003C111E" w:rsidRPr="000B51B8">
        <w:t xml:space="preserve"> </w:t>
      </w:r>
      <w:r w:rsidR="003C111E">
        <w:t>5</w:t>
      </w:r>
      <w:r w:rsidR="003C111E" w:rsidRPr="000B51B8">
        <w:t>.</w:t>
      </w:r>
      <w:r w:rsidR="003C111E">
        <w:t>1</w:t>
      </w:r>
      <w:r w:rsidR="003C111E" w:rsidRPr="000B51B8">
        <w:t>.</w:t>
      </w:r>
      <w:r w:rsidR="003C111E">
        <w:t>2)</w:t>
      </w:r>
    </w:p>
    <w:p w14:paraId="0C7BFE62" w14:textId="77777777" w:rsidR="00D70F20" w:rsidRDefault="00D70F20" w:rsidP="00D70F20">
      <w:pPr>
        <w:pStyle w:val="BodyText"/>
        <w:numPr>
          <w:ilvl w:val="1"/>
          <w:numId w:val="29"/>
        </w:numPr>
        <w:overflowPunct w:val="0"/>
        <w:autoSpaceDE w:val="0"/>
        <w:autoSpaceDN w:val="0"/>
        <w:adjustRightInd w:val="0"/>
        <w:jc w:val="both"/>
        <w:textAlignment w:val="baseline"/>
      </w:pPr>
      <w:r>
        <w:lastRenderedPageBreak/>
        <w:t xml:space="preserve">With this approach, </w:t>
      </w:r>
      <w:r w:rsidRPr="00D55D0C">
        <w:t>the ICI filter induced by the phase noise is estimated first.</w:t>
      </w:r>
      <w:r>
        <w:t xml:space="preserve"> T</w:t>
      </w:r>
      <w:r w:rsidRPr="00D55D0C">
        <w:t>he received signal is then filtered by the conjugate reverse of the estimated ICI filter</w:t>
      </w:r>
      <w:r>
        <w:t>.</w:t>
      </w:r>
    </w:p>
    <w:p w14:paraId="0BDABB83" w14:textId="77777777" w:rsidR="00D70F20" w:rsidRDefault="00D70F20" w:rsidP="00D70F20">
      <w:pPr>
        <w:pStyle w:val="BodyText"/>
        <w:numPr>
          <w:ilvl w:val="1"/>
          <w:numId w:val="29"/>
        </w:numPr>
        <w:overflowPunct w:val="0"/>
        <w:autoSpaceDE w:val="0"/>
        <w:autoSpaceDN w:val="0"/>
        <w:adjustRightInd w:val="0"/>
        <w:jc w:val="both"/>
        <w:textAlignment w:val="baseline"/>
      </w:pPr>
      <w:r>
        <w:t>Requires a change to the Rel-15 PT-RS design. This approach requires that one or more clusters of consecutive subcarriers are used for PT-RS in contrast to</w:t>
      </w:r>
      <w:r w:rsidRPr="00D55D0C">
        <w:t xml:space="preserve"> the fully distributed structure of the Rel-15 PT-RS</w:t>
      </w:r>
      <w:r>
        <w:t>.</w:t>
      </w:r>
    </w:p>
    <w:p w14:paraId="6158561F" w14:textId="77777777" w:rsidR="00D70F20" w:rsidRPr="00D55D0C" w:rsidRDefault="00D70F20" w:rsidP="00D70F20">
      <w:pPr>
        <w:pStyle w:val="BodyText"/>
      </w:pPr>
      <w:r w:rsidRPr="00D55D0C">
        <w:t xml:space="preserve">We </w:t>
      </w:r>
      <w:r>
        <w:t>evaluate</w:t>
      </w:r>
      <w:r w:rsidRPr="00D55D0C">
        <w:t xml:space="preserve"> the </w:t>
      </w:r>
      <w:r>
        <w:t>above ICI compensation approaches using</w:t>
      </w:r>
      <w:r w:rsidRPr="00D55D0C">
        <w:t xml:space="preserve"> two alternative PT-RS </w:t>
      </w:r>
      <w:r>
        <w:t>designs (Rel-15 design and clustered PT-RS design)</w:t>
      </w:r>
      <w:r w:rsidRPr="00D55D0C">
        <w:t xml:space="preserve"> to investigate the achievable performance potential for NR operation in 52.6 to 71 GHz.</w:t>
      </w:r>
      <w:r>
        <w:t xml:space="preserve"> We show that the direct de-ICI approach with Rel-15 PTRS design to be superior.</w:t>
      </w:r>
    </w:p>
    <w:p w14:paraId="60C92E69" w14:textId="5C3FEA5C" w:rsidR="005E490A" w:rsidRDefault="005E490A" w:rsidP="005E490A">
      <w:pPr>
        <w:pStyle w:val="Heading2"/>
      </w:pPr>
      <w:r>
        <w:t>2.1</w:t>
      </w:r>
      <w:r>
        <w:tab/>
        <w:t>FRC and Test Models with Rel-15 PTRS</w:t>
      </w:r>
    </w:p>
    <w:p w14:paraId="101A1166" w14:textId="1E68B212" w:rsidR="007E22E7" w:rsidRDefault="007E22E7" w:rsidP="00A7249D">
      <w:r>
        <w:t>During Rel-15</w:t>
      </w:r>
      <w:r w:rsidR="005617A2">
        <w:t>,</w:t>
      </w:r>
      <w:r>
        <w:t xml:space="preserve"> extensive study and work had been done in order to ensure that an appropriate representation of the physical layer was represented for conformance and performance testing.  Given the flexibility of NR design, it was a fundamental criterion to select a physical layer representation that would allow for accurate RF testing such as EVM.  </w:t>
      </w:r>
      <w:r w:rsidR="00084CB8">
        <w:t xml:space="preserve">Phase noise has been extensively discussed for FR2 EVM requirement and in studies for higher order modulation.  It had been concluded that in order to have accurate EVM measurement proper care would need to be considered such as CPE and ICI compensation before reference measurement point, as shown below in Figure 1.  </w:t>
      </w:r>
      <w:r w:rsidR="007D623D">
        <w:t>Here careful consideration of the PT-RS configuration and the need for CPE compensation had been extensively considered for FR2 BS RF requirements</w:t>
      </w:r>
      <w:r w:rsidR="0027285D">
        <w:t>; the knowledge acquired during this phase of Rel-15 should be used for 52.6 GHz frequency work unless significant need can be shown</w:t>
      </w:r>
      <w:r w:rsidR="005617A2">
        <w:t xml:space="preserve"> otherwise</w:t>
      </w:r>
      <w:r w:rsidR="0027285D">
        <w:t>.</w:t>
      </w:r>
    </w:p>
    <w:bookmarkStart w:id="4" w:name="_MON_1664356091"/>
    <w:bookmarkEnd w:id="4"/>
    <w:p w14:paraId="6720FFFB" w14:textId="77777777" w:rsidR="001E6E0D" w:rsidRDefault="007E22E7" w:rsidP="001E6E0D">
      <w:pPr>
        <w:keepNext/>
        <w:jc w:val="center"/>
      </w:pPr>
      <w:r>
        <w:object w:dxaOrig="7635" w:dyaOrig="4035" w14:anchorId="17590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75pt;height:201.75pt" o:ole="">
            <v:imagedata r:id="rId11" o:title=""/>
          </v:shape>
          <o:OLEObject Type="Embed" ProgID="Word.Picture.8" ShapeID="_x0000_i1025" DrawAspect="Content" ObjectID="_1664961639" r:id="rId12"/>
        </w:object>
      </w:r>
    </w:p>
    <w:p w14:paraId="4E9AD779" w14:textId="58A03D36" w:rsidR="007E22E7" w:rsidRPr="006F01F2" w:rsidRDefault="001E6E0D" w:rsidP="001E6E0D">
      <w:pPr>
        <w:pStyle w:val="Caption"/>
        <w:jc w:val="center"/>
        <w:rPr>
          <w:i w:val="0"/>
          <w:color w:val="auto"/>
          <w:sz w:val="20"/>
          <w:szCs w:val="20"/>
        </w:rPr>
      </w:pPr>
      <w:r w:rsidRPr="006F01F2">
        <w:rPr>
          <w:i w:val="0"/>
          <w:color w:val="auto"/>
          <w:sz w:val="20"/>
          <w:szCs w:val="20"/>
        </w:rPr>
        <w:t xml:space="preserve">Figure </w:t>
      </w:r>
      <w:r w:rsidRPr="006F01F2">
        <w:rPr>
          <w:i w:val="0"/>
          <w:color w:val="auto"/>
          <w:sz w:val="20"/>
          <w:szCs w:val="20"/>
        </w:rPr>
        <w:fldChar w:fldCharType="begin"/>
      </w:r>
      <w:r w:rsidRPr="00EE45D4">
        <w:rPr>
          <w:i w:val="0"/>
          <w:iCs w:val="0"/>
          <w:color w:val="auto"/>
          <w:sz w:val="20"/>
          <w:szCs w:val="20"/>
        </w:rPr>
        <w:instrText xml:space="preserve"> SEQ Figure \* ARABIC </w:instrText>
      </w:r>
      <w:r w:rsidRPr="006F01F2">
        <w:rPr>
          <w:i w:val="0"/>
          <w:color w:val="auto"/>
          <w:sz w:val="20"/>
          <w:szCs w:val="20"/>
        </w:rPr>
        <w:fldChar w:fldCharType="separate"/>
      </w:r>
      <w:r w:rsidR="001F388A">
        <w:rPr>
          <w:i w:val="0"/>
          <w:iCs w:val="0"/>
          <w:noProof/>
          <w:color w:val="auto"/>
          <w:sz w:val="20"/>
          <w:szCs w:val="20"/>
        </w:rPr>
        <w:t>1</w:t>
      </w:r>
      <w:r w:rsidRPr="006F01F2">
        <w:rPr>
          <w:i w:val="0"/>
          <w:color w:val="auto"/>
          <w:sz w:val="20"/>
          <w:szCs w:val="20"/>
        </w:rPr>
        <w:fldChar w:fldCharType="end"/>
      </w:r>
      <w:r w:rsidRPr="006F01F2">
        <w:rPr>
          <w:i w:val="0"/>
          <w:color w:val="auto"/>
          <w:sz w:val="20"/>
          <w:szCs w:val="20"/>
        </w:rPr>
        <w:t>: FR2 Reference point for EVM measurement</w:t>
      </w:r>
    </w:p>
    <w:p w14:paraId="3079F258" w14:textId="2EAF5F14" w:rsidR="00A7249D" w:rsidRDefault="00D70F20" w:rsidP="00A7249D">
      <w:r>
        <w:t xml:space="preserve">Similarly, the FRC design needed for receiver requirements was designed such that all receiver algorithms and implementations were considered.  For performance requirements FRCs are used as input signals as the basis of minimum performance expected at the gNB receiver.  From PUSCH parameters perspective only DM-RS is considered as part of the signal </w:t>
      </w:r>
      <w:r w:rsidR="006F01F2">
        <w:t>makeup</w:t>
      </w:r>
      <w:r>
        <w:t xml:space="preserve"> of the test parameters.  </w:t>
      </w:r>
      <w:r w:rsidR="0027285D">
        <w:t>Complexities due to the higher frequencies (&gt;52.6 GHz) such impairments such as phase noise may impact overall performance however before jumping into changing reference signals, the test parameters used in PUSCH for performance evaluation</w:t>
      </w:r>
      <w:r w:rsidR="006F01F2">
        <w:t>, shown in Figure 2,</w:t>
      </w:r>
      <w:r w:rsidR="0027285D">
        <w:t xml:space="preserve"> should first consider defining the current Rel-15 phase tracking signal.  At present, any CPE/ICI compensation cannot be taken into consideration for performance requirements as no PT-RS is even considered.  </w:t>
      </w:r>
    </w:p>
    <w:p w14:paraId="1C93F757" w14:textId="77777777" w:rsidR="0027285D" w:rsidRDefault="0027285D" w:rsidP="0027285D">
      <w:pPr>
        <w:keepNext/>
      </w:pPr>
      <w:r>
        <w:rPr>
          <w:noProof/>
        </w:rPr>
        <w:lastRenderedPageBreak/>
        <w:drawing>
          <wp:inline distT="0" distB="0" distL="0" distR="0" wp14:anchorId="571835A9" wp14:editId="40D12EFF">
            <wp:extent cx="6122035" cy="3980180"/>
            <wp:effectExtent l="19050" t="19050" r="12065"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3980180"/>
                    </a:xfrm>
                    <a:prstGeom prst="rect">
                      <a:avLst/>
                    </a:prstGeom>
                    <a:ln w="19050">
                      <a:solidFill>
                        <a:schemeClr val="tx1"/>
                      </a:solidFill>
                    </a:ln>
                  </pic:spPr>
                </pic:pic>
              </a:graphicData>
            </a:graphic>
          </wp:inline>
        </w:drawing>
      </w:r>
    </w:p>
    <w:p w14:paraId="5A9B3631" w14:textId="1663F5CA" w:rsidR="0027285D" w:rsidRPr="006F01F2" w:rsidRDefault="0027285D" w:rsidP="006F01F2">
      <w:pPr>
        <w:pStyle w:val="Caption"/>
        <w:jc w:val="center"/>
        <w:rPr>
          <w:i w:val="0"/>
          <w:color w:val="auto"/>
          <w:sz w:val="20"/>
          <w:szCs w:val="20"/>
        </w:rPr>
      </w:pPr>
      <w:r w:rsidRPr="006F01F2">
        <w:rPr>
          <w:i w:val="0"/>
          <w:color w:val="auto"/>
          <w:sz w:val="20"/>
          <w:szCs w:val="20"/>
        </w:rPr>
        <w:t xml:space="preserve">Figure </w:t>
      </w:r>
      <w:r w:rsidRPr="006F01F2">
        <w:rPr>
          <w:i w:val="0"/>
          <w:color w:val="auto"/>
          <w:sz w:val="20"/>
          <w:szCs w:val="20"/>
        </w:rPr>
        <w:fldChar w:fldCharType="begin"/>
      </w:r>
      <w:r w:rsidRPr="00EE45D4">
        <w:rPr>
          <w:i w:val="0"/>
          <w:iCs w:val="0"/>
          <w:color w:val="auto"/>
          <w:sz w:val="20"/>
          <w:szCs w:val="20"/>
        </w:rPr>
        <w:instrText xml:space="preserve"> SEQ Figure \* ARABIC </w:instrText>
      </w:r>
      <w:r w:rsidRPr="006F01F2">
        <w:rPr>
          <w:i w:val="0"/>
          <w:color w:val="auto"/>
          <w:sz w:val="20"/>
          <w:szCs w:val="20"/>
        </w:rPr>
        <w:fldChar w:fldCharType="separate"/>
      </w:r>
      <w:r w:rsidR="001F388A">
        <w:rPr>
          <w:i w:val="0"/>
          <w:iCs w:val="0"/>
          <w:noProof/>
          <w:color w:val="auto"/>
          <w:sz w:val="20"/>
          <w:szCs w:val="20"/>
        </w:rPr>
        <w:t>2</w:t>
      </w:r>
      <w:r w:rsidRPr="006F01F2">
        <w:rPr>
          <w:i w:val="0"/>
          <w:color w:val="auto"/>
          <w:sz w:val="20"/>
          <w:szCs w:val="20"/>
        </w:rPr>
        <w:fldChar w:fldCharType="end"/>
      </w:r>
      <w:r w:rsidRPr="006F01F2">
        <w:rPr>
          <w:i w:val="0"/>
          <w:color w:val="auto"/>
          <w:sz w:val="20"/>
          <w:szCs w:val="20"/>
        </w:rPr>
        <w:t xml:space="preserve">: NR Rel-15 PUSCH </w:t>
      </w:r>
      <w:r w:rsidR="006F01F2">
        <w:rPr>
          <w:i w:val="0"/>
          <w:iCs w:val="0"/>
          <w:color w:val="auto"/>
          <w:sz w:val="20"/>
          <w:szCs w:val="20"/>
        </w:rPr>
        <w:t xml:space="preserve">Performance </w:t>
      </w:r>
      <w:r w:rsidRPr="006F01F2">
        <w:rPr>
          <w:i w:val="0"/>
          <w:color w:val="auto"/>
          <w:sz w:val="20"/>
          <w:szCs w:val="20"/>
        </w:rPr>
        <w:t>Test Parameters (TS 38.104)</w:t>
      </w:r>
    </w:p>
    <w:p w14:paraId="37D48CCB" w14:textId="060E952A" w:rsidR="00A52E33" w:rsidRDefault="00BF4959" w:rsidP="00A52E33">
      <w:pPr>
        <w:pStyle w:val="Heading2"/>
      </w:pPr>
      <w:r>
        <w:t>2.</w:t>
      </w:r>
      <w:r w:rsidR="005E490A">
        <w:t>2</w:t>
      </w:r>
      <w:r>
        <w:tab/>
      </w:r>
      <w:r w:rsidR="00A52E33" w:rsidRPr="00D55D0C">
        <w:t>PT-RS</w:t>
      </w:r>
      <w:r w:rsidR="00A52E33">
        <w:t xml:space="preserve"> Design</w:t>
      </w:r>
    </w:p>
    <w:p w14:paraId="702A0975" w14:textId="77777777" w:rsidR="00A52E33" w:rsidRDefault="00A52E33" w:rsidP="00A52E33">
      <w:pPr>
        <w:pStyle w:val="BodyText"/>
      </w:pPr>
      <w:r>
        <w:t>There are two possible</w:t>
      </w:r>
      <w:r w:rsidRPr="00D55D0C">
        <w:t xml:space="preserve"> approaches to mitigate OFDM signal performance degradation caused by time-varying phase noise induced ICI</w:t>
      </w:r>
      <w:r>
        <w:t>:</w:t>
      </w:r>
    </w:p>
    <w:p w14:paraId="17B9B2CF" w14:textId="77777777" w:rsidR="00A52E33" w:rsidRDefault="00A52E33" w:rsidP="00A52E33">
      <w:pPr>
        <w:pStyle w:val="BodyText"/>
        <w:numPr>
          <w:ilvl w:val="0"/>
          <w:numId w:val="35"/>
        </w:numPr>
        <w:overflowPunct w:val="0"/>
        <w:autoSpaceDE w:val="0"/>
        <w:autoSpaceDN w:val="0"/>
        <w:adjustRightInd w:val="0"/>
        <w:jc w:val="both"/>
        <w:textAlignment w:val="baseline"/>
      </w:pPr>
      <w:r>
        <w:t>Direct de-ICI filtering approach (Annex</w:t>
      </w:r>
      <w:r w:rsidRPr="000B51B8">
        <w:t xml:space="preserve"> </w:t>
      </w:r>
      <w:r>
        <w:t>5.1.1)</w:t>
      </w:r>
    </w:p>
    <w:p w14:paraId="4A0D78DA" w14:textId="77777777" w:rsidR="00A52E33" w:rsidRDefault="00A52E33" w:rsidP="00A52E33">
      <w:pPr>
        <w:pStyle w:val="BodyText"/>
        <w:ind w:left="720"/>
      </w:pPr>
      <w:r>
        <w:t xml:space="preserve">With this approach </w:t>
      </w:r>
      <w:r w:rsidRPr="00D55D0C">
        <w:t>a filter on the received signal is estimated directly such that the filtered received signal becomes approximately free of ICI</w:t>
      </w:r>
      <w:r>
        <w:t>. As demonstrated in Annex</w:t>
      </w:r>
      <w:r w:rsidRPr="000B51B8">
        <w:t xml:space="preserve"> </w:t>
      </w:r>
      <w:r>
        <w:t>5.1.1, this approach can be readily applied using the existing Rel-15 PTRS design without any additional change.</w:t>
      </w:r>
    </w:p>
    <w:p w14:paraId="01E2323E" w14:textId="77777777" w:rsidR="00A52E33" w:rsidRDefault="00A52E33" w:rsidP="00A52E33">
      <w:pPr>
        <w:pStyle w:val="BodyText"/>
        <w:numPr>
          <w:ilvl w:val="0"/>
          <w:numId w:val="35"/>
        </w:numPr>
        <w:overflowPunct w:val="0"/>
        <w:autoSpaceDE w:val="0"/>
        <w:autoSpaceDN w:val="0"/>
        <w:adjustRightInd w:val="0"/>
        <w:jc w:val="both"/>
        <w:textAlignment w:val="baseline"/>
      </w:pPr>
      <w:r>
        <w:t>ICI filter approximation approach (Annex</w:t>
      </w:r>
      <w:r w:rsidRPr="000B51B8">
        <w:t xml:space="preserve"> </w:t>
      </w:r>
      <w:r>
        <w:t>5.1.2)</w:t>
      </w:r>
    </w:p>
    <w:p w14:paraId="5DAE2F57" w14:textId="065ADA12" w:rsidR="00A52E33" w:rsidRDefault="00A52E33" w:rsidP="00A52E33">
      <w:pPr>
        <w:pStyle w:val="BodyText"/>
        <w:ind w:left="720"/>
      </w:pPr>
      <w:r>
        <w:t xml:space="preserve">With this approach, </w:t>
      </w:r>
      <w:r w:rsidRPr="00D55D0C">
        <w:t>the ICI filter induced by the phase noise is estimated first.</w:t>
      </w:r>
      <w:r>
        <w:t xml:space="preserve"> T</w:t>
      </w:r>
      <w:r w:rsidRPr="00D55D0C">
        <w:t>he received signal is then filtered by the conjugate reverse of the estimated ICI filter</w:t>
      </w:r>
      <w:r>
        <w:t>. This approach requires that one or more clusters of consecutive subcarriers are used for PT-RS, which is different than</w:t>
      </w:r>
      <w:r w:rsidRPr="00D55D0C">
        <w:t xml:space="preserve"> the fully distributed structure of the Rel-15 PT-RS</w:t>
      </w:r>
      <w:r>
        <w:t xml:space="preserve"> </w:t>
      </w:r>
      <w:r>
        <w:fldChar w:fldCharType="begin"/>
      </w:r>
      <w:r>
        <w:instrText xml:space="preserve"> REF _Ref53745985 \r \h </w:instrText>
      </w:r>
      <w:r>
        <w:fldChar w:fldCharType="separate"/>
      </w:r>
      <w:r w:rsidR="001F388A">
        <w:t>[4]</w:t>
      </w:r>
      <w:r>
        <w:fldChar w:fldCharType="end"/>
      </w:r>
      <w:r>
        <w:t>.</w:t>
      </w:r>
    </w:p>
    <w:p w14:paraId="21E65943" w14:textId="75A42508" w:rsidR="00BF4959" w:rsidRDefault="00BF4959" w:rsidP="00BF4959">
      <w:pPr>
        <w:pStyle w:val="Heading2"/>
      </w:pPr>
      <w:r>
        <w:t>2.</w:t>
      </w:r>
      <w:r w:rsidR="00A52E33">
        <w:t>3</w:t>
      </w:r>
      <w:r>
        <w:tab/>
        <w:t xml:space="preserve">Performance evaluation on Rel-15 PTRS </w:t>
      </w:r>
    </w:p>
    <w:p w14:paraId="3B090E31" w14:textId="73EB527D" w:rsidR="00E665A6" w:rsidRDefault="00E665A6" w:rsidP="00E665A6">
      <w:pPr>
        <w:pStyle w:val="BodyText"/>
      </w:pPr>
      <w:r w:rsidRPr="00F94015">
        <w:t>In this section, we provide link-level evaluation results</w:t>
      </w:r>
      <w:r>
        <w:t xml:space="preserve"> using phase noise compensation algorithms discussed in the above. The evaluation is </w:t>
      </w:r>
      <w:r w:rsidRPr="00F94015">
        <w:t>in terms of DL-SCH block error rate (BLER) vs. signal to noise ratio (SINR) for TD</w:t>
      </w:r>
      <w:r>
        <w:t>L</w:t>
      </w:r>
      <w:r w:rsidRPr="00F94015">
        <w:t>-A channel in the presence of phase noise. In all link-level simulations for OFDM, current Rel-15 PTRS configurations (K=2 and L=1) are used</w:t>
      </w:r>
      <w:r>
        <w:t xml:space="preserve">. </w:t>
      </w:r>
      <w:r w:rsidR="002B4F4A" w:rsidRPr="002B4F4A">
        <w:t>According to the evaluation assumptions in</w:t>
      </w:r>
      <w:r w:rsidR="00A3452A">
        <w:t xml:space="preserve"> [1]</w:t>
      </w:r>
      <w:r w:rsidR="002B4F4A">
        <w:t>, w</w:t>
      </w:r>
      <w:r w:rsidRPr="00F94015">
        <w:t>e provide BLER for MCS 22</w:t>
      </w:r>
      <w:r>
        <w:t xml:space="preserve"> which uses 64-QAM and </w:t>
      </w:r>
      <w:r w:rsidRPr="00F94015">
        <w:t>MCS 16</w:t>
      </w:r>
      <w:r>
        <w:t xml:space="preserve"> which uses 16-QAM for two different channel bandwidths:</w:t>
      </w:r>
    </w:p>
    <w:p w14:paraId="657249E3" w14:textId="77777777" w:rsidR="00E665A6" w:rsidRDefault="00E665A6" w:rsidP="00E665A6">
      <w:pPr>
        <w:pStyle w:val="BodyText"/>
        <w:numPr>
          <w:ilvl w:val="0"/>
          <w:numId w:val="24"/>
        </w:numPr>
        <w:overflowPunct w:val="0"/>
        <w:autoSpaceDE w:val="0"/>
        <w:autoSpaceDN w:val="0"/>
        <w:adjustRightInd w:val="0"/>
        <w:spacing w:after="0"/>
        <w:jc w:val="both"/>
        <w:textAlignment w:val="baseline"/>
      </w:pPr>
      <w:r>
        <w:t>400 MHz</w:t>
      </w:r>
    </w:p>
    <w:p w14:paraId="6C896C5E" w14:textId="77777777" w:rsidR="00E665A6" w:rsidRDefault="00E665A6" w:rsidP="00E665A6">
      <w:pPr>
        <w:pStyle w:val="BodyText"/>
        <w:numPr>
          <w:ilvl w:val="1"/>
          <w:numId w:val="24"/>
        </w:numPr>
        <w:overflowPunct w:val="0"/>
        <w:autoSpaceDE w:val="0"/>
        <w:autoSpaceDN w:val="0"/>
        <w:adjustRightInd w:val="0"/>
        <w:spacing w:after="0"/>
        <w:jc w:val="both"/>
        <w:textAlignment w:val="baseline"/>
      </w:pPr>
      <w:r>
        <w:t>256 RBs @ 120 kHz SCS</w:t>
      </w:r>
    </w:p>
    <w:p w14:paraId="6F0F495B" w14:textId="77777777" w:rsidR="00E665A6" w:rsidRDefault="00E665A6" w:rsidP="00E665A6">
      <w:pPr>
        <w:pStyle w:val="BodyText"/>
        <w:numPr>
          <w:ilvl w:val="1"/>
          <w:numId w:val="24"/>
        </w:numPr>
        <w:overflowPunct w:val="0"/>
        <w:autoSpaceDE w:val="0"/>
        <w:autoSpaceDN w:val="0"/>
        <w:adjustRightInd w:val="0"/>
        <w:spacing w:after="0"/>
        <w:jc w:val="both"/>
        <w:textAlignment w:val="baseline"/>
      </w:pPr>
      <w:r>
        <w:t>128 RBs @ 240 kHz SCS</w:t>
      </w:r>
    </w:p>
    <w:p w14:paraId="387E27F6" w14:textId="77777777" w:rsidR="00E665A6" w:rsidRDefault="00E665A6" w:rsidP="00E665A6">
      <w:pPr>
        <w:pStyle w:val="BodyText"/>
        <w:numPr>
          <w:ilvl w:val="1"/>
          <w:numId w:val="24"/>
        </w:numPr>
        <w:overflowPunct w:val="0"/>
        <w:autoSpaceDE w:val="0"/>
        <w:autoSpaceDN w:val="0"/>
        <w:adjustRightInd w:val="0"/>
        <w:spacing w:after="0"/>
        <w:jc w:val="both"/>
        <w:textAlignment w:val="baseline"/>
      </w:pPr>
      <w:r>
        <w:t>64 RBs @ 480 kHz SCS</w:t>
      </w:r>
    </w:p>
    <w:p w14:paraId="5ACFE49A" w14:textId="77777777" w:rsidR="00E665A6" w:rsidRDefault="00E665A6" w:rsidP="00E665A6">
      <w:pPr>
        <w:pStyle w:val="BodyText"/>
        <w:numPr>
          <w:ilvl w:val="0"/>
          <w:numId w:val="24"/>
        </w:numPr>
        <w:overflowPunct w:val="0"/>
        <w:autoSpaceDE w:val="0"/>
        <w:autoSpaceDN w:val="0"/>
        <w:adjustRightInd w:val="0"/>
        <w:spacing w:after="0"/>
        <w:jc w:val="both"/>
        <w:textAlignment w:val="baseline"/>
      </w:pPr>
      <w:r>
        <w:t>1600 MHz</w:t>
      </w:r>
    </w:p>
    <w:p w14:paraId="7481D8C9" w14:textId="77777777" w:rsidR="00E665A6" w:rsidRDefault="00E665A6" w:rsidP="00E665A6">
      <w:pPr>
        <w:pStyle w:val="BodyText"/>
        <w:numPr>
          <w:ilvl w:val="1"/>
          <w:numId w:val="24"/>
        </w:numPr>
        <w:overflowPunct w:val="0"/>
        <w:autoSpaceDE w:val="0"/>
        <w:autoSpaceDN w:val="0"/>
        <w:adjustRightInd w:val="0"/>
        <w:spacing w:after="0"/>
        <w:jc w:val="both"/>
        <w:textAlignment w:val="baseline"/>
      </w:pPr>
      <w:r>
        <w:t>256 RBs @ 480 kHz SCS</w:t>
      </w:r>
    </w:p>
    <w:p w14:paraId="346685FD" w14:textId="77777777" w:rsidR="00E665A6" w:rsidRDefault="00E665A6" w:rsidP="00E665A6">
      <w:pPr>
        <w:pStyle w:val="BodyText"/>
        <w:numPr>
          <w:ilvl w:val="1"/>
          <w:numId w:val="24"/>
        </w:numPr>
        <w:overflowPunct w:val="0"/>
        <w:autoSpaceDE w:val="0"/>
        <w:autoSpaceDN w:val="0"/>
        <w:adjustRightInd w:val="0"/>
        <w:spacing w:after="0"/>
        <w:jc w:val="both"/>
        <w:textAlignment w:val="baseline"/>
      </w:pPr>
      <w:r>
        <w:lastRenderedPageBreak/>
        <w:t>128 RBs @ 960 kHz SCS</w:t>
      </w:r>
    </w:p>
    <w:p w14:paraId="5C2F1533" w14:textId="77777777" w:rsidR="00E665A6" w:rsidRDefault="00E665A6" w:rsidP="00E665A6">
      <w:pPr>
        <w:pStyle w:val="BodyText"/>
        <w:spacing w:after="0"/>
      </w:pPr>
    </w:p>
    <w:p w14:paraId="154D1AA6" w14:textId="77777777" w:rsidR="00E665A6" w:rsidRDefault="00E665A6" w:rsidP="00E665A6">
      <w:pPr>
        <w:pStyle w:val="BodyText"/>
      </w:pPr>
      <w:r>
        <w:t>To compare the impact of different phase noise models, we consider the following three sets of phase noise models:</w:t>
      </w:r>
    </w:p>
    <w:p w14:paraId="4A0412F8" w14:textId="77777777" w:rsidR="00E665A6" w:rsidRPr="00C613F5" w:rsidRDefault="00E665A6" w:rsidP="00E665A6">
      <w:pPr>
        <w:pStyle w:val="BodyText"/>
        <w:numPr>
          <w:ilvl w:val="0"/>
          <w:numId w:val="26"/>
        </w:numPr>
        <w:overflowPunct w:val="0"/>
        <w:autoSpaceDE w:val="0"/>
        <w:autoSpaceDN w:val="0"/>
        <w:adjustRightInd w:val="0"/>
        <w:spacing w:after="0"/>
        <w:jc w:val="both"/>
        <w:textAlignment w:val="baseline"/>
      </w:pPr>
      <w:r w:rsidRPr="00C613F5">
        <w:t xml:space="preserve">PN model set 1 </w:t>
      </w:r>
    </w:p>
    <w:p w14:paraId="19588492" w14:textId="77777777" w:rsidR="00E665A6" w:rsidRPr="00C613F5" w:rsidRDefault="00E665A6" w:rsidP="00E665A6">
      <w:pPr>
        <w:pStyle w:val="BodyText"/>
        <w:numPr>
          <w:ilvl w:val="1"/>
          <w:numId w:val="26"/>
        </w:numPr>
        <w:overflowPunct w:val="0"/>
        <w:autoSpaceDE w:val="0"/>
        <w:autoSpaceDN w:val="0"/>
        <w:adjustRightInd w:val="0"/>
        <w:spacing w:after="0"/>
        <w:jc w:val="both"/>
        <w:textAlignment w:val="baseline"/>
      </w:pPr>
      <w:r w:rsidRPr="00C613F5">
        <w:t>BS: Ex2 BS</w:t>
      </w:r>
    </w:p>
    <w:p w14:paraId="73E28BA9" w14:textId="77777777" w:rsidR="00E665A6" w:rsidRDefault="00E665A6" w:rsidP="00E665A6">
      <w:pPr>
        <w:pStyle w:val="BodyText"/>
        <w:numPr>
          <w:ilvl w:val="1"/>
          <w:numId w:val="26"/>
        </w:numPr>
        <w:overflowPunct w:val="0"/>
        <w:autoSpaceDE w:val="0"/>
        <w:autoSpaceDN w:val="0"/>
        <w:adjustRightInd w:val="0"/>
        <w:spacing w:after="0"/>
        <w:jc w:val="both"/>
        <w:textAlignment w:val="baseline"/>
      </w:pPr>
      <w:r w:rsidRPr="00C613F5">
        <w:t>UE: Ex2 UE</w:t>
      </w:r>
    </w:p>
    <w:p w14:paraId="5514BC31" w14:textId="77777777" w:rsidR="00E665A6" w:rsidRPr="00C613F5" w:rsidRDefault="00E665A6" w:rsidP="00E665A6">
      <w:pPr>
        <w:pStyle w:val="BodyText"/>
        <w:numPr>
          <w:ilvl w:val="0"/>
          <w:numId w:val="26"/>
        </w:numPr>
        <w:overflowPunct w:val="0"/>
        <w:autoSpaceDE w:val="0"/>
        <w:autoSpaceDN w:val="0"/>
        <w:adjustRightInd w:val="0"/>
        <w:spacing w:after="0"/>
        <w:jc w:val="both"/>
        <w:textAlignment w:val="baseline"/>
      </w:pPr>
      <w:r w:rsidRPr="00C613F5">
        <w:t>PN model set 2</w:t>
      </w:r>
    </w:p>
    <w:p w14:paraId="17848FED" w14:textId="77777777" w:rsidR="00E665A6" w:rsidRPr="00C613F5" w:rsidRDefault="00E665A6" w:rsidP="00E665A6">
      <w:pPr>
        <w:pStyle w:val="BodyText"/>
        <w:numPr>
          <w:ilvl w:val="1"/>
          <w:numId w:val="26"/>
        </w:numPr>
        <w:overflowPunct w:val="0"/>
        <w:autoSpaceDE w:val="0"/>
        <w:autoSpaceDN w:val="0"/>
        <w:adjustRightInd w:val="0"/>
        <w:spacing w:after="0"/>
        <w:jc w:val="both"/>
        <w:textAlignment w:val="baseline"/>
      </w:pPr>
      <w:r w:rsidRPr="00C613F5">
        <w:t>BS: Ex2 BS</w:t>
      </w:r>
    </w:p>
    <w:p w14:paraId="53922EB2" w14:textId="77777777" w:rsidR="00E665A6" w:rsidRPr="00C613F5" w:rsidRDefault="00E665A6" w:rsidP="00E665A6">
      <w:pPr>
        <w:pStyle w:val="BodyText"/>
        <w:numPr>
          <w:ilvl w:val="1"/>
          <w:numId w:val="26"/>
        </w:numPr>
        <w:overflowPunct w:val="0"/>
        <w:autoSpaceDE w:val="0"/>
        <w:autoSpaceDN w:val="0"/>
        <w:adjustRightInd w:val="0"/>
        <w:spacing w:after="0"/>
        <w:jc w:val="both"/>
        <w:textAlignment w:val="baseline"/>
      </w:pPr>
      <w:r w:rsidRPr="00C613F5">
        <w:t>UE: R4-2011494</w:t>
      </w:r>
    </w:p>
    <w:p w14:paraId="2A1633F7" w14:textId="77777777" w:rsidR="00E665A6" w:rsidRPr="00C613F5" w:rsidRDefault="00E665A6" w:rsidP="00E665A6">
      <w:pPr>
        <w:pStyle w:val="BodyText"/>
        <w:numPr>
          <w:ilvl w:val="0"/>
          <w:numId w:val="26"/>
        </w:numPr>
        <w:overflowPunct w:val="0"/>
        <w:autoSpaceDE w:val="0"/>
        <w:autoSpaceDN w:val="0"/>
        <w:adjustRightInd w:val="0"/>
        <w:spacing w:after="0"/>
        <w:jc w:val="both"/>
        <w:textAlignment w:val="baseline"/>
      </w:pPr>
      <w:r w:rsidRPr="00C613F5">
        <w:t xml:space="preserve">PN model set </w:t>
      </w:r>
      <w:r>
        <w:t>3</w:t>
      </w:r>
    </w:p>
    <w:p w14:paraId="30D44148" w14:textId="77777777" w:rsidR="00E665A6" w:rsidRPr="00C613F5" w:rsidRDefault="00E665A6" w:rsidP="00E665A6">
      <w:pPr>
        <w:pStyle w:val="BodyText"/>
        <w:numPr>
          <w:ilvl w:val="1"/>
          <w:numId w:val="26"/>
        </w:numPr>
        <w:overflowPunct w:val="0"/>
        <w:autoSpaceDE w:val="0"/>
        <w:autoSpaceDN w:val="0"/>
        <w:adjustRightInd w:val="0"/>
        <w:spacing w:after="0"/>
        <w:jc w:val="both"/>
        <w:textAlignment w:val="baseline"/>
      </w:pPr>
      <w:r w:rsidRPr="00C613F5">
        <w:t>BS: R4-2010176 DM=0 dB</w:t>
      </w:r>
    </w:p>
    <w:p w14:paraId="59D9239F" w14:textId="77777777" w:rsidR="00E665A6" w:rsidRPr="00C613F5" w:rsidRDefault="00E665A6" w:rsidP="00E665A6">
      <w:pPr>
        <w:pStyle w:val="BodyText"/>
        <w:numPr>
          <w:ilvl w:val="1"/>
          <w:numId w:val="26"/>
        </w:numPr>
        <w:overflowPunct w:val="0"/>
        <w:autoSpaceDE w:val="0"/>
        <w:autoSpaceDN w:val="0"/>
        <w:adjustRightInd w:val="0"/>
        <w:jc w:val="both"/>
        <w:textAlignment w:val="baseline"/>
      </w:pPr>
      <w:r w:rsidRPr="00C613F5">
        <w:t>UE: R4-2010176 DM=5 dB</w:t>
      </w:r>
    </w:p>
    <w:p w14:paraId="7A387B00" w14:textId="256FE424" w:rsidR="00E665A6" w:rsidRPr="00D55D0C" w:rsidRDefault="00A8183A" w:rsidP="00E665A6">
      <w:pPr>
        <w:pStyle w:val="Heading3"/>
      </w:pPr>
      <w:r w:rsidRPr="002A29EB">
        <w:t>2</w:t>
      </w:r>
      <w:r w:rsidR="00E665A6" w:rsidRPr="00362B8C">
        <w:t>.</w:t>
      </w:r>
      <w:r w:rsidR="00E665A6" w:rsidRPr="00362B8C" w:rsidDel="00A8183A">
        <w:t>3</w:t>
      </w:r>
      <w:r w:rsidR="00E665A6" w:rsidRPr="00362B8C">
        <w:t>.1</w:t>
      </w:r>
      <w:r w:rsidR="00E665A6" w:rsidRPr="00362B8C">
        <w:tab/>
        <w:t>CPE compensation</w:t>
      </w:r>
    </w:p>
    <w:p w14:paraId="3F02FDD5" w14:textId="77777777" w:rsidR="00EE45D4" w:rsidRDefault="00EE45D4" w:rsidP="00EE45D4">
      <w:pPr>
        <w:pStyle w:val="BodyText"/>
      </w:pPr>
      <w:r w:rsidRPr="000E45C1">
        <w:t xml:space="preserve">In all link-level simulations for OFDM, current Rel-15 PTRS configurations </w:t>
      </w:r>
      <w:r>
        <w:t xml:space="preserve">with </w:t>
      </w:r>
      <w:r w:rsidRPr="000E45C1">
        <w:t xml:space="preserve">K=2 and L=1 are used and CPE compensation </w:t>
      </w:r>
      <w:r>
        <w:t>is applied to the received signals</w:t>
      </w:r>
    </w:p>
    <w:p w14:paraId="70D09D35" w14:textId="67631252" w:rsidR="00EE45D4" w:rsidRDefault="00EE45D4" w:rsidP="00EE45D4">
      <w:pPr>
        <w:pStyle w:val="BodyText"/>
        <w:keepNext/>
      </w:pPr>
      <w:r>
        <w:t xml:space="preserve">The BLERs for MCS 16 and MCS 22 (which use 16QAM and 64QAM, respectively) using the three sets of phase noise models are provided in </w:t>
      </w:r>
      <w:r>
        <w:fldChar w:fldCharType="begin"/>
      </w:r>
      <w:r>
        <w:instrText xml:space="preserve"> REF _Ref52969641 \h  \* MERGEFORMAT </w:instrText>
      </w:r>
      <w:r>
        <w:fldChar w:fldCharType="separate"/>
      </w:r>
      <w:r w:rsidR="001F388A" w:rsidRPr="001F388A">
        <w:t>Figure 3</w:t>
      </w:r>
      <w:r>
        <w:fldChar w:fldCharType="end"/>
      </w:r>
      <w:r>
        <w:t xml:space="preserve">, </w:t>
      </w:r>
      <w:r>
        <w:fldChar w:fldCharType="begin"/>
      </w:r>
      <w:r>
        <w:instrText xml:space="preserve"> REF _Ref52969657 \h  \* MERGEFORMAT </w:instrText>
      </w:r>
      <w:r>
        <w:fldChar w:fldCharType="separate"/>
      </w:r>
      <w:r w:rsidR="001F388A" w:rsidRPr="001F388A">
        <w:t>Figure 4</w:t>
      </w:r>
      <w:r>
        <w:fldChar w:fldCharType="end"/>
      </w:r>
      <w:r>
        <w:t xml:space="preserve"> and </w:t>
      </w:r>
      <w:r>
        <w:fldChar w:fldCharType="begin"/>
      </w:r>
      <w:r>
        <w:instrText xml:space="preserve"> REF _Ref53395981 \h  \* MERGEFORMAT </w:instrText>
      </w:r>
      <w:r>
        <w:fldChar w:fldCharType="separate"/>
      </w:r>
      <w:r w:rsidR="001F388A" w:rsidRPr="001F388A">
        <w:t>Figure 5</w:t>
      </w:r>
      <w:r>
        <w:fldChar w:fldCharType="end"/>
      </w:r>
      <w:r>
        <w:t>. The following observations can be made.</w:t>
      </w:r>
    </w:p>
    <w:p w14:paraId="0BDD7D10" w14:textId="77777777" w:rsidR="00974119" w:rsidRDefault="00974119" w:rsidP="00E665A6">
      <w:pPr>
        <w:pStyle w:val="BodyText"/>
      </w:pPr>
    </w:p>
    <w:p w14:paraId="4B84E92C" w14:textId="01D8D614" w:rsidR="00E665A6" w:rsidRDefault="00E665A6" w:rsidP="00E665A6">
      <w:pPr>
        <w:pStyle w:val="BodyText"/>
        <w:numPr>
          <w:ilvl w:val="0"/>
          <w:numId w:val="27"/>
        </w:numPr>
        <w:overflowPunct w:val="0"/>
        <w:autoSpaceDE w:val="0"/>
        <w:autoSpaceDN w:val="0"/>
        <w:adjustRightInd w:val="0"/>
        <w:jc w:val="both"/>
        <w:textAlignment w:val="baseline"/>
      </w:pPr>
      <w:r>
        <w:t xml:space="preserve">With phase noise model set 1 using Ex 2 models at both BS and UE, BLER performance with only CPE compensation depends strongly on the SCS. It can be observed in </w:t>
      </w:r>
      <w:r w:rsidR="00080FAA">
        <w:fldChar w:fldCharType="begin"/>
      </w:r>
      <w:r w:rsidR="00080FAA">
        <w:instrText xml:space="preserve"> REF _Ref52969641 \h </w:instrText>
      </w:r>
      <w:r w:rsidR="00844C49">
        <w:instrText xml:space="preserve"> \* MERGEFORMAT </w:instrText>
      </w:r>
      <w:r w:rsidR="00080FAA">
        <w:fldChar w:fldCharType="separate"/>
      </w:r>
      <w:r w:rsidR="001F388A" w:rsidRPr="001F388A">
        <w:t>Figure 3</w:t>
      </w:r>
      <w:r w:rsidR="00080FAA">
        <w:fldChar w:fldCharType="end"/>
      </w:r>
      <w:r w:rsidR="00080FAA">
        <w:t xml:space="preserve"> </w:t>
      </w:r>
      <w:r>
        <w:t>that links using larger SCS outperforms those with smaller SCS. That is, links using small SCS suffer more from ICI problems caused by the time-varying phase noise. For 400 MHz bandwidth with 120 or 240 kHz SCS as well as 1.6 GHz bandwidth with 480 kHz SCS, BLER floors can be observed.</w:t>
      </w:r>
    </w:p>
    <w:p w14:paraId="44F20F1B" w14:textId="64A6054D" w:rsidR="00E665A6" w:rsidRDefault="00E665A6" w:rsidP="00E665A6">
      <w:pPr>
        <w:pStyle w:val="BodyText"/>
        <w:numPr>
          <w:ilvl w:val="0"/>
          <w:numId w:val="27"/>
        </w:numPr>
        <w:overflowPunct w:val="0"/>
        <w:autoSpaceDE w:val="0"/>
        <w:autoSpaceDN w:val="0"/>
        <w:adjustRightInd w:val="0"/>
        <w:jc w:val="both"/>
        <w:textAlignment w:val="baseline"/>
      </w:pPr>
      <w:r>
        <w:t xml:space="preserve">With phase noise model set 2, the Ex 2 UE model is replaced by the new UE phase noise model provided in R4-2011494. For the BS, the same Ex 2 BS model is still applied. It can be clearly observed in </w:t>
      </w:r>
      <w:r w:rsidR="0037583E">
        <w:fldChar w:fldCharType="begin"/>
      </w:r>
      <w:r w:rsidR="0037583E">
        <w:instrText xml:space="preserve"> REF _Ref52969657 \h </w:instrText>
      </w:r>
      <w:r w:rsidR="00640BD9">
        <w:instrText xml:space="preserve"> \* MERGEFORMAT </w:instrText>
      </w:r>
      <w:r w:rsidR="0037583E">
        <w:fldChar w:fldCharType="separate"/>
      </w:r>
      <w:r w:rsidR="001F388A" w:rsidRPr="001F388A">
        <w:t>Figure 4</w:t>
      </w:r>
      <w:r w:rsidR="0037583E">
        <w:fldChar w:fldCharType="end"/>
      </w:r>
      <w:r w:rsidR="0037583E">
        <w:t xml:space="preserve"> </w:t>
      </w:r>
      <w:r>
        <w:t>that there is significantly less dependence of BLER performance on SCS. For all test cases, no error floor is observed. Instead, there is only around 1 dB performance difference between consecutive SCSs.</w:t>
      </w:r>
    </w:p>
    <w:p w14:paraId="153A5BA6" w14:textId="6DA77FF7" w:rsidR="00E665A6" w:rsidRDefault="00E665A6" w:rsidP="00E665A6">
      <w:pPr>
        <w:pStyle w:val="BodyText"/>
        <w:numPr>
          <w:ilvl w:val="0"/>
          <w:numId w:val="27"/>
        </w:numPr>
        <w:overflowPunct w:val="0"/>
        <w:autoSpaceDE w:val="0"/>
        <w:autoSpaceDN w:val="0"/>
        <w:adjustRightInd w:val="0"/>
        <w:jc w:val="both"/>
        <w:textAlignment w:val="baseline"/>
      </w:pPr>
      <w:r>
        <w:t xml:space="preserve">With phase noise model set 3, the BS and UE phase noise are </w:t>
      </w:r>
      <w:r w:rsidR="00BA6830">
        <w:t>modelled</w:t>
      </w:r>
      <w:r>
        <w:t xml:space="preserve"> by the model provided in R4-2010176 with different design margins, respectively. Similar to the cases observed in phase noise model set 2, there is significantly less dependence of BLER performance on SCS than that observed in phase noise model set 1.</w:t>
      </w:r>
      <w:r w:rsidRPr="003B035A">
        <w:t xml:space="preserve"> </w:t>
      </w:r>
      <w:r>
        <w:t>Between consecutive SCSs, BLER performance for the same bandwidth differs by only 1 to 2 dB.</w:t>
      </w:r>
    </w:p>
    <w:p w14:paraId="4A08D9AB" w14:textId="6D6F214A" w:rsidR="00362B8C" w:rsidRPr="006445D7" w:rsidRDefault="00E665A6" w:rsidP="00983E36">
      <w:pPr>
        <w:pStyle w:val="BodyText"/>
        <w:overflowPunct w:val="0"/>
        <w:autoSpaceDE w:val="0"/>
        <w:autoSpaceDN w:val="0"/>
        <w:adjustRightInd w:val="0"/>
        <w:ind w:left="720"/>
        <w:jc w:val="both"/>
        <w:textAlignment w:val="baseline"/>
      </w:pPr>
      <w:r>
        <w:t>With</w:t>
      </w:r>
      <w:r w:rsidRPr="006445D7">
        <w:t xml:space="preserve"> larger delay spreads, systems with large SCS start to suffer from inter-symbol interference (ISI). For the example of 960 kHz SCS, link performance error floor starts to develop for the 64QAM in a channel with 40 ns average delay spreads. </w:t>
      </w:r>
    </w:p>
    <w:p w14:paraId="5B5CF7E9" w14:textId="77777777" w:rsidR="00983E36" w:rsidRPr="006445D7" w:rsidRDefault="00983E36" w:rsidP="00983E36">
      <w:pPr>
        <w:pStyle w:val="BodyText"/>
        <w:overflowPunct w:val="0"/>
        <w:autoSpaceDE w:val="0"/>
        <w:autoSpaceDN w:val="0"/>
        <w:adjustRightInd w:val="0"/>
        <w:ind w:left="720"/>
        <w:jc w:val="both"/>
        <w:textAlignment w:val="baseline"/>
      </w:pPr>
    </w:p>
    <w:p w14:paraId="73334857" w14:textId="69A1893C" w:rsidR="00EE45D4" w:rsidRDefault="00E665A6" w:rsidP="00EE45D4">
      <w:pPr>
        <w:pStyle w:val="BodyText"/>
        <w:overflowPunct w:val="0"/>
        <w:autoSpaceDE w:val="0"/>
        <w:autoSpaceDN w:val="0"/>
        <w:adjustRightInd w:val="0"/>
        <w:jc w:val="both"/>
        <w:textAlignment w:val="baseline"/>
      </w:pPr>
      <w:r>
        <w:t xml:space="preserve">When the UE phase noise model is replaced by either (1) the </w:t>
      </w:r>
      <w:r w:rsidRPr="00E62722">
        <w:t>measurements/simulation on 70GHz UE PLL</w:t>
      </w:r>
      <w:r w:rsidR="00362B8C">
        <w:t xml:space="preserve"> </w:t>
      </w:r>
      <w:r w:rsidR="00362B8C">
        <w:fldChar w:fldCharType="begin"/>
      </w:r>
      <w:r w:rsidR="00362B8C">
        <w:instrText xml:space="preserve"> REF _Ref53744125 \r \h </w:instrText>
      </w:r>
      <w:r w:rsidR="00362B8C">
        <w:fldChar w:fldCharType="separate"/>
      </w:r>
      <w:r w:rsidR="001F388A">
        <w:t>[3]</w:t>
      </w:r>
      <w:r w:rsidR="00362B8C">
        <w:fldChar w:fldCharType="end"/>
      </w:r>
      <w:r>
        <w:t xml:space="preserve">, or (2) state of the art </w:t>
      </w:r>
      <w:r w:rsidRPr="00C67BC8">
        <w:t>representative</w:t>
      </w:r>
      <w:r>
        <w:t xml:space="preserve"> implementation</w:t>
      </w:r>
      <w:r w:rsidRPr="00C67BC8">
        <w:t xml:space="preserve"> of integrated RF circuit solutions</w:t>
      </w:r>
      <w:r>
        <w:t>, SCS and ICI issues play much reduced roles in the link performance</w:t>
      </w:r>
      <w:r w:rsidR="001F388A">
        <w:t>.</w:t>
      </w:r>
    </w:p>
    <w:p w14:paraId="116B266C" w14:textId="77777777" w:rsidR="00EE45D4" w:rsidRDefault="00EE45D4" w:rsidP="00EE45D4">
      <w:pPr>
        <w:pStyle w:val="BodyText"/>
      </w:pPr>
    </w:p>
    <w:p w14:paraId="56ADB79A" w14:textId="77777777" w:rsidR="00EE45D4" w:rsidRDefault="00EE45D4" w:rsidP="00EE45D4">
      <w:pPr>
        <w:keepNext/>
        <w:jc w:val="center"/>
      </w:pPr>
      <w:r>
        <w:rPr>
          <w:noProof/>
        </w:rPr>
        <w:lastRenderedPageBreak/>
        <w:drawing>
          <wp:inline distT="0" distB="0" distL="0" distR="0" wp14:anchorId="5460383A" wp14:editId="0A59FB44">
            <wp:extent cx="3017520" cy="22631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14">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Pr>
          <w:noProof/>
        </w:rPr>
        <w:drawing>
          <wp:inline distT="0" distB="0" distL="0" distR="0" wp14:anchorId="39091AAC" wp14:editId="2D511074">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15">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61697BE4" w14:textId="452D987A" w:rsidR="00EE45D4" w:rsidRPr="006D11BD" w:rsidRDefault="00EE45D4" w:rsidP="00EE45D4">
      <w:pPr>
        <w:pStyle w:val="Caption"/>
        <w:jc w:val="both"/>
        <w:rPr>
          <w:rFonts w:asciiTheme="majorBidi" w:hAnsiTheme="majorBidi" w:cstheme="majorBidi"/>
          <w:i w:val="0"/>
          <w:iCs w:val="0"/>
          <w:color w:val="auto"/>
          <w:sz w:val="20"/>
          <w:szCs w:val="20"/>
        </w:rPr>
      </w:pPr>
      <w:bookmarkStart w:id="5" w:name="_Ref52969641"/>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i w:val="0"/>
          <w:iCs w:val="0"/>
          <w:color w:val="auto"/>
          <w:sz w:val="20"/>
          <w:szCs w:val="20"/>
        </w:rPr>
        <w:fldChar w:fldCharType="separate"/>
      </w:r>
      <w:r w:rsidR="001F388A">
        <w:rPr>
          <w:rFonts w:asciiTheme="majorBidi" w:hAnsiTheme="majorBidi" w:cstheme="majorBidi"/>
          <w:i w:val="0"/>
          <w:iCs w:val="0"/>
          <w:noProof/>
          <w:color w:val="auto"/>
          <w:sz w:val="20"/>
          <w:szCs w:val="20"/>
        </w:rPr>
        <w:t>3</w:t>
      </w:r>
      <w:r w:rsidRPr="006D11BD">
        <w:rPr>
          <w:rFonts w:asciiTheme="majorBidi" w:hAnsiTheme="majorBidi" w:cstheme="majorBidi"/>
          <w:i w:val="0"/>
          <w:iCs w:val="0"/>
          <w:color w:val="auto"/>
          <w:sz w:val="20"/>
          <w:szCs w:val="20"/>
        </w:rPr>
        <w:fldChar w:fldCharType="end"/>
      </w:r>
      <w:bookmarkEnd w:id="5"/>
      <w:r w:rsidRPr="006D11BD">
        <w:rPr>
          <w:rFonts w:asciiTheme="majorBidi" w:hAnsiTheme="majorBidi" w:cstheme="majorBidi"/>
          <w:i w:val="0"/>
          <w:iCs w:val="0"/>
          <w:color w:val="auto"/>
          <w:sz w:val="20"/>
          <w:szCs w:val="20"/>
        </w:rPr>
        <w:t>: BLER for TDL-A channel with 10 ns (left) and 40 ns (right) delay spread. CPE compensation is used assuming the PN model set 1. The dotted/solid curves correspond to MCS 16/22, respectively.</w:t>
      </w:r>
    </w:p>
    <w:p w14:paraId="26C2B7B7" w14:textId="77777777" w:rsidR="00EE45D4" w:rsidRDefault="00EE45D4" w:rsidP="00EE45D4">
      <w:pPr>
        <w:pStyle w:val="BodyText"/>
        <w:keepNext/>
        <w:jc w:val="center"/>
      </w:pPr>
      <w:r>
        <w:rPr>
          <w:noProof/>
        </w:rPr>
        <w:drawing>
          <wp:inline distT="0" distB="0" distL="0" distR="0" wp14:anchorId="19F0EF0F" wp14:editId="4B0FDFC6">
            <wp:extent cx="3017520" cy="22631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3B089A27" wp14:editId="540EA13C">
            <wp:extent cx="3017520" cy="22631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170EB1D0" w14:textId="66C9E270" w:rsidR="00EE45D4" w:rsidRPr="006D11BD" w:rsidRDefault="00EE45D4" w:rsidP="00EE45D4">
      <w:pPr>
        <w:pStyle w:val="Caption"/>
        <w:jc w:val="both"/>
        <w:rPr>
          <w:rFonts w:asciiTheme="majorBidi" w:hAnsiTheme="majorBidi" w:cstheme="majorBidi"/>
          <w:i w:val="0"/>
          <w:iCs w:val="0"/>
          <w:color w:val="auto"/>
          <w:sz w:val="20"/>
          <w:szCs w:val="20"/>
        </w:rPr>
      </w:pPr>
      <w:bookmarkStart w:id="6" w:name="_Ref52969657"/>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i w:val="0"/>
          <w:iCs w:val="0"/>
          <w:color w:val="auto"/>
          <w:sz w:val="20"/>
          <w:szCs w:val="20"/>
        </w:rPr>
        <w:fldChar w:fldCharType="separate"/>
      </w:r>
      <w:r w:rsidR="001F388A">
        <w:rPr>
          <w:rFonts w:asciiTheme="majorBidi" w:hAnsiTheme="majorBidi" w:cstheme="majorBidi"/>
          <w:i w:val="0"/>
          <w:iCs w:val="0"/>
          <w:noProof/>
          <w:color w:val="auto"/>
          <w:sz w:val="20"/>
          <w:szCs w:val="20"/>
        </w:rPr>
        <w:t>4</w:t>
      </w:r>
      <w:r w:rsidRPr="006D11BD">
        <w:rPr>
          <w:rFonts w:asciiTheme="majorBidi" w:hAnsiTheme="majorBidi" w:cstheme="majorBidi"/>
          <w:i w:val="0"/>
          <w:iCs w:val="0"/>
          <w:color w:val="auto"/>
          <w:sz w:val="20"/>
          <w:szCs w:val="20"/>
        </w:rPr>
        <w:fldChar w:fldCharType="end"/>
      </w:r>
      <w:bookmarkEnd w:id="6"/>
      <w:r w:rsidRPr="006D11BD">
        <w:rPr>
          <w:rFonts w:asciiTheme="majorBidi" w:hAnsiTheme="majorBidi" w:cstheme="majorBidi"/>
          <w:i w:val="0"/>
          <w:iCs w:val="0"/>
          <w:color w:val="auto"/>
          <w:sz w:val="20"/>
          <w:szCs w:val="20"/>
        </w:rPr>
        <w:t>: BLER for TDL-A channel with 10 ns (left) and 40 ns (right) delay spread. CPE compensation is used assuming the PN model set 2. The dotted/solid curves correspond to MCS 16/22, respectively.</w:t>
      </w:r>
    </w:p>
    <w:p w14:paraId="29C8333C" w14:textId="77777777" w:rsidR="00EE45D4" w:rsidRPr="00CA386A" w:rsidRDefault="00EE45D4" w:rsidP="00EE45D4">
      <w:pPr>
        <w:pStyle w:val="BodyText"/>
        <w:keepNext/>
        <w:jc w:val="center"/>
      </w:pPr>
      <w:bookmarkStart w:id="7" w:name="_Ref52969664"/>
      <w:r w:rsidRPr="002D7415">
        <w:rPr>
          <w:noProof/>
        </w:rPr>
        <w:t xml:space="preserve"> </w:t>
      </w:r>
      <w:r>
        <w:rPr>
          <w:noProof/>
        </w:rPr>
        <w:drawing>
          <wp:inline distT="0" distB="0" distL="0" distR="0" wp14:anchorId="504C572F" wp14:editId="1BB97E7E">
            <wp:extent cx="3017520" cy="2242410"/>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t xml:space="preserve"> </w:t>
      </w:r>
      <w:r>
        <w:rPr>
          <w:noProof/>
        </w:rPr>
        <w:drawing>
          <wp:inline distT="0" distB="0" distL="0" distR="0" wp14:anchorId="36366823" wp14:editId="6045E1AD">
            <wp:extent cx="3017520" cy="2242410"/>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006240E5" w14:textId="6D63361E" w:rsidR="00EE45D4" w:rsidRPr="006D11BD" w:rsidRDefault="00EE45D4" w:rsidP="00EE45D4">
      <w:pPr>
        <w:pStyle w:val="Caption"/>
        <w:jc w:val="both"/>
        <w:rPr>
          <w:rFonts w:asciiTheme="majorBidi" w:hAnsiTheme="majorBidi" w:cstheme="majorBidi"/>
        </w:rPr>
      </w:pPr>
      <w:bookmarkStart w:id="8" w:name="_Ref53395981"/>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i w:val="0"/>
          <w:iCs w:val="0"/>
          <w:color w:val="auto"/>
          <w:sz w:val="20"/>
          <w:szCs w:val="20"/>
        </w:rPr>
        <w:fldChar w:fldCharType="separate"/>
      </w:r>
      <w:r w:rsidR="001F388A">
        <w:rPr>
          <w:rFonts w:asciiTheme="majorBidi" w:hAnsiTheme="majorBidi" w:cstheme="majorBidi"/>
          <w:i w:val="0"/>
          <w:iCs w:val="0"/>
          <w:noProof/>
          <w:color w:val="auto"/>
          <w:sz w:val="20"/>
          <w:szCs w:val="20"/>
        </w:rPr>
        <w:t>5</w:t>
      </w:r>
      <w:r w:rsidRPr="006D11BD">
        <w:rPr>
          <w:rFonts w:asciiTheme="majorBidi" w:hAnsiTheme="majorBidi" w:cstheme="majorBidi"/>
          <w:i w:val="0"/>
          <w:iCs w:val="0"/>
          <w:color w:val="auto"/>
          <w:sz w:val="20"/>
          <w:szCs w:val="20"/>
        </w:rPr>
        <w:fldChar w:fldCharType="end"/>
      </w:r>
      <w:bookmarkEnd w:id="7"/>
      <w:bookmarkEnd w:id="8"/>
      <w:r w:rsidRPr="006D11BD">
        <w:rPr>
          <w:rFonts w:asciiTheme="majorBidi" w:hAnsiTheme="majorBidi" w:cstheme="majorBidi"/>
          <w:i w:val="0"/>
          <w:iCs w:val="0"/>
          <w:color w:val="auto"/>
          <w:sz w:val="20"/>
          <w:szCs w:val="20"/>
        </w:rPr>
        <w:t>: BLER for TDL-A channel with 10 ns (left) and 40 ns (right) delay spread. CPE compensation is used</w:t>
      </w:r>
      <w:r w:rsidRPr="00433C56">
        <w:rPr>
          <w:rFonts w:asciiTheme="majorBidi" w:hAnsiTheme="majorBidi" w:cstheme="majorBidi"/>
          <w:i w:val="0"/>
          <w:iCs w:val="0"/>
          <w:color w:val="auto"/>
          <w:sz w:val="20"/>
          <w:szCs w:val="20"/>
        </w:rPr>
        <w:t xml:space="preserve"> assuming the PN model set </w:t>
      </w:r>
      <w:r>
        <w:rPr>
          <w:rFonts w:asciiTheme="majorBidi" w:hAnsiTheme="majorBidi" w:cstheme="majorBidi"/>
          <w:i w:val="0"/>
          <w:iCs w:val="0"/>
          <w:color w:val="auto"/>
          <w:sz w:val="20"/>
          <w:szCs w:val="20"/>
        </w:rPr>
        <w:t>3</w:t>
      </w:r>
      <w:r w:rsidRPr="00433C56">
        <w:rPr>
          <w:rFonts w:asciiTheme="majorBidi" w:hAnsiTheme="majorBidi" w:cstheme="majorBidi"/>
          <w:i w:val="0"/>
          <w:iCs w:val="0"/>
          <w:color w:val="auto"/>
          <w:sz w:val="20"/>
          <w:szCs w:val="20"/>
        </w:rPr>
        <w:t>. The dotted/solid curves correspond to MCS 16/22, respectively.</w:t>
      </w:r>
    </w:p>
    <w:p w14:paraId="7158B561" w14:textId="77777777" w:rsidR="00EE45D4" w:rsidRDefault="00EE45D4" w:rsidP="00BA6830">
      <w:pPr>
        <w:pStyle w:val="BodyText"/>
        <w:overflowPunct w:val="0"/>
        <w:autoSpaceDE w:val="0"/>
        <w:autoSpaceDN w:val="0"/>
        <w:adjustRightInd w:val="0"/>
        <w:jc w:val="both"/>
        <w:textAlignment w:val="baseline"/>
      </w:pPr>
    </w:p>
    <w:p w14:paraId="32512F07" w14:textId="3FA61066" w:rsidR="00E665A6" w:rsidRPr="00CA658E" w:rsidRDefault="00311C2A" w:rsidP="00E665A6">
      <w:pPr>
        <w:pStyle w:val="Heading3"/>
      </w:pPr>
      <w:r>
        <w:lastRenderedPageBreak/>
        <w:t>2</w:t>
      </w:r>
      <w:r w:rsidR="00E665A6">
        <w:t>.</w:t>
      </w:r>
      <w:r w:rsidR="00A52E33">
        <w:t>3</w:t>
      </w:r>
      <w:r w:rsidR="00E665A6">
        <w:t>.2</w:t>
      </w:r>
      <w:r w:rsidR="00E665A6" w:rsidRPr="00D55D0C">
        <w:tab/>
      </w:r>
      <w:r w:rsidR="00E665A6">
        <w:t>ICI compensation</w:t>
      </w:r>
    </w:p>
    <w:p w14:paraId="6F85FED9" w14:textId="26CB142A" w:rsidR="00E665A6" w:rsidRDefault="00311C2A" w:rsidP="00E665A6">
      <w:pPr>
        <w:pStyle w:val="Heading4"/>
      </w:pPr>
      <w:r>
        <w:t>2</w:t>
      </w:r>
      <w:r w:rsidR="00E665A6">
        <w:t>.</w:t>
      </w:r>
      <w:r w:rsidR="00E665A6" w:rsidDel="00311C2A">
        <w:t>3</w:t>
      </w:r>
      <w:r w:rsidR="00E665A6" w:rsidRPr="00D55D0C">
        <w:t>.</w:t>
      </w:r>
      <w:r w:rsidR="00E665A6">
        <w:t>2.1</w:t>
      </w:r>
      <w:r w:rsidR="00E665A6" w:rsidRPr="00D55D0C">
        <w:tab/>
        <w:t>Rel-15 PT-RS structure</w:t>
      </w:r>
    </w:p>
    <w:p w14:paraId="028ECCD6" w14:textId="10069EBC" w:rsidR="00E665A6" w:rsidRPr="00FE1E03" w:rsidRDefault="00983E36" w:rsidP="00E665A6">
      <w:pPr>
        <w:pStyle w:val="BodyText"/>
        <w:spacing w:after="0"/>
      </w:pPr>
      <w:r>
        <w:t>Below is</w:t>
      </w:r>
      <w:r w:rsidR="00E665A6" w:rsidRPr="00D92C36">
        <w:t xml:space="preserve"> provide</w:t>
      </w:r>
      <w:r>
        <w:t>d</w:t>
      </w:r>
      <w:r w:rsidR="00E665A6" w:rsidRPr="00D92C36">
        <w:t xml:space="preserve"> BLER for the same agreed evaluation assumptions in </w:t>
      </w:r>
      <w:r w:rsidR="00A3452A">
        <w:t>[1]</w:t>
      </w:r>
      <w:r w:rsidR="00E665A6" w:rsidRPr="00D92C36" w:rsidDel="006A6871">
        <w:t xml:space="preserve"> </w:t>
      </w:r>
      <w:r w:rsidR="00E665A6" w:rsidRPr="00D92C36">
        <w:t xml:space="preserve">using three-tap de-ICI compensation (i.e., </w:t>
      </w:r>
      <m:oMath>
        <m:r>
          <w:rPr>
            <w:rFonts w:ascii="Cambria Math" w:hAnsi="Cambria Math"/>
          </w:rPr>
          <m:t>u</m:t>
        </m:r>
        <m:r>
          <m:rPr>
            <m:sty m:val="p"/>
          </m:rPr>
          <w:rPr>
            <w:rFonts w:ascii="Cambria Math" w:hAnsi="Cambria Math"/>
          </w:rPr>
          <m:t>=1</m:t>
        </m:r>
      </m:oMath>
      <w:r w:rsidR="00E665A6" w:rsidRPr="00D92C36">
        <w:t>)</w:t>
      </w:r>
      <w:r w:rsidR="00E665A6" w:rsidRPr="00D377AD">
        <w:t xml:space="preserve"> for </w:t>
      </w:r>
      <w:r w:rsidR="00E665A6">
        <w:t xml:space="preserve">the </w:t>
      </w:r>
      <w:r w:rsidR="00E665A6" w:rsidRPr="00D377AD">
        <w:t>two channel bandwidths</w:t>
      </w:r>
      <w:r w:rsidR="00E665A6">
        <w:t xml:space="preserve"> and three phase noise model sets. </w:t>
      </w:r>
      <w:r w:rsidR="00E665A6" w:rsidRPr="00FE1E03">
        <w:t>The results show that, with simple ICI compensation, link performance of smaller sub-carrier spacings can be brought on par with that of larger sub-carrier spacings particularly in the range of typical link adaptation target of 10% BLER for channels. Therefore, there is no need to drastically increase SCS, e.g., to 960 kHz, to combat phase noise.</w:t>
      </w:r>
      <w:r>
        <w:t xml:space="preserve">  </w:t>
      </w:r>
    </w:p>
    <w:p w14:paraId="13B3D969" w14:textId="73018FE4" w:rsidR="00E665A6" w:rsidRDefault="00E665A6" w:rsidP="00E665A6">
      <w:pPr>
        <w:pStyle w:val="BodyText"/>
      </w:pPr>
    </w:p>
    <w:p w14:paraId="208CBD00" w14:textId="77777777" w:rsidR="00FB5256" w:rsidRDefault="00FB5256" w:rsidP="00FB5256">
      <w:pPr>
        <w:keepNext/>
      </w:pPr>
      <w:r>
        <w:rPr>
          <w:noProof/>
        </w:rPr>
        <w:drawing>
          <wp:inline distT="0" distB="0" distL="0" distR="0" wp14:anchorId="26D9F1FE" wp14:editId="12255699">
            <wp:extent cx="3017520" cy="22631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Pr="007477D2">
        <w:rPr>
          <w:noProof/>
        </w:rPr>
        <w:t xml:space="preserve"> </w:t>
      </w:r>
      <w:r>
        <w:rPr>
          <w:noProof/>
        </w:rPr>
        <w:drawing>
          <wp:inline distT="0" distB="0" distL="0" distR="0" wp14:anchorId="3D77DD56" wp14:editId="3A72F719">
            <wp:extent cx="3017520" cy="22631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23B77AD" w14:textId="203CBB00" w:rsidR="00FB5256" w:rsidRPr="006D11BD" w:rsidRDefault="00FB5256" w:rsidP="00FB5256">
      <w:pPr>
        <w:pStyle w:val="Caption"/>
        <w:jc w:val="both"/>
        <w:rPr>
          <w:rFonts w:asciiTheme="majorBidi" w:hAnsiTheme="majorBidi" w:cstheme="majorBidi"/>
          <w:i w:val="0"/>
          <w:iCs w:val="0"/>
          <w:color w:val="auto"/>
          <w:sz w:val="20"/>
          <w:szCs w:val="20"/>
        </w:rPr>
      </w:pPr>
      <w:bookmarkStart w:id="9" w:name="_Ref53085692"/>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i w:val="0"/>
          <w:iCs w:val="0"/>
          <w:color w:val="auto"/>
          <w:sz w:val="20"/>
          <w:szCs w:val="20"/>
        </w:rPr>
        <w:fldChar w:fldCharType="separate"/>
      </w:r>
      <w:r w:rsidR="001F388A">
        <w:rPr>
          <w:rFonts w:asciiTheme="majorBidi" w:hAnsiTheme="majorBidi" w:cstheme="majorBidi"/>
          <w:i w:val="0"/>
          <w:iCs w:val="0"/>
          <w:noProof/>
          <w:color w:val="auto"/>
          <w:sz w:val="20"/>
          <w:szCs w:val="20"/>
        </w:rPr>
        <w:t>6</w:t>
      </w:r>
      <w:r w:rsidRPr="006D11BD">
        <w:rPr>
          <w:rFonts w:asciiTheme="majorBidi" w:hAnsiTheme="majorBidi" w:cstheme="majorBidi"/>
          <w:i w:val="0"/>
          <w:iCs w:val="0"/>
          <w:color w:val="auto"/>
          <w:sz w:val="20"/>
          <w:szCs w:val="20"/>
        </w:rPr>
        <w:fldChar w:fldCharType="end"/>
      </w:r>
      <w:bookmarkEnd w:id="9"/>
      <w:r w:rsidRPr="006D11BD">
        <w:rPr>
          <w:rFonts w:asciiTheme="majorBidi" w:hAnsiTheme="majorBidi" w:cstheme="majorBidi"/>
          <w:i w:val="0"/>
          <w:iCs w:val="0"/>
          <w:color w:val="auto"/>
          <w:sz w:val="20"/>
          <w:szCs w:val="20"/>
        </w:rPr>
        <w:t>: BLER for TDL-A channel with 10 ns (left) and 40 ns (right) delay spread. ICI compensation is used assuming the PN model set 1. The dotted/solid curves correspond to MCS 16/22, respectively.</w:t>
      </w:r>
    </w:p>
    <w:p w14:paraId="4E6AF70C" w14:textId="77777777" w:rsidR="00FB5256" w:rsidRPr="00A268B2" w:rsidRDefault="00FB5256" w:rsidP="00FB5256">
      <w:pPr>
        <w:rPr>
          <w:lang w:eastAsia="en-GB"/>
        </w:rPr>
      </w:pPr>
      <w:r w:rsidRPr="00A268B2">
        <w:rPr>
          <w:noProof/>
          <w:lang w:eastAsia="en-GB"/>
        </w:rPr>
        <w:drawing>
          <wp:inline distT="0" distB="0" distL="0" distR="0" wp14:anchorId="677E3F2A" wp14:editId="714A1A3A">
            <wp:extent cx="3017520" cy="22631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Pr="00A268B2">
        <w:rPr>
          <w:noProof/>
          <w:lang w:eastAsia="en-GB"/>
        </w:rPr>
        <w:drawing>
          <wp:inline distT="0" distB="0" distL="0" distR="0" wp14:anchorId="42DD1975" wp14:editId="3726770B">
            <wp:extent cx="3017520" cy="22631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789460F8" w14:textId="61AC1C8E" w:rsidR="00FB5256" w:rsidRPr="006D11BD" w:rsidRDefault="00FB5256" w:rsidP="00FB5256">
      <w:pPr>
        <w:pStyle w:val="Caption"/>
        <w:jc w:val="both"/>
        <w:rPr>
          <w:rFonts w:asciiTheme="majorBidi" w:hAnsiTheme="majorBidi" w:cstheme="majorBidi"/>
          <w:b/>
          <w:i w:val="0"/>
          <w:iCs w:val="0"/>
          <w:color w:val="auto"/>
          <w:sz w:val="20"/>
          <w:szCs w:val="20"/>
          <w:lang w:eastAsia="en-GB"/>
        </w:rPr>
      </w:pPr>
      <w:bookmarkStart w:id="10" w:name="_Ref53495713"/>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b/>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b/>
          <w:i w:val="0"/>
          <w:iCs w:val="0"/>
          <w:color w:val="auto"/>
          <w:sz w:val="20"/>
          <w:szCs w:val="20"/>
        </w:rPr>
        <w:fldChar w:fldCharType="separate"/>
      </w:r>
      <w:r w:rsidR="001F388A">
        <w:rPr>
          <w:rFonts w:asciiTheme="majorBidi" w:hAnsiTheme="majorBidi" w:cstheme="majorBidi"/>
          <w:i w:val="0"/>
          <w:iCs w:val="0"/>
          <w:noProof/>
          <w:color w:val="auto"/>
          <w:sz w:val="20"/>
          <w:szCs w:val="20"/>
        </w:rPr>
        <w:t>7</w:t>
      </w:r>
      <w:r w:rsidRPr="006D11BD">
        <w:rPr>
          <w:rFonts w:asciiTheme="majorBidi" w:hAnsiTheme="majorBidi" w:cstheme="majorBidi"/>
          <w:b/>
          <w:i w:val="0"/>
          <w:iCs w:val="0"/>
          <w:color w:val="auto"/>
          <w:sz w:val="20"/>
          <w:szCs w:val="20"/>
        </w:rPr>
        <w:fldChar w:fldCharType="end"/>
      </w:r>
      <w:bookmarkEnd w:id="10"/>
      <w:r w:rsidRPr="006D11BD">
        <w:rPr>
          <w:rFonts w:asciiTheme="majorBidi" w:hAnsiTheme="majorBidi" w:cstheme="majorBidi"/>
          <w:i w:val="0"/>
          <w:iCs w:val="0"/>
          <w:color w:val="auto"/>
          <w:sz w:val="20"/>
          <w:szCs w:val="20"/>
        </w:rPr>
        <w:t>: BLER for TDL-A channel with 10 ns (left) and 40 ns (right) delay spread. ICI compensation is used assuming the PN model set 2. The dotted/solid curves correspond to MCS 16/22, respectively.</w:t>
      </w:r>
    </w:p>
    <w:p w14:paraId="6F591396" w14:textId="77777777" w:rsidR="00FB5256" w:rsidRPr="00A268B2" w:rsidRDefault="00FB5256" w:rsidP="00FB5256">
      <w:pPr>
        <w:rPr>
          <w:lang w:eastAsia="en-GB"/>
        </w:rPr>
      </w:pPr>
      <w:r w:rsidRPr="00A268B2">
        <w:rPr>
          <w:noProof/>
          <w:lang w:eastAsia="en-GB"/>
        </w:rPr>
        <w:lastRenderedPageBreak/>
        <w:drawing>
          <wp:inline distT="0" distB="0" distL="0" distR="0" wp14:anchorId="59B1BD28" wp14:editId="12B29168">
            <wp:extent cx="3017520" cy="2242410"/>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Pr="00A268B2">
        <w:rPr>
          <w:lang w:eastAsia="en-GB"/>
        </w:rPr>
        <w:t xml:space="preserve"> </w:t>
      </w:r>
      <w:r w:rsidRPr="00A268B2">
        <w:rPr>
          <w:noProof/>
          <w:lang w:eastAsia="en-GB"/>
        </w:rPr>
        <w:drawing>
          <wp:inline distT="0" distB="0" distL="0" distR="0" wp14:anchorId="67810F81" wp14:editId="5D3CC810">
            <wp:extent cx="3017520" cy="2242410"/>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47514752" w14:textId="1C49E526" w:rsidR="00FB5256" w:rsidRPr="006D11BD" w:rsidRDefault="00FB5256" w:rsidP="00FB5256">
      <w:pPr>
        <w:pStyle w:val="Caption"/>
        <w:jc w:val="both"/>
        <w:rPr>
          <w:rFonts w:asciiTheme="majorBidi" w:hAnsiTheme="majorBidi" w:cstheme="majorBidi"/>
          <w:b/>
          <w:i w:val="0"/>
          <w:iCs w:val="0"/>
          <w:color w:val="auto"/>
          <w:sz w:val="20"/>
          <w:szCs w:val="20"/>
          <w:lang w:eastAsia="en-GB"/>
        </w:rPr>
      </w:pPr>
      <w:bookmarkStart w:id="11" w:name="_Ref53495718"/>
      <w:r w:rsidRPr="006D11BD">
        <w:rPr>
          <w:rFonts w:asciiTheme="majorBidi" w:hAnsiTheme="majorBidi" w:cstheme="majorBidi"/>
          <w:i w:val="0"/>
          <w:iCs w:val="0"/>
          <w:color w:val="auto"/>
          <w:sz w:val="20"/>
          <w:szCs w:val="20"/>
        </w:rPr>
        <w:t xml:space="preserve">Figure </w:t>
      </w:r>
      <w:r w:rsidRPr="006D11BD">
        <w:rPr>
          <w:rFonts w:asciiTheme="majorBidi" w:hAnsiTheme="majorBidi" w:cstheme="majorBidi"/>
          <w:b/>
          <w:i w:val="0"/>
          <w:iCs w:val="0"/>
          <w:color w:val="auto"/>
          <w:sz w:val="20"/>
          <w:szCs w:val="20"/>
        </w:rPr>
        <w:fldChar w:fldCharType="begin"/>
      </w:r>
      <w:r w:rsidRPr="006D11BD">
        <w:rPr>
          <w:rFonts w:asciiTheme="majorBidi" w:hAnsiTheme="majorBidi" w:cstheme="majorBidi"/>
          <w:i w:val="0"/>
          <w:iCs w:val="0"/>
          <w:color w:val="auto"/>
          <w:sz w:val="20"/>
          <w:szCs w:val="20"/>
        </w:rPr>
        <w:instrText xml:space="preserve"> SEQ Figure \* ARABIC </w:instrText>
      </w:r>
      <w:r w:rsidRPr="006D11BD">
        <w:rPr>
          <w:rFonts w:asciiTheme="majorBidi" w:hAnsiTheme="majorBidi" w:cstheme="majorBidi"/>
          <w:b/>
          <w:i w:val="0"/>
          <w:iCs w:val="0"/>
          <w:color w:val="auto"/>
          <w:sz w:val="20"/>
          <w:szCs w:val="20"/>
        </w:rPr>
        <w:fldChar w:fldCharType="separate"/>
      </w:r>
      <w:r w:rsidR="001F388A">
        <w:rPr>
          <w:rFonts w:asciiTheme="majorBidi" w:hAnsiTheme="majorBidi" w:cstheme="majorBidi"/>
          <w:i w:val="0"/>
          <w:iCs w:val="0"/>
          <w:noProof/>
          <w:color w:val="auto"/>
          <w:sz w:val="20"/>
          <w:szCs w:val="20"/>
        </w:rPr>
        <w:t>8</w:t>
      </w:r>
      <w:r w:rsidRPr="006D11BD">
        <w:rPr>
          <w:rFonts w:asciiTheme="majorBidi" w:hAnsiTheme="majorBidi" w:cstheme="majorBidi"/>
          <w:b/>
          <w:i w:val="0"/>
          <w:iCs w:val="0"/>
          <w:color w:val="auto"/>
          <w:sz w:val="20"/>
          <w:szCs w:val="20"/>
        </w:rPr>
        <w:fldChar w:fldCharType="end"/>
      </w:r>
      <w:bookmarkEnd w:id="11"/>
      <w:r w:rsidRPr="006D11BD">
        <w:rPr>
          <w:rFonts w:asciiTheme="majorBidi" w:hAnsiTheme="majorBidi" w:cstheme="majorBidi"/>
          <w:i w:val="0"/>
          <w:iCs w:val="0"/>
          <w:color w:val="auto"/>
          <w:sz w:val="20"/>
          <w:szCs w:val="20"/>
        </w:rPr>
        <w:t>: BLER for TDL-A channel with 10 ns (left) and 40 ns (right) delay spread. ICI compensation is used assuming the PN model set 3. The dotted/solid curves correspond to MCS 16/22, respectively.</w:t>
      </w:r>
    </w:p>
    <w:p w14:paraId="1429E8F0" w14:textId="77777777" w:rsidR="00FB5256" w:rsidRPr="00CA658E" w:rsidRDefault="00FB5256" w:rsidP="00FB5256">
      <w:pPr>
        <w:rPr>
          <w:lang w:eastAsia="en-GB"/>
        </w:rPr>
      </w:pPr>
    </w:p>
    <w:p w14:paraId="450515E1" w14:textId="5AA02581" w:rsidR="00E665A6" w:rsidRDefault="00A56A92" w:rsidP="00E665A6">
      <w:pPr>
        <w:pStyle w:val="BodyText"/>
      </w:pPr>
      <w:r>
        <w:t xml:space="preserve">In </w:t>
      </w:r>
      <w:r w:rsidR="00A52E33">
        <w:fldChar w:fldCharType="begin"/>
      </w:r>
      <w:r w:rsidR="00A52E33">
        <w:instrText xml:space="preserve"> REF _Ref53086176 \h  \* MERGEFORMAT </w:instrText>
      </w:r>
      <w:r w:rsidR="00A52E33">
        <w:fldChar w:fldCharType="separate"/>
      </w:r>
      <w:r w:rsidR="001F388A" w:rsidRPr="001F388A">
        <w:t>Figure 9</w:t>
      </w:r>
      <w:r w:rsidR="00A52E33">
        <w:fldChar w:fldCharType="end"/>
      </w:r>
      <w:r w:rsidR="00A52E33">
        <w:t xml:space="preserve">, </w:t>
      </w:r>
      <w:r w:rsidR="00E665A6" w:rsidRPr="00D55D0C">
        <w:t xml:space="preserve">the </w:t>
      </w:r>
      <w:r w:rsidR="00E665A6">
        <w:t>link performance results compare</w:t>
      </w:r>
      <w:r>
        <w:t xml:space="preserve"> </w:t>
      </w:r>
      <w:r w:rsidR="00A52E33">
        <w:t xml:space="preserve">numerology impact of CPE/ICI compensation using release 15 PT-RS with </w:t>
      </w:r>
      <w:r>
        <w:t>the following</w:t>
      </w:r>
      <w:r w:rsidR="00E665A6" w:rsidRPr="002D7354">
        <w:t>, the</w:t>
      </w:r>
      <w:r w:rsidR="00E665A6">
        <w:t xml:space="preserve"> MCS22 link performance of the following bandwidths:</w:t>
      </w:r>
    </w:p>
    <w:p w14:paraId="6F2535A6" w14:textId="77777777" w:rsidR="00E665A6" w:rsidRPr="00D55D0C" w:rsidRDefault="00E665A6" w:rsidP="00E665A6">
      <w:pPr>
        <w:pStyle w:val="BodyText"/>
        <w:numPr>
          <w:ilvl w:val="0"/>
          <w:numId w:val="24"/>
        </w:numPr>
        <w:overflowPunct w:val="0"/>
        <w:autoSpaceDE w:val="0"/>
        <w:autoSpaceDN w:val="0"/>
        <w:adjustRightInd w:val="0"/>
        <w:spacing w:after="0"/>
        <w:jc w:val="both"/>
        <w:textAlignment w:val="baseline"/>
      </w:pPr>
      <w:r>
        <w:t>400</w:t>
      </w:r>
      <w:r w:rsidRPr="00D55D0C">
        <w:t xml:space="preserve"> </w:t>
      </w:r>
      <w:r>
        <w:t>M</w:t>
      </w:r>
      <w:r w:rsidRPr="00D55D0C">
        <w:t>Hz</w:t>
      </w:r>
    </w:p>
    <w:p w14:paraId="01880424" w14:textId="77777777" w:rsidR="00E665A6" w:rsidRPr="00D55D0C" w:rsidRDefault="00E665A6" w:rsidP="00E665A6">
      <w:pPr>
        <w:pStyle w:val="BodyText"/>
        <w:numPr>
          <w:ilvl w:val="1"/>
          <w:numId w:val="24"/>
        </w:numPr>
        <w:overflowPunct w:val="0"/>
        <w:autoSpaceDE w:val="0"/>
        <w:autoSpaceDN w:val="0"/>
        <w:adjustRightInd w:val="0"/>
        <w:spacing w:after="0"/>
        <w:jc w:val="both"/>
        <w:textAlignment w:val="baseline"/>
      </w:pPr>
      <w:r>
        <w:t>64</w:t>
      </w:r>
      <w:r w:rsidRPr="00D55D0C">
        <w:t xml:space="preserve"> RBs @ 480 kHz SCS</w:t>
      </w:r>
    </w:p>
    <w:p w14:paraId="5A137CAB" w14:textId="77777777" w:rsidR="00E665A6" w:rsidRDefault="00E665A6" w:rsidP="00E665A6">
      <w:pPr>
        <w:pStyle w:val="BodyText"/>
        <w:numPr>
          <w:ilvl w:val="1"/>
          <w:numId w:val="24"/>
        </w:numPr>
        <w:overflowPunct w:val="0"/>
        <w:autoSpaceDE w:val="0"/>
        <w:autoSpaceDN w:val="0"/>
        <w:adjustRightInd w:val="0"/>
        <w:jc w:val="both"/>
        <w:textAlignment w:val="baseline"/>
      </w:pPr>
      <w:r>
        <w:t>32</w:t>
      </w:r>
      <w:r w:rsidRPr="00D55D0C">
        <w:t xml:space="preserve"> RBs @ 960 kHz SCS</w:t>
      </w:r>
    </w:p>
    <w:p w14:paraId="38A290AD" w14:textId="77777777" w:rsidR="00E665A6" w:rsidRPr="00D55D0C" w:rsidRDefault="00E665A6" w:rsidP="00E665A6">
      <w:pPr>
        <w:pStyle w:val="BodyText"/>
        <w:numPr>
          <w:ilvl w:val="0"/>
          <w:numId w:val="24"/>
        </w:numPr>
        <w:overflowPunct w:val="0"/>
        <w:autoSpaceDE w:val="0"/>
        <w:autoSpaceDN w:val="0"/>
        <w:adjustRightInd w:val="0"/>
        <w:spacing w:after="0"/>
        <w:jc w:val="both"/>
        <w:textAlignment w:val="baseline"/>
      </w:pPr>
      <w:r>
        <w:t>1.6</w:t>
      </w:r>
      <w:r w:rsidRPr="00D55D0C">
        <w:t xml:space="preserve"> </w:t>
      </w:r>
      <w:r>
        <w:t>G</w:t>
      </w:r>
      <w:r w:rsidRPr="00D55D0C">
        <w:t>Hz</w:t>
      </w:r>
    </w:p>
    <w:p w14:paraId="4F951902" w14:textId="77777777" w:rsidR="00E665A6" w:rsidRPr="00D55D0C" w:rsidRDefault="00E665A6" w:rsidP="00E665A6">
      <w:pPr>
        <w:pStyle w:val="BodyText"/>
        <w:numPr>
          <w:ilvl w:val="1"/>
          <w:numId w:val="24"/>
        </w:numPr>
        <w:overflowPunct w:val="0"/>
        <w:autoSpaceDE w:val="0"/>
        <w:autoSpaceDN w:val="0"/>
        <w:adjustRightInd w:val="0"/>
        <w:spacing w:after="0"/>
        <w:jc w:val="both"/>
        <w:textAlignment w:val="baseline"/>
      </w:pPr>
      <w:r>
        <w:t>256</w:t>
      </w:r>
      <w:r w:rsidRPr="00D55D0C">
        <w:t xml:space="preserve"> RBs @ 480 kHz SCS</w:t>
      </w:r>
    </w:p>
    <w:p w14:paraId="25ED4B9A" w14:textId="77777777" w:rsidR="00E665A6" w:rsidRDefault="00E665A6" w:rsidP="00E665A6">
      <w:pPr>
        <w:pStyle w:val="BodyText"/>
        <w:numPr>
          <w:ilvl w:val="1"/>
          <w:numId w:val="24"/>
        </w:numPr>
        <w:overflowPunct w:val="0"/>
        <w:autoSpaceDE w:val="0"/>
        <w:autoSpaceDN w:val="0"/>
        <w:adjustRightInd w:val="0"/>
        <w:jc w:val="both"/>
        <w:textAlignment w:val="baseline"/>
      </w:pPr>
      <w:r>
        <w:t>128</w:t>
      </w:r>
      <w:r w:rsidRPr="00D55D0C">
        <w:t xml:space="preserve"> RBs @ 960 kHz SCS</w:t>
      </w:r>
    </w:p>
    <w:p w14:paraId="371DE353" w14:textId="77777777" w:rsidR="00E665A6" w:rsidRPr="00D55D0C" w:rsidRDefault="00E665A6" w:rsidP="00E665A6">
      <w:pPr>
        <w:pStyle w:val="BodyText"/>
      </w:pPr>
    </w:p>
    <w:p w14:paraId="10A6B8D4" w14:textId="77777777" w:rsidR="00E665A6" w:rsidRDefault="00E665A6" w:rsidP="00E665A6">
      <w:pPr>
        <w:pStyle w:val="BodyText"/>
        <w:keepNext/>
      </w:pPr>
      <w:r>
        <w:rPr>
          <w:noProof/>
        </w:rPr>
        <w:drawing>
          <wp:inline distT="0" distB="0" distL="0" distR="0" wp14:anchorId="3322C976" wp14:editId="5897932D">
            <wp:extent cx="3017520" cy="2239363"/>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39363"/>
                    </a:xfrm>
                    <a:prstGeom prst="rect">
                      <a:avLst/>
                    </a:prstGeom>
                    <a:noFill/>
                    <a:ln>
                      <a:noFill/>
                    </a:ln>
                  </pic:spPr>
                </pic:pic>
              </a:graphicData>
            </a:graphic>
          </wp:inline>
        </w:drawing>
      </w:r>
      <w:r>
        <w:rPr>
          <w:noProof/>
        </w:rPr>
        <w:drawing>
          <wp:inline distT="0" distB="0" distL="0" distR="0" wp14:anchorId="49F600FC" wp14:editId="7D90A301">
            <wp:extent cx="3017520" cy="22631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670D500A" w14:textId="2A331D38" w:rsidR="00E665A6" w:rsidRDefault="00E665A6" w:rsidP="00E665A6">
      <w:pPr>
        <w:pStyle w:val="Caption"/>
        <w:jc w:val="both"/>
        <w:rPr>
          <w:rFonts w:asciiTheme="majorBidi" w:hAnsiTheme="majorBidi" w:cstheme="majorBidi"/>
          <w:i w:val="0"/>
          <w:color w:val="auto"/>
          <w:sz w:val="20"/>
          <w:szCs w:val="20"/>
          <w:lang w:eastAsia="en-GB"/>
        </w:rPr>
      </w:pPr>
      <w:bookmarkStart w:id="12" w:name="_Ref53086176"/>
      <w:r w:rsidRPr="00983E36">
        <w:rPr>
          <w:rFonts w:asciiTheme="majorBidi" w:hAnsiTheme="majorBidi" w:cstheme="majorBidi"/>
          <w:i w:val="0"/>
          <w:color w:val="auto"/>
          <w:sz w:val="20"/>
          <w:szCs w:val="20"/>
          <w:lang w:eastAsia="en-GB"/>
        </w:rPr>
        <w:t xml:space="preserve">Figure </w:t>
      </w:r>
      <w:r w:rsidRPr="00983E36">
        <w:rPr>
          <w:rFonts w:asciiTheme="majorBidi" w:hAnsiTheme="majorBidi" w:cstheme="majorBidi"/>
          <w:i w:val="0"/>
          <w:color w:val="auto"/>
          <w:sz w:val="20"/>
          <w:szCs w:val="20"/>
          <w:lang w:eastAsia="en-GB"/>
        </w:rPr>
        <w:fldChar w:fldCharType="begin"/>
      </w:r>
      <w:r w:rsidRPr="001F388A">
        <w:rPr>
          <w:rFonts w:asciiTheme="majorBidi" w:hAnsiTheme="majorBidi" w:cstheme="majorBidi"/>
          <w:i w:val="0"/>
          <w:iCs w:val="0"/>
          <w:color w:val="auto"/>
          <w:sz w:val="20"/>
          <w:szCs w:val="20"/>
          <w:lang w:eastAsia="en-GB"/>
        </w:rPr>
        <w:instrText xml:space="preserve"> SEQ Figure \* ARABIC </w:instrText>
      </w:r>
      <w:r w:rsidRPr="00983E36">
        <w:rPr>
          <w:rFonts w:asciiTheme="majorBidi" w:hAnsiTheme="majorBidi" w:cstheme="majorBidi"/>
          <w:i w:val="0"/>
          <w:color w:val="auto"/>
          <w:sz w:val="20"/>
          <w:szCs w:val="20"/>
          <w:lang w:eastAsia="en-GB"/>
        </w:rPr>
        <w:fldChar w:fldCharType="separate"/>
      </w:r>
      <w:r w:rsidR="001F388A">
        <w:rPr>
          <w:rFonts w:asciiTheme="majorBidi" w:hAnsiTheme="majorBidi" w:cstheme="majorBidi"/>
          <w:i w:val="0"/>
          <w:iCs w:val="0"/>
          <w:noProof/>
          <w:color w:val="auto"/>
          <w:sz w:val="20"/>
          <w:szCs w:val="20"/>
          <w:lang w:eastAsia="en-GB"/>
        </w:rPr>
        <w:t>9</w:t>
      </w:r>
      <w:r w:rsidRPr="00983E36">
        <w:rPr>
          <w:rFonts w:asciiTheme="majorBidi" w:hAnsiTheme="majorBidi" w:cstheme="majorBidi"/>
          <w:i w:val="0"/>
          <w:color w:val="auto"/>
          <w:sz w:val="20"/>
          <w:szCs w:val="20"/>
          <w:lang w:eastAsia="en-GB"/>
        </w:rPr>
        <w:fldChar w:fldCharType="end"/>
      </w:r>
      <w:bookmarkEnd w:id="12"/>
      <w:r w:rsidRPr="00983E36">
        <w:rPr>
          <w:rFonts w:asciiTheme="majorBidi" w:hAnsiTheme="majorBidi" w:cstheme="majorBidi"/>
          <w:i w:val="0"/>
          <w:color w:val="auto"/>
          <w:sz w:val="20"/>
          <w:szCs w:val="20"/>
          <w:lang w:eastAsia="en-GB"/>
        </w:rPr>
        <w:t>:  BLER for 480 kHz  and 960 SCSs in TDL-A 10 ns channel with Rel-15 PT-RS structure for 400 MHz (left) and 1.6 GHz (right) bandwidth</w:t>
      </w:r>
      <w:r w:rsidRPr="00983E36">
        <w:rPr>
          <w:rFonts w:asciiTheme="majorBidi" w:hAnsiTheme="majorBidi" w:cstheme="majorBidi"/>
          <w:i w:val="0"/>
          <w:color w:val="auto"/>
          <w:sz w:val="20"/>
          <w:szCs w:val="20"/>
        </w:rPr>
        <w:t xml:space="preserve"> for the PN model set 1</w:t>
      </w:r>
      <w:r w:rsidRPr="00983E36">
        <w:rPr>
          <w:rFonts w:asciiTheme="majorBidi" w:hAnsiTheme="majorBidi" w:cstheme="majorBidi"/>
          <w:i w:val="0"/>
          <w:color w:val="auto"/>
          <w:sz w:val="20"/>
          <w:szCs w:val="20"/>
          <w:lang w:eastAsia="en-GB"/>
        </w:rPr>
        <w:t>.</w:t>
      </w:r>
    </w:p>
    <w:p w14:paraId="4CFC3FEB" w14:textId="3B7AD5D7" w:rsidR="00A52E33" w:rsidRDefault="00A52E33" w:rsidP="00A52E33">
      <w:pPr>
        <w:pStyle w:val="BodyText"/>
      </w:pPr>
      <w:bookmarkStart w:id="13" w:name="_Toc52892736"/>
      <w:bookmarkStart w:id="14" w:name="_Toc52893733"/>
      <w:bookmarkStart w:id="15" w:name="_Toc52893878"/>
      <w:bookmarkStart w:id="16" w:name="_Toc52893984"/>
      <w:bookmarkStart w:id="17" w:name="_Toc52894020"/>
      <w:bookmarkStart w:id="18" w:name="_Toc52894070"/>
      <w:bookmarkStart w:id="19" w:name="_Toc53082964"/>
      <w:bookmarkStart w:id="20" w:name="_Toc53085968"/>
      <w:bookmarkStart w:id="21" w:name="_Toc53086141"/>
      <w:bookmarkStart w:id="22" w:name="_Toc53082965"/>
      <w:bookmarkStart w:id="23" w:name="_Toc53085969"/>
      <w:bookmarkStart w:id="24" w:name="_Toc53086142"/>
      <w:bookmarkStart w:id="25" w:name="_Toc53086143"/>
      <w:bookmarkEnd w:id="13"/>
      <w:bookmarkEnd w:id="14"/>
      <w:bookmarkEnd w:id="15"/>
      <w:bookmarkEnd w:id="16"/>
      <w:bookmarkEnd w:id="17"/>
      <w:bookmarkEnd w:id="18"/>
      <w:bookmarkEnd w:id="19"/>
      <w:bookmarkEnd w:id="20"/>
      <w:bookmarkEnd w:id="21"/>
      <w:bookmarkEnd w:id="22"/>
      <w:bookmarkEnd w:id="23"/>
      <w:bookmarkEnd w:id="24"/>
      <w:bookmarkEnd w:id="25"/>
      <w:r>
        <w:t xml:space="preserve">From </w:t>
      </w:r>
      <w:r>
        <w:fldChar w:fldCharType="begin"/>
      </w:r>
      <w:r>
        <w:instrText xml:space="preserve"> REF _Ref53086176 \h  \* MERGEFORMAT </w:instrText>
      </w:r>
      <w:r>
        <w:fldChar w:fldCharType="separate"/>
      </w:r>
      <w:r w:rsidR="001F388A" w:rsidRPr="001F388A">
        <w:t>Figure 9</w:t>
      </w:r>
      <w:r>
        <w:fldChar w:fldCharType="end"/>
      </w:r>
      <w:r>
        <w:t>, we can conclude that the performance with SCS of 480 kHz with simple ICI compensation is on par or better than the performance with 960 kHz with CPE compensation only.</w:t>
      </w:r>
    </w:p>
    <w:p w14:paraId="74149D55" w14:textId="77777777" w:rsidR="00A56A92" w:rsidRPr="00D377AD" w:rsidRDefault="00A56A92" w:rsidP="00A56A92">
      <w:pPr>
        <w:pStyle w:val="BodyText"/>
        <w:spacing w:after="0"/>
      </w:pPr>
    </w:p>
    <w:p w14:paraId="55E4AA22" w14:textId="77777777" w:rsidR="00A56A92" w:rsidRPr="00D55D0C" w:rsidRDefault="00A56A92" w:rsidP="005C63AB">
      <w:pPr>
        <w:pStyle w:val="Observation"/>
        <w:ind w:left="1310" w:hanging="1310"/>
      </w:pPr>
      <w:r w:rsidRPr="00D55D0C">
        <w:t>Effective mitigation of ICI caused by phase noise for OFDM can be performed using the existing Rel-15 NR distributed PT-RS structure.</w:t>
      </w:r>
    </w:p>
    <w:p w14:paraId="432D53C3" w14:textId="0CFA229F" w:rsidR="001959A5" w:rsidRDefault="001959A5" w:rsidP="001959A5">
      <w:pPr>
        <w:pStyle w:val="Heading2"/>
      </w:pPr>
      <w:r>
        <w:t>2.4</w:t>
      </w:r>
      <w:r>
        <w:tab/>
        <w:t xml:space="preserve">Performance evaluation on Clustered PTRS </w:t>
      </w:r>
    </w:p>
    <w:p w14:paraId="1490AB5B" w14:textId="3CBB13AB" w:rsidR="00E665A6" w:rsidRPr="000B51B8" w:rsidRDefault="00E665A6" w:rsidP="00E665A6">
      <w:pPr>
        <w:pStyle w:val="BodyText"/>
      </w:pPr>
      <w:r w:rsidRPr="000B51B8">
        <w:t>In the following</w:t>
      </w:r>
      <w:r w:rsidR="006505D5">
        <w:t xml:space="preserve"> section</w:t>
      </w:r>
      <w:r w:rsidRPr="000B51B8">
        <w:t>, we evaluate the following different ICI compensation approaches:</w:t>
      </w:r>
    </w:p>
    <w:p w14:paraId="0D0A8739" w14:textId="691FDE07" w:rsidR="00E665A6" w:rsidRPr="000B51B8" w:rsidRDefault="00E665A6" w:rsidP="00E665A6">
      <w:pPr>
        <w:pStyle w:val="BodyText"/>
        <w:numPr>
          <w:ilvl w:val="0"/>
          <w:numId w:val="28"/>
        </w:numPr>
        <w:overflowPunct w:val="0"/>
        <w:autoSpaceDE w:val="0"/>
        <w:autoSpaceDN w:val="0"/>
        <w:adjustRightInd w:val="0"/>
        <w:jc w:val="both"/>
        <w:textAlignment w:val="baseline"/>
      </w:pPr>
      <w:r w:rsidRPr="000B51B8">
        <w:lastRenderedPageBreak/>
        <w:t xml:space="preserve">Approach 1: Direct de-ICI compensation approach presented in </w:t>
      </w:r>
      <w:r w:rsidR="00BA7C2D">
        <w:t>Annex</w:t>
      </w:r>
      <w:r w:rsidR="00BA7C2D" w:rsidRPr="000B51B8">
        <w:t xml:space="preserve"> </w:t>
      </w:r>
      <w:r w:rsidR="000D7BF8">
        <w:t>5</w:t>
      </w:r>
      <w:r w:rsidRPr="000B51B8">
        <w:t>.</w:t>
      </w:r>
      <w:r w:rsidR="000D7BF8">
        <w:t>1</w:t>
      </w:r>
      <w:r w:rsidRPr="000B51B8">
        <w:t>.</w:t>
      </w:r>
      <w:r w:rsidR="00371BE2">
        <w:t>1</w:t>
      </w:r>
      <w:r w:rsidRPr="000B51B8">
        <w:t xml:space="preserve"> </w:t>
      </w:r>
    </w:p>
    <w:p w14:paraId="67F23BEB" w14:textId="77777777" w:rsidR="00E665A6" w:rsidRPr="000B51B8" w:rsidRDefault="00E665A6" w:rsidP="00E665A6">
      <w:pPr>
        <w:pStyle w:val="BodyText"/>
        <w:numPr>
          <w:ilvl w:val="1"/>
          <w:numId w:val="28"/>
        </w:numPr>
        <w:overflowPunct w:val="0"/>
        <w:autoSpaceDE w:val="0"/>
        <w:autoSpaceDN w:val="0"/>
        <w:adjustRightInd w:val="0"/>
        <w:jc w:val="both"/>
        <w:textAlignment w:val="baseline"/>
      </w:pPr>
      <w:r w:rsidRPr="000B51B8">
        <w:t>Option 0: Rel-15 PT-RS with K=2 and L=1</w:t>
      </w:r>
    </w:p>
    <w:p w14:paraId="52F198A3" w14:textId="688F0062" w:rsidR="00E665A6" w:rsidRPr="000B51B8" w:rsidRDefault="00E665A6" w:rsidP="00E665A6">
      <w:pPr>
        <w:pStyle w:val="BodyText"/>
        <w:numPr>
          <w:ilvl w:val="1"/>
          <w:numId w:val="28"/>
        </w:numPr>
        <w:overflowPunct w:val="0"/>
        <w:autoSpaceDE w:val="0"/>
        <w:autoSpaceDN w:val="0"/>
        <w:adjustRightInd w:val="0"/>
        <w:jc w:val="both"/>
        <w:textAlignment w:val="baseline"/>
      </w:pPr>
      <w:r w:rsidRPr="000B51B8">
        <w:t xml:space="preserve">Option 1: </w:t>
      </w:r>
      <w:r w:rsidR="006505D5">
        <w:t>Single</w:t>
      </w:r>
      <w:r w:rsidRPr="000B51B8">
        <w:t xml:space="preserve"> cluster with same number of PT-RS subcarriers as Rel-15 setup (K=2).</w:t>
      </w:r>
    </w:p>
    <w:p w14:paraId="19797F22" w14:textId="77777777" w:rsidR="00E665A6" w:rsidRPr="000B51B8" w:rsidRDefault="00E665A6" w:rsidP="00E665A6">
      <w:pPr>
        <w:pStyle w:val="BodyText"/>
        <w:numPr>
          <w:ilvl w:val="1"/>
          <w:numId w:val="28"/>
        </w:numPr>
        <w:overflowPunct w:val="0"/>
        <w:autoSpaceDE w:val="0"/>
        <w:autoSpaceDN w:val="0"/>
        <w:adjustRightInd w:val="0"/>
        <w:jc w:val="both"/>
        <w:textAlignment w:val="baseline"/>
      </w:pPr>
      <w:r w:rsidRPr="000B51B8">
        <w:t xml:space="preserve">Option 2: Multiple clusters of 5 PT-RS subcarriers with approximately the same total number of PT-RS subcarriers as Rel-15 setup (K=2). That is, the number of clusters is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Pr>
              <m:t>/5K</m:t>
            </m:r>
          </m:e>
        </m:d>
      </m:oMath>
      <w:r w:rsidRPr="000B51B8">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oMath>
      <w:r w:rsidRPr="000B51B8">
        <w:t xml:space="preserve"> is the number of allocated RBs.</w:t>
      </w:r>
    </w:p>
    <w:p w14:paraId="650EEDA0" w14:textId="6A6ADB3F" w:rsidR="00E665A6" w:rsidRPr="00D55D0C" w:rsidRDefault="00E665A6" w:rsidP="00E665A6">
      <w:pPr>
        <w:pStyle w:val="BodyText"/>
        <w:numPr>
          <w:ilvl w:val="0"/>
          <w:numId w:val="28"/>
        </w:numPr>
        <w:overflowPunct w:val="0"/>
        <w:autoSpaceDE w:val="0"/>
        <w:autoSpaceDN w:val="0"/>
        <w:adjustRightInd w:val="0"/>
        <w:jc w:val="both"/>
        <w:textAlignment w:val="baseline"/>
      </w:pPr>
      <w:r w:rsidRPr="000B51B8">
        <w:t xml:space="preserve">Approach 2: ICI filter approximation approach presented in </w:t>
      </w:r>
      <w:r w:rsidR="0067467C">
        <w:t>Annex</w:t>
      </w:r>
      <w:r w:rsidR="0067467C" w:rsidRPr="000B51B8">
        <w:t xml:space="preserve"> </w:t>
      </w:r>
      <w:r w:rsidR="00371BE2">
        <w:t>5</w:t>
      </w:r>
      <w:r w:rsidR="00371BE2" w:rsidRPr="000B51B8">
        <w:t>.</w:t>
      </w:r>
      <w:r w:rsidR="00371BE2">
        <w:t>1</w:t>
      </w:r>
      <w:r w:rsidR="00371BE2" w:rsidRPr="000B51B8">
        <w:t>.</w:t>
      </w:r>
      <w:r w:rsidR="00371BE2">
        <w:t>2</w:t>
      </w:r>
      <w:r w:rsidR="00371BE2" w:rsidRPr="000B51B8">
        <w:t xml:space="preserve"> </w:t>
      </w:r>
    </w:p>
    <w:p w14:paraId="08BF0EC3" w14:textId="19FBC2BF" w:rsidR="00E665A6" w:rsidRPr="00D55D0C" w:rsidRDefault="00E665A6" w:rsidP="00E665A6">
      <w:pPr>
        <w:pStyle w:val="BodyText"/>
        <w:numPr>
          <w:ilvl w:val="1"/>
          <w:numId w:val="24"/>
        </w:numPr>
        <w:overflowPunct w:val="0"/>
        <w:autoSpaceDE w:val="0"/>
        <w:autoSpaceDN w:val="0"/>
        <w:adjustRightInd w:val="0"/>
        <w:jc w:val="both"/>
        <w:textAlignment w:val="baseline"/>
      </w:pPr>
      <w:r w:rsidRPr="00D55D0C">
        <w:t xml:space="preserve">Option 1: </w:t>
      </w:r>
      <w:r w:rsidR="006505D5">
        <w:t>Single</w:t>
      </w:r>
      <w:r w:rsidRPr="00D55D0C">
        <w:t xml:space="preserve"> cluster with same number of PT-RS subcarriers as Rel-15 setup (K=2).</w:t>
      </w:r>
    </w:p>
    <w:p w14:paraId="24A5F714" w14:textId="77777777" w:rsidR="00E665A6" w:rsidRPr="00D55D0C" w:rsidRDefault="00E665A6" w:rsidP="00E665A6">
      <w:pPr>
        <w:pStyle w:val="BodyText"/>
        <w:numPr>
          <w:ilvl w:val="1"/>
          <w:numId w:val="24"/>
        </w:numPr>
        <w:overflowPunct w:val="0"/>
        <w:autoSpaceDE w:val="0"/>
        <w:autoSpaceDN w:val="0"/>
        <w:adjustRightInd w:val="0"/>
        <w:jc w:val="both"/>
        <w:textAlignment w:val="baseline"/>
      </w:pPr>
      <w:r w:rsidRPr="00D55D0C">
        <w:t xml:space="preserve">Option 2: Multiple clusters of 5 PT-RS subcarriers with approximately the same total number of PT-RS subcarriers as Rel-15 setup (K=2). That is, the number of clusters is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Pr>
              <m:t>/5K</m:t>
            </m:r>
          </m:e>
        </m:d>
      </m:oMath>
      <w:r w:rsidRPr="00D55D0C">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oMath>
      <w:r w:rsidRPr="00D55D0C">
        <w:t xml:space="preserve"> is the number of allocated RBs.</w:t>
      </w:r>
    </w:p>
    <w:p w14:paraId="0E048280" w14:textId="4D427AE4" w:rsidR="00E665A6" w:rsidRDefault="00E665A6" w:rsidP="00E665A6">
      <w:pPr>
        <w:pStyle w:val="BodyText"/>
      </w:pPr>
      <w:r>
        <w:t>We emphasize that the PT-RS overhead is the same for both Options 1 and 2, which in turn is the same as the Rel-15 PT</w:t>
      </w:r>
      <w:r w:rsidR="00142F8A">
        <w:t>-</w:t>
      </w:r>
      <w:r>
        <w:t xml:space="preserve">RS overhead. </w:t>
      </w:r>
      <w:r w:rsidRPr="009A32DC">
        <w:t>For both ICI compensation approaches, 3-tap filters (</w:t>
      </w:r>
      <w:r w:rsidR="00854F60">
        <w:t>u</w:t>
      </w:r>
      <w:r w:rsidRPr="009A32DC">
        <w:t>=1) are estimated and used for compensation.</w:t>
      </w:r>
    </w:p>
    <w:p w14:paraId="5E0F1FDF" w14:textId="2062EB3F" w:rsidR="00E665A6" w:rsidRDefault="00E665A6" w:rsidP="00E665A6">
      <w:pPr>
        <w:pStyle w:val="BodyText"/>
      </w:pPr>
      <w:r w:rsidRPr="00D55D0C">
        <w:t xml:space="preserve">The BLER performance </w:t>
      </w:r>
      <w:r w:rsidRPr="007C4522">
        <w:t xml:space="preserve">between Option 0 and </w:t>
      </w:r>
      <w:r w:rsidRPr="00D55D0C">
        <w:t xml:space="preserve">Option 1 is provided in </w:t>
      </w:r>
      <w:r w:rsidRPr="00D55D0C">
        <w:fldChar w:fldCharType="begin"/>
      </w:r>
      <w:r w:rsidRPr="00D55D0C">
        <w:instrText xml:space="preserve"> REF _Ref47559341 \h  \* MERGEFORMAT </w:instrText>
      </w:r>
      <w:r w:rsidRPr="00D55D0C">
        <w:fldChar w:fldCharType="separate"/>
      </w:r>
      <w:r w:rsidR="00A3452A" w:rsidRPr="00A3452A">
        <w:t>Figure 10</w:t>
      </w:r>
      <w:r w:rsidRPr="00D55D0C">
        <w:fldChar w:fldCharType="end"/>
      </w:r>
      <w:r w:rsidRPr="00D55D0C">
        <w:t xml:space="preserve">. We can observe that the existing Rel-15 NR distributed PT-RS structure outperforms the single clustered PT-RS structure. This is mainly because the Rel-15 PT-RS structure is robust against frequency selective channels, as the reference signal is distributed over the entire scheduled BW. With the introduction of multiple clusters in Option 2, the link performance improves as shown in </w:t>
      </w:r>
      <w:r w:rsidRPr="00D55D0C">
        <w:fldChar w:fldCharType="begin"/>
      </w:r>
      <w:r w:rsidRPr="00D55D0C">
        <w:instrText xml:space="preserve"> REF _Ref47559346 \h  \* MERGEFORMAT </w:instrText>
      </w:r>
      <w:r w:rsidRPr="00D55D0C">
        <w:fldChar w:fldCharType="separate"/>
      </w:r>
      <w:r w:rsidR="001F388A" w:rsidRPr="001F388A">
        <w:t>Figure 11</w:t>
      </w:r>
      <w:r w:rsidRPr="00D55D0C">
        <w:fldChar w:fldCharType="end"/>
      </w:r>
      <w:r w:rsidRPr="00D55D0C">
        <w:t xml:space="preserve"> and matches that of the Rel-15 PT-RS structure when the direct de-ICI filtering received is applied.</w:t>
      </w:r>
      <w:r>
        <w:t xml:space="preserve"> </w:t>
      </w:r>
      <w:r w:rsidRPr="00690CDE">
        <w:t>We can also see that ICI compensation performance for 400 MHz is worse than 1.6 GHz bandwidth since, for a given K (here K=2), the number of PT</w:t>
      </w:r>
      <w:r>
        <w:t>-</w:t>
      </w:r>
      <w:r w:rsidRPr="00690CDE">
        <w:t>RS for 400 MHz is less than that of 1.6 GHz BW, which results in estimation error.</w:t>
      </w:r>
    </w:p>
    <w:p w14:paraId="054690C5" w14:textId="4CE90D42" w:rsidR="00E665A6" w:rsidRDefault="00E665A6" w:rsidP="00E665A6">
      <w:pPr>
        <w:pStyle w:val="BodyText"/>
      </w:pPr>
      <w:r w:rsidRPr="00D55D0C">
        <w:t xml:space="preserve">It can be further observed in </w:t>
      </w:r>
      <w:r w:rsidRPr="00D55D0C">
        <w:fldChar w:fldCharType="begin"/>
      </w:r>
      <w:r w:rsidRPr="00D55D0C">
        <w:instrText xml:space="preserve"> REF _Ref47559341 \h  \* MERGEFORMAT </w:instrText>
      </w:r>
      <w:r w:rsidRPr="00D55D0C">
        <w:fldChar w:fldCharType="separate"/>
      </w:r>
      <w:r w:rsidR="001F388A" w:rsidRPr="001F388A">
        <w:t>Figure 10</w:t>
      </w:r>
      <w:r w:rsidRPr="00D55D0C">
        <w:fldChar w:fldCharType="end"/>
      </w:r>
      <w:r w:rsidRPr="00D55D0C">
        <w:t xml:space="preserve"> and </w:t>
      </w:r>
      <w:r w:rsidRPr="00D55D0C">
        <w:fldChar w:fldCharType="begin"/>
      </w:r>
      <w:r w:rsidRPr="00D55D0C">
        <w:instrText xml:space="preserve"> REF _Ref47559346 \h  \* MERGEFORMAT </w:instrText>
      </w:r>
      <w:r w:rsidRPr="00D55D0C">
        <w:fldChar w:fldCharType="separate"/>
      </w:r>
      <w:r w:rsidR="001F388A" w:rsidRPr="001F388A">
        <w:t>Figure 11</w:t>
      </w:r>
      <w:r w:rsidRPr="00D55D0C">
        <w:fldChar w:fldCharType="end"/>
      </w:r>
      <w:r w:rsidRPr="00D55D0C">
        <w:t xml:space="preserve"> that the direct de-ICI filtering approach on the clustered PT-RS outperform the ICI filter estimation approach. </w:t>
      </w:r>
      <w:r w:rsidR="002A3EB4">
        <w:t>The</w:t>
      </w:r>
      <w:r w:rsidRPr="00D55D0C">
        <w:t xml:space="preserve"> </w:t>
      </w:r>
      <w:r>
        <w:t>two</w:t>
      </w:r>
      <w:r w:rsidRPr="00D55D0C">
        <w:t xml:space="preserve"> main reasons are (1) the ICI filter estimation approach has lower PT-RS efficiency: each cluster of 5 PT-RS is used to construct only 3 least square equations instead of 5; and (</w:t>
      </w:r>
      <w:r>
        <w:t>2</w:t>
      </w:r>
      <w:r w:rsidRPr="00D55D0C">
        <w:t>) the ICI mitigation in the ICI filter estimation approach relies on the assumption that the convolution of the true ICI filter and the conjugate reverse of the estimated ICI filter is approximately a unit impulse signal, which cannot generally be guaranteed in practice.</w:t>
      </w:r>
    </w:p>
    <w:p w14:paraId="3C960AA9" w14:textId="77777777" w:rsidR="00E665A6" w:rsidRPr="00D55D0C" w:rsidRDefault="00E665A6" w:rsidP="00E665A6">
      <w:pPr>
        <w:pStyle w:val="BodyText"/>
      </w:pPr>
      <w:r w:rsidRPr="00645D1A">
        <w:t>Based on the above extensive analysis alternative PT-RS structures and ICI compensation algorithms, we conclude with the following proposal:</w:t>
      </w:r>
    </w:p>
    <w:p w14:paraId="6323CB8F" w14:textId="77777777" w:rsidR="00E665A6" w:rsidRPr="00D55D0C" w:rsidRDefault="00E665A6" w:rsidP="00E665A6">
      <w:pPr>
        <w:pStyle w:val="BodyText"/>
      </w:pPr>
    </w:p>
    <w:p w14:paraId="6F4528CE" w14:textId="77777777" w:rsidR="00E665A6" w:rsidRDefault="00E665A6" w:rsidP="00E665A6">
      <w:pPr>
        <w:pStyle w:val="Proposal"/>
      </w:pPr>
      <w:bookmarkStart w:id="26" w:name="_Toc47624950"/>
      <w:bookmarkStart w:id="27" w:name="_Toc47625720"/>
      <w:bookmarkStart w:id="28" w:name="_Toc47626064"/>
      <w:bookmarkStart w:id="29" w:name="_Toc47630290"/>
      <w:bookmarkStart w:id="30" w:name="_Toc47624951"/>
      <w:bookmarkStart w:id="31" w:name="_Toc47625721"/>
      <w:bookmarkStart w:id="32" w:name="_Toc47626065"/>
      <w:bookmarkStart w:id="33" w:name="_Toc47630291"/>
      <w:bookmarkStart w:id="34" w:name="_Toc47624952"/>
      <w:bookmarkStart w:id="35" w:name="_Toc47625722"/>
      <w:bookmarkStart w:id="36" w:name="_Toc47626066"/>
      <w:bookmarkStart w:id="37" w:name="_Toc47630292"/>
      <w:bookmarkStart w:id="38" w:name="_Toc53086145"/>
      <w:bookmarkEnd w:id="26"/>
      <w:bookmarkEnd w:id="27"/>
      <w:bookmarkEnd w:id="28"/>
      <w:bookmarkEnd w:id="29"/>
      <w:bookmarkEnd w:id="30"/>
      <w:bookmarkEnd w:id="31"/>
      <w:bookmarkEnd w:id="32"/>
      <w:bookmarkEnd w:id="33"/>
      <w:bookmarkEnd w:id="34"/>
      <w:bookmarkEnd w:id="35"/>
      <w:bookmarkEnd w:id="36"/>
      <w:bookmarkEnd w:id="37"/>
      <w:r w:rsidRPr="00D55D0C">
        <w:t>Retain the same Rel-15 distributed PT-RS structure for OFDM for NR operation in 52.6 to 71 GHz.</w:t>
      </w:r>
      <w:bookmarkEnd w:id="38"/>
    </w:p>
    <w:p w14:paraId="4B3B4A57" w14:textId="77777777" w:rsidR="00E665A6" w:rsidRPr="00D55D0C" w:rsidRDefault="00E665A6" w:rsidP="00E665A6">
      <w:pPr>
        <w:pStyle w:val="BodyText"/>
        <w:jc w:val="both"/>
      </w:pPr>
      <w:r>
        <w:rPr>
          <w:rFonts w:ascii="Arial" w:hAnsi="Arial"/>
          <w:bCs/>
          <w:noProof/>
          <w:lang w:eastAsia="zh-CN"/>
        </w:rPr>
        <w:drawing>
          <wp:inline distT="0" distB="0" distL="0" distR="0" wp14:anchorId="30CA46F0" wp14:editId="5B103C7A">
            <wp:extent cx="3017520" cy="22631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rFonts w:ascii="Arial" w:hAnsi="Arial"/>
          <w:bCs/>
          <w:noProof/>
          <w:lang w:eastAsia="zh-CN"/>
        </w:rPr>
        <w:drawing>
          <wp:inline distT="0" distB="0" distL="0" distR="0" wp14:anchorId="18ED059D" wp14:editId="57FD2416">
            <wp:extent cx="3017520" cy="22631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bookmarkStart w:id="39" w:name="_Toc47616544"/>
      <w:bookmarkStart w:id="40" w:name="_Toc47616596"/>
      <w:bookmarkStart w:id="41" w:name="_Toc47616546"/>
      <w:bookmarkStart w:id="42" w:name="_Toc47616598"/>
      <w:bookmarkStart w:id="43" w:name="_Toc47616547"/>
      <w:bookmarkStart w:id="44" w:name="_Toc47616599"/>
      <w:bookmarkStart w:id="45" w:name="_Toc47616548"/>
      <w:bookmarkStart w:id="46" w:name="_Toc47616600"/>
      <w:bookmarkEnd w:id="39"/>
      <w:bookmarkEnd w:id="40"/>
      <w:bookmarkEnd w:id="41"/>
      <w:bookmarkEnd w:id="42"/>
      <w:bookmarkEnd w:id="43"/>
      <w:bookmarkEnd w:id="44"/>
      <w:bookmarkEnd w:id="45"/>
      <w:bookmarkEnd w:id="46"/>
    </w:p>
    <w:p w14:paraId="3C9FCDD6" w14:textId="7FE1E5A4" w:rsidR="00E665A6" w:rsidRPr="006505D5" w:rsidRDefault="00E665A6" w:rsidP="00E665A6">
      <w:pPr>
        <w:pStyle w:val="Caption"/>
        <w:jc w:val="both"/>
        <w:rPr>
          <w:rFonts w:asciiTheme="majorBidi" w:hAnsiTheme="majorBidi" w:cstheme="majorBidi"/>
          <w:i w:val="0"/>
          <w:color w:val="auto"/>
          <w:sz w:val="20"/>
          <w:szCs w:val="20"/>
        </w:rPr>
      </w:pPr>
      <w:bookmarkStart w:id="47" w:name="_Ref47559341"/>
      <w:r w:rsidRPr="006505D5">
        <w:rPr>
          <w:rFonts w:asciiTheme="majorBidi" w:hAnsiTheme="majorBidi" w:cstheme="majorBidi"/>
          <w:i w:val="0"/>
          <w:color w:val="auto"/>
          <w:sz w:val="20"/>
          <w:szCs w:val="20"/>
        </w:rPr>
        <w:t xml:space="preserve">Figure </w:t>
      </w:r>
      <w:r w:rsidRPr="006505D5">
        <w:rPr>
          <w:rFonts w:asciiTheme="majorBidi" w:hAnsiTheme="majorBidi" w:cstheme="majorBidi"/>
          <w:i w:val="0"/>
          <w:color w:val="auto"/>
          <w:sz w:val="20"/>
          <w:szCs w:val="20"/>
        </w:rPr>
        <w:fldChar w:fldCharType="begin"/>
      </w:r>
      <w:r w:rsidRPr="001F388A">
        <w:rPr>
          <w:rFonts w:asciiTheme="majorBidi" w:hAnsiTheme="majorBidi" w:cstheme="majorBidi"/>
          <w:i w:val="0"/>
          <w:iCs w:val="0"/>
          <w:color w:val="auto"/>
          <w:sz w:val="20"/>
          <w:szCs w:val="20"/>
        </w:rPr>
        <w:instrText xml:space="preserve"> SEQ Figure \* ARABIC </w:instrText>
      </w:r>
      <w:r w:rsidRPr="006505D5">
        <w:rPr>
          <w:rFonts w:asciiTheme="majorBidi" w:hAnsiTheme="majorBidi" w:cstheme="majorBidi"/>
          <w:i w:val="0"/>
          <w:color w:val="auto"/>
          <w:sz w:val="20"/>
          <w:szCs w:val="20"/>
        </w:rPr>
        <w:fldChar w:fldCharType="separate"/>
      </w:r>
      <w:r w:rsidR="001F388A">
        <w:rPr>
          <w:rFonts w:asciiTheme="majorBidi" w:hAnsiTheme="majorBidi" w:cstheme="majorBidi"/>
          <w:i w:val="0"/>
          <w:iCs w:val="0"/>
          <w:noProof/>
          <w:color w:val="auto"/>
          <w:sz w:val="20"/>
          <w:szCs w:val="20"/>
        </w:rPr>
        <w:t>10</w:t>
      </w:r>
      <w:r w:rsidRPr="006505D5">
        <w:rPr>
          <w:rFonts w:asciiTheme="majorBidi" w:hAnsiTheme="majorBidi" w:cstheme="majorBidi"/>
          <w:i w:val="0"/>
          <w:color w:val="auto"/>
          <w:sz w:val="20"/>
          <w:szCs w:val="20"/>
        </w:rPr>
        <w:fldChar w:fldCharType="end"/>
      </w:r>
      <w:bookmarkEnd w:id="47"/>
      <w:r w:rsidRPr="006505D5">
        <w:rPr>
          <w:rFonts w:asciiTheme="majorBidi" w:hAnsiTheme="majorBidi" w:cstheme="majorBidi"/>
          <w:i w:val="0"/>
          <w:color w:val="auto"/>
          <w:sz w:val="20"/>
          <w:szCs w:val="20"/>
        </w:rPr>
        <w:t>: BLER for 480 kHz SCS in TDL-A 10 ns channel with Rel-15 or single-clustered PT-RS structures for 400 MHz (left) and 1.6 GHz (right) bandwidth for the PN model set 1.</w:t>
      </w:r>
    </w:p>
    <w:p w14:paraId="59A8699A" w14:textId="77777777" w:rsidR="00E665A6" w:rsidRPr="00CA658E" w:rsidRDefault="00E665A6" w:rsidP="00E665A6">
      <w:pPr>
        <w:pStyle w:val="Caption"/>
        <w:jc w:val="both"/>
        <w:rPr>
          <w:rFonts w:ascii="Arial" w:hAnsi="Arial" w:cs="Arial"/>
          <w:b/>
          <w:lang w:eastAsia="en-GB"/>
        </w:rPr>
      </w:pPr>
    </w:p>
    <w:p w14:paraId="2CE81123" w14:textId="77777777" w:rsidR="00E665A6" w:rsidRPr="00CA658E" w:rsidRDefault="00E665A6" w:rsidP="00E665A6">
      <w:pPr>
        <w:rPr>
          <w:b/>
          <w:lang w:eastAsia="en-GB"/>
        </w:rPr>
      </w:pPr>
      <w:r>
        <w:rPr>
          <w:noProof/>
        </w:rPr>
        <w:lastRenderedPageBreak/>
        <w:drawing>
          <wp:inline distT="0" distB="0" distL="0" distR="0" wp14:anchorId="255E47D8" wp14:editId="2CF6F9DE">
            <wp:extent cx="3017520" cy="22631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Pr>
          <w:noProof/>
        </w:rPr>
        <w:drawing>
          <wp:inline distT="0" distB="0" distL="0" distR="0" wp14:anchorId="19DC8FAB" wp14:editId="3D805AAE">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DE63D89" w14:textId="21AF4207" w:rsidR="00E665A6" w:rsidRPr="00A24617" w:rsidRDefault="00E665A6" w:rsidP="00E665A6">
      <w:pPr>
        <w:pStyle w:val="Caption"/>
        <w:jc w:val="both"/>
        <w:rPr>
          <w:rFonts w:asciiTheme="majorBidi" w:hAnsiTheme="majorBidi" w:cstheme="majorBidi"/>
          <w:i w:val="0"/>
          <w:color w:val="auto"/>
          <w:sz w:val="20"/>
          <w:szCs w:val="20"/>
        </w:rPr>
      </w:pPr>
      <w:bookmarkStart w:id="48" w:name="_Ref47559346"/>
      <w:r w:rsidRPr="00A24617">
        <w:rPr>
          <w:rFonts w:asciiTheme="majorBidi" w:hAnsiTheme="majorBidi" w:cstheme="majorBidi"/>
          <w:i w:val="0"/>
          <w:color w:val="auto"/>
          <w:sz w:val="20"/>
          <w:szCs w:val="20"/>
        </w:rPr>
        <w:t xml:space="preserve">Figure </w:t>
      </w:r>
      <w:r w:rsidRPr="00A24617">
        <w:rPr>
          <w:rFonts w:asciiTheme="majorBidi" w:hAnsiTheme="majorBidi" w:cstheme="majorBidi"/>
          <w:i w:val="0"/>
          <w:color w:val="auto"/>
          <w:sz w:val="20"/>
          <w:szCs w:val="20"/>
        </w:rPr>
        <w:fldChar w:fldCharType="begin"/>
      </w:r>
      <w:r w:rsidRPr="001F388A">
        <w:rPr>
          <w:rFonts w:asciiTheme="majorBidi" w:hAnsiTheme="majorBidi" w:cstheme="majorBidi"/>
          <w:bCs/>
          <w:i w:val="0"/>
          <w:iCs w:val="0"/>
          <w:color w:val="auto"/>
          <w:sz w:val="20"/>
          <w:szCs w:val="20"/>
        </w:rPr>
        <w:instrText xml:space="preserve"> SEQ Figure \* ARABIC </w:instrText>
      </w:r>
      <w:r w:rsidRPr="00A24617">
        <w:rPr>
          <w:rFonts w:asciiTheme="majorBidi" w:hAnsiTheme="majorBidi" w:cstheme="majorBidi"/>
          <w:i w:val="0"/>
          <w:color w:val="auto"/>
          <w:sz w:val="20"/>
          <w:szCs w:val="20"/>
        </w:rPr>
        <w:fldChar w:fldCharType="separate"/>
      </w:r>
      <w:r w:rsidR="001F388A">
        <w:rPr>
          <w:rFonts w:asciiTheme="majorBidi" w:hAnsiTheme="majorBidi" w:cstheme="majorBidi"/>
          <w:bCs/>
          <w:i w:val="0"/>
          <w:iCs w:val="0"/>
          <w:noProof/>
          <w:color w:val="auto"/>
          <w:sz w:val="20"/>
          <w:szCs w:val="20"/>
        </w:rPr>
        <w:t>11</w:t>
      </w:r>
      <w:r w:rsidRPr="00A24617">
        <w:rPr>
          <w:rFonts w:asciiTheme="majorBidi" w:hAnsiTheme="majorBidi" w:cstheme="majorBidi"/>
          <w:i w:val="0"/>
          <w:color w:val="auto"/>
          <w:sz w:val="20"/>
          <w:szCs w:val="20"/>
        </w:rPr>
        <w:fldChar w:fldCharType="end"/>
      </w:r>
      <w:bookmarkEnd w:id="48"/>
      <w:r w:rsidRPr="00A24617">
        <w:rPr>
          <w:rFonts w:asciiTheme="majorBidi" w:hAnsiTheme="majorBidi" w:cstheme="majorBidi"/>
          <w:i w:val="0"/>
          <w:color w:val="auto"/>
          <w:sz w:val="20"/>
          <w:szCs w:val="20"/>
        </w:rPr>
        <w:t>: BLER for 480 kHz SCS in TDL-A 10 ns channel with Rel-15 or multiple-clustered PT-RS structures for 400 MHz (left) and 1.6 GHz (right) bandwidth for the PN model set 1.</w:t>
      </w:r>
      <w:r w:rsidRPr="00A24617" w:rsidDel="005955AB">
        <w:rPr>
          <w:rFonts w:asciiTheme="majorBidi" w:hAnsiTheme="majorBidi" w:cstheme="majorBidi"/>
          <w:i w:val="0"/>
          <w:color w:val="auto"/>
          <w:sz w:val="20"/>
          <w:szCs w:val="20"/>
        </w:rPr>
        <w:t xml:space="preserve"> </w:t>
      </w:r>
    </w:p>
    <w:p w14:paraId="7CD87D28" w14:textId="77777777" w:rsidR="00A70FDD" w:rsidRDefault="00A70FDD" w:rsidP="00A70FDD">
      <w:pPr>
        <w:pStyle w:val="BodyText"/>
      </w:pPr>
    </w:p>
    <w:p w14:paraId="18464FAF" w14:textId="77777777" w:rsidR="00A70FDD" w:rsidRPr="00D55D0C" w:rsidRDefault="00A70FDD" w:rsidP="00AC3842">
      <w:pPr>
        <w:pStyle w:val="Observation"/>
        <w:ind w:left="1310" w:hanging="1310"/>
        <w:jc w:val="left"/>
        <w:rPr>
          <w:lang w:val="en-GB"/>
        </w:rPr>
      </w:pPr>
      <w:r w:rsidRPr="00D55D0C">
        <w:rPr>
          <w:lang w:val="en-GB"/>
        </w:rPr>
        <w:t>A clustered PT-RS structure does not offer any performance advantage over the existing Rel-15 NR distributed PT-RS structure.</w:t>
      </w:r>
    </w:p>
    <w:p w14:paraId="569BD98D" w14:textId="1C2ABA57" w:rsidR="00F72F54" w:rsidRDefault="00F72F54" w:rsidP="001A2F02">
      <w:pPr>
        <w:rPr>
          <w:lang w:eastAsia="ko-KR"/>
        </w:rPr>
      </w:pPr>
    </w:p>
    <w:bookmarkEnd w:id="3"/>
    <w:p w14:paraId="09423566" w14:textId="77777777" w:rsidR="00885A98" w:rsidRDefault="00885A98" w:rsidP="00885A98">
      <w:pPr>
        <w:pBdr>
          <w:bottom w:val="single" w:sz="4" w:space="0" w:color="auto"/>
        </w:pBdr>
        <w:rPr>
          <w:rFonts w:ascii="Arial" w:hAnsi="Arial" w:cs="Arial"/>
        </w:rPr>
      </w:pPr>
    </w:p>
    <w:p w14:paraId="4C073151" w14:textId="1529C1C0" w:rsidR="00885A98" w:rsidRDefault="003E0C96" w:rsidP="00885A98">
      <w:pPr>
        <w:pStyle w:val="Heading1"/>
        <w:keepLines w:val="0"/>
        <w:numPr>
          <w:ilvl w:val="0"/>
          <w:numId w:val="1"/>
        </w:numPr>
        <w:pBdr>
          <w:top w:val="none" w:sz="0" w:space="0" w:color="auto"/>
        </w:pBdr>
        <w:spacing w:before="0" w:after="240"/>
        <w:ind w:right="284" w:hanging="720"/>
      </w:pPr>
      <w:r>
        <w:t>Conclusion</w:t>
      </w:r>
    </w:p>
    <w:p w14:paraId="7A58D2DB" w14:textId="5E430B9F" w:rsidR="003E0C96" w:rsidRPr="00086039" w:rsidRDefault="00885A98" w:rsidP="003E0C96">
      <w:pPr>
        <w:spacing w:after="0"/>
        <w:rPr>
          <w:lang w:eastAsia="ko-KR"/>
        </w:rPr>
      </w:pPr>
      <w:r>
        <w:t xml:space="preserve">The following </w:t>
      </w:r>
      <w:r w:rsidR="00A70FDD">
        <w:t>observations have been apparent based upon the provided analysis:</w:t>
      </w:r>
    </w:p>
    <w:p w14:paraId="53384BC4" w14:textId="2AB0C453" w:rsidR="00086039" w:rsidRPr="00086039" w:rsidRDefault="00086039" w:rsidP="00885A98">
      <w:pPr>
        <w:rPr>
          <w:lang w:eastAsia="ko-KR"/>
        </w:rPr>
      </w:pPr>
    </w:p>
    <w:p w14:paraId="46423C9A" w14:textId="4407E03E" w:rsidR="00A70FDD" w:rsidRPr="00D55D0C" w:rsidRDefault="00A70FDD" w:rsidP="00A70FDD">
      <w:pPr>
        <w:pStyle w:val="Observation"/>
        <w:numPr>
          <w:ilvl w:val="0"/>
          <w:numId w:val="0"/>
        </w:numPr>
        <w:ind w:left="1701" w:hanging="1701"/>
      </w:pPr>
      <w:r>
        <w:t>Observation 1</w:t>
      </w:r>
      <w:r>
        <w:tab/>
      </w:r>
      <w:r w:rsidRPr="00D55D0C">
        <w:t>Effective mitigation of ICI caused by phase noise for OFDM can be performed using the existing Rel-15 NR distributed PT-RS structure.</w:t>
      </w:r>
    </w:p>
    <w:p w14:paraId="5A6864F7" w14:textId="71F63623" w:rsidR="00A70FDD" w:rsidRDefault="00A70FDD" w:rsidP="00885A98">
      <w:pPr>
        <w:rPr>
          <w:lang w:eastAsia="ko-KR"/>
        </w:rPr>
      </w:pPr>
    </w:p>
    <w:p w14:paraId="2491649A" w14:textId="2D00841B" w:rsidR="00A70FDD" w:rsidRPr="00D55D0C" w:rsidRDefault="00A70FDD" w:rsidP="00A70FDD">
      <w:pPr>
        <w:pStyle w:val="Observation"/>
        <w:numPr>
          <w:ilvl w:val="0"/>
          <w:numId w:val="0"/>
        </w:numPr>
        <w:ind w:left="1701" w:hanging="1701"/>
        <w:rPr>
          <w:lang w:val="en-GB"/>
        </w:rPr>
      </w:pPr>
      <w:r>
        <w:rPr>
          <w:lang w:val="en-GB"/>
        </w:rPr>
        <w:t>Observation 2</w:t>
      </w:r>
      <w:r>
        <w:rPr>
          <w:lang w:val="en-GB"/>
        </w:rPr>
        <w:tab/>
      </w:r>
      <w:r w:rsidRPr="00D55D0C">
        <w:rPr>
          <w:lang w:val="en-GB"/>
        </w:rPr>
        <w:t>A clustered PT-RS structure does not offer any performance advantage over the existing Rel-15 NR distributed PT-RS structure.</w:t>
      </w:r>
    </w:p>
    <w:p w14:paraId="0D87D7D3" w14:textId="3D3D9DEE" w:rsidR="00A70FDD" w:rsidRDefault="00A70FDD" w:rsidP="00885A98">
      <w:pPr>
        <w:rPr>
          <w:lang w:eastAsia="ko-KR"/>
        </w:rPr>
      </w:pPr>
      <w:r>
        <w:rPr>
          <w:lang w:eastAsia="ko-KR"/>
        </w:rPr>
        <w:t>In conclusion, there is not sufficient evidence to warrant any change in current PT-RS structure design; particularly considering specification and implementation impact the change would incur.</w:t>
      </w:r>
    </w:p>
    <w:p w14:paraId="79F301BC" w14:textId="5A41F24A" w:rsidR="00AC3694" w:rsidRDefault="00AC3694" w:rsidP="00A3452A">
      <w:pPr>
        <w:pStyle w:val="Proposal"/>
        <w:numPr>
          <w:ilvl w:val="0"/>
          <w:numId w:val="0"/>
        </w:numPr>
        <w:ind w:left="1695" w:hanging="1695"/>
        <w:jc w:val="left"/>
      </w:pPr>
      <w:r>
        <w:rPr>
          <w:lang w:eastAsia="ja-JP"/>
        </w:rPr>
        <w:t>Proposal</w:t>
      </w:r>
      <w:r w:rsidR="00A3452A">
        <w:rPr>
          <w:lang w:eastAsia="ja-JP"/>
        </w:rPr>
        <w:t xml:space="preserve"> 1</w:t>
      </w:r>
      <w:r w:rsidR="00A3452A">
        <w:rPr>
          <w:lang w:eastAsia="ja-JP"/>
        </w:rPr>
        <w:tab/>
      </w:r>
      <w:r>
        <w:rPr>
          <w:lang w:eastAsia="ja-JP"/>
        </w:rPr>
        <w:tab/>
      </w:r>
      <w:r w:rsidRPr="00D55D0C">
        <w:t>Retain the same Rel-15 distributed PT-RS structure for OFDM for NR operation in 52.6 to 71 GHz.</w:t>
      </w:r>
    </w:p>
    <w:p w14:paraId="5B1E0914" w14:textId="7A96720B" w:rsidR="00AC3694" w:rsidRDefault="00AC3694" w:rsidP="00AC3694">
      <w:pPr>
        <w:pStyle w:val="Proposal"/>
        <w:numPr>
          <w:ilvl w:val="0"/>
          <w:numId w:val="0"/>
        </w:numPr>
        <w:ind w:left="852" w:hanging="852"/>
      </w:pPr>
    </w:p>
    <w:p w14:paraId="00E2BBCF" w14:textId="2A4F23A7" w:rsidR="00A70FDD" w:rsidRPr="00A70FDD" w:rsidRDefault="00A70FDD" w:rsidP="00A70FDD">
      <w:pPr>
        <w:pStyle w:val="Observation"/>
        <w:numPr>
          <w:ilvl w:val="0"/>
          <w:numId w:val="0"/>
        </w:numPr>
        <w:ind w:left="1701" w:hanging="1701"/>
      </w:pPr>
    </w:p>
    <w:p w14:paraId="150DFC89" w14:textId="77777777" w:rsidR="003B61A8" w:rsidRDefault="003B61A8" w:rsidP="003B61A8">
      <w:pPr>
        <w:pBdr>
          <w:bottom w:val="single" w:sz="4" w:space="1" w:color="auto"/>
        </w:pBdr>
        <w:rPr>
          <w:rFonts w:ascii="Arial" w:hAnsi="Arial" w:cs="Arial"/>
        </w:rPr>
      </w:pPr>
    </w:p>
    <w:p w14:paraId="6CF8F23E" w14:textId="665F1FE8" w:rsidR="00D266C9" w:rsidRDefault="003B61A8" w:rsidP="00C62FDA">
      <w:pPr>
        <w:pStyle w:val="Heading1"/>
        <w:keepLines w:val="0"/>
        <w:numPr>
          <w:ilvl w:val="0"/>
          <w:numId w:val="1"/>
        </w:numPr>
        <w:pBdr>
          <w:top w:val="none" w:sz="0" w:space="0" w:color="auto"/>
        </w:pBdr>
        <w:spacing w:before="0" w:after="240"/>
        <w:ind w:right="284" w:hanging="720"/>
      </w:pPr>
      <w:r>
        <w:t>References</w:t>
      </w:r>
    </w:p>
    <w:p w14:paraId="263C847F" w14:textId="6159C49B" w:rsidR="00D266C9" w:rsidRDefault="008F7643">
      <w:pPr>
        <w:pStyle w:val="ListParagraph"/>
        <w:numPr>
          <w:ilvl w:val="0"/>
          <w:numId w:val="33"/>
        </w:numPr>
      </w:pPr>
      <w:r>
        <w:t>TR 38.808, “</w:t>
      </w:r>
      <w:r w:rsidRPr="001F388A">
        <w:t>Study on supporting NR from 52.6 GHz to 71 GHz”</w:t>
      </w:r>
    </w:p>
    <w:p w14:paraId="2AB915AC" w14:textId="6A179859" w:rsidR="008253BE" w:rsidRDefault="008253BE" w:rsidP="008253BE">
      <w:pPr>
        <w:pStyle w:val="ListParagraph"/>
        <w:numPr>
          <w:ilvl w:val="0"/>
          <w:numId w:val="33"/>
        </w:numPr>
      </w:pPr>
      <w:r>
        <w:t>R4-2010176, “On phase noise for 52.6-71 GHz”, Ericsson</w:t>
      </w:r>
    </w:p>
    <w:p w14:paraId="50F4F50B" w14:textId="77777777" w:rsidR="008253BE" w:rsidRDefault="008253BE" w:rsidP="008253BE">
      <w:pPr>
        <w:pStyle w:val="ListParagraph"/>
        <w:numPr>
          <w:ilvl w:val="0"/>
          <w:numId w:val="33"/>
        </w:numPr>
      </w:pPr>
      <w:bookmarkStart w:id="49" w:name="_Ref53744125"/>
      <w:r>
        <w:t>R4-2011494, “On PN model for 52.6~71GHz”, Huawei</w:t>
      </w:r>
      <w:bookmarkEnd w:id="49"/>
    </w:p>
    <w:p w14:paraId="545BFB3A" w14:textId="77777777" w:rsidR="00F7732D" w:rsidRDefault="00F7732D" w:rsidP="00F7732D">
      <w:pPr>
        <w:pStyle w:val="ListParagraph"/>
        <w:numPr>
          <w:ilvl w:val="0"/>
          <w:numId w:val="33"/>
        </w:numPr>
      </w:pPr>
      <w:bookmarkStart w:id="50" w:name="_Ref53745985"/>
      <w:r>
        <w:t>V. Syrjälä, T. Levanen, T. Ihalainen and M. Valkama, “Pilot Allocation and Computationally Efficient Non-Iterative Estimation of Phase Noise in OFDM,” IEEE Wireless Comm Letters, Apr. 2019.</w:t>
      </w:r>
      <w:bookmarkEnd w:id="50"/>
    </w:p>
    <w:p w14:paraId="673682F4" w14:textId="1B3B1200" w:rsidR="00DB6C91" w:rsidRDefault="00DB6C91" w:rsidP="00DB6C91">
      <w:pPr>
        <w:pStyle w:val="ListParagraph"/>
        <w:numPr>
          <w:ilvl w:val="0"/>
          <w:numId w:val="33"/>
        </w:numPr>
      </w:pPr>
      <w:bookmarkStart w:id="51" w:name="_Ref53749270"/>
      <w:r>
        <w:t>D. Petrovic, W. Rave and G. Fettweis, “Effects of Phase Noise on OFDM Systems With and Without PLL: Characterization and Compensation,” IEEE Trans. Comm., Aug. 2007.</w:t>
      </w:r>
      <w:bookmarkEnd w:id="51"/>
    </w:p>
    <w:p w14:paraId="35570A65" w14:textId="77777777" w:rsidR="00DB6C91" w:rsidRDefault="00DB6C91" w:rsidP="00AC3694">
      <w:pPr>
        <w:pStyle w:val="ListParagraph"/>
      </w:pPr>
    </w:p>
    <w:p w14:paraId="35EE84EA" w14:textId="7819EE02" w:rsidR="003B61A8" w:rsidRPr="003007C0" w:rsidRDefault="003B61A8" w:rsidP="003B61A8">
      <w:pPr>
        <w:ind w:left="709" w:hanging="709"/>
        <w:rPr>
          <w:lang w:eastAsia="en-GB"/>
        </w:rPr>
      </w:pPr>
    </w:p>
    <w:bookmarkEnd w:id="1"/>
    <w:p w14:paraId="51F1F5AA" w14:textId="77777777" w:rsidR="00C045AA" w:rsidRDefault="00C045AA" w:rsidP="00C045AA">
      <w:pPr>
        <w:pBdr>
          <w:bottom w:val="single" w:sz="4" w:space="1" w:color="auto"/>
        </w:pBdr>
        <w:rPr>
          <w:rFonts w:ascii="Arial" w:hAnsi="Arial" w:cs="Arial"/>
        </w:rPr>
      </w:pPr>
    </w:p>
    <w:p w14:paraId="4A6A5499" w14:textId="410066A9" w:rsidR="00C045AA" w:rsidRDefault="00C045AA" w:rsidP="00C045AA">
      <w:pPr>
        <w:pStyle w:val="Heading1"/>
        <w:keepLines w:val="0"/>
        <w:numPr>
          <w:ilvl w:val="0"/>
          <w:numId w:val="1"/>
        </w:numPr>
        <w:pBdr>
          <w:top w:val="none" w:sz="0" w:space="0" w:color="auto"/>
        </w:pBdr>
        <w:spacing w:before="0" w:after="240"/>
        <w:ind w:right="284" w:hanging="720"/>
      </w:pPr>
      <w:r>
        <w:t xml:space="preserve">Annex </w:t>
      </w:r>
      <w:r w:rsidR="00D70F20">
        <w:t>- Phase noise compensation</w:t>
      </w:r>
    </w:p>
    <w:p w14:paraId="51D2A886" w14:textId="1D6EA860" w:rsidR="00D70F20" w:rsidRDefault="00D70F20" w:rsidP="00D70F20">
      <w:pPr>
        <w:pStyle w:val="BodyText"/>
      </w:pPr>
      <w:r>
        <w:t xml:space="preserve">Let the transmitted symbol and the channel response for sub-carrier </w:t>
      </w:r>
      <m:oMath>
        <m:r>
          <w:rPr>
            <w:rFonts w:ascii="Cambria Math" w:hAnsi="Cambria Math"/>
          </w:rPr>
          <m:t>k</m:t>
        </m:r>
      </m:oMath>
      <w:r>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t xml:space="preserve">, respectively. The time-varying phase noise induces inter-carrier-interference (ICI) in the frequency domain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Del="008E4752">
        <w:t xml:space="preserve"> </w:t>
      </w:r>
      <w:r w:rsidR="008E4752">
        <w:fldChar w:fldCharType="begin"/>
      </w:r>
      <w:r w:rsidR="008E4752">
        <w:instrText xml:space="preserve"> REF _Ref53749270 \r \h </w:instrText>
      </w:r>
      <w:r w:rsidR="008E4752">
        <w:fldChar w:fldCharType="separate"/>
      </w:r>
      <w:r w:rsidR="001F388A">
        <w:t>[5]</w:t>
      </w:r>
      <w:r w:rsidR="008E4752">
        <w:fldChar w:fldCharType="end"/>
      </w:r>
      <w:r>
        <w:t>:</w:t>
      </w:r>
    </w:p>
    <w:p w14:paraId="19980668" w14:textId="77777777" w:rsidR="00D70F20" w:rsidRPr="00D55D0C" w:rsidRDefault="00DE66A9" w:rsidP="00D70F20">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783A8291" w14:textId="441A9AA6" w:rsidR="00D70F20" w:rsidRPr="00D55D0C" w:rsidRDefault="00D70F20" w:rsidP="00D70F20">
      <w:pPr>
        <w:pStyle w:val="Heading3"/>
      </w:pPr>
      <w:bookmarkStart w:id="52" w:name="_Toc46307393"/>
      <w:bookmarkStart w:id="53" w:name="_Toc47085983"/>
      <w:r>
        <w:t>5</w:t>
      </w:r>
      <w:r w:rsidRPr="00D55D0C">
        <w:t>.1</w:t>
      </w:r>
      <w:r>
        <w:t>.1</w:t>
      </w:r>
      <w:r w:rsidRPr="00D55D0C">
        <w:tab/>
        <w:t>Direct de-ICI filtering</w:t>
      </w:r>
      <w:bookmarkEnd w:id="52"/>
      <w:bookmarkEnd w:id="53"/>
      <w:r w:rsidRPr="00D55D0C">
        <w:t xml:space="preserve"> approach</w:t>
      </w:r>
    </w:p>
    <w:p w14:paraId="77AFFD1E" w14:textId="77777777" w:rsidR="00D70F20" w:rsidRDefault="00D70F20" w:rsidP="00D70F20">
      <w:pPr>
        <w:pStyle w:val="BodyText"/>
        <w:rPr>
          <w:iCs/>
        </w:rPr>
      </w:pPr>
      <w:r>
        <w:t xml:space="preserve">In the direct de-ICI approach, a filter on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t xml:space="preserve"> is estimated directly such that the filtered received signal becomes approximately free of ICI. PT-RS are transmitted on sub-carriers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oMath>
      <w:r>
        <w:rPr>
          <w:iCs/>
        </w:rPr>
        <w:t xml:space="preserve">. The values of </w:t>
      </w:r>
      <m:oMath>
        <m:sSub>
          <m:sSubPr>
            <m:ctrlPr>
              <w:rPr>
                <w:rFonts w:ascii="Cambria Math" w:hAnsi="Cambria Math"/>
                <w:i/>
                <w:iCs/>
              </w:rPr>
            </m:ctrlPr>
          </m:sSubPr>
          <m:e>
            <m:r>
              <w:rPr>
                <w:rFonts w:ascii="Cambria Math" w:hAnsi="Cambria Math"/>
              </w:rPr>
              <m:t>S</m:t>
            </m:r>
          </m:e>
          <m:sub>
            <m:r>
              <w:rPr>
                <w:rFonts w:ascii="Cambria Math" w:hAnsi="Cambria Math"/>
              </w:rPr>
              <m:t>k</m:t>
            </m:r>
          </m:sub>
        </m:sSub>
      </m:oMath>
      <w:r>
        <w:rPr>
          <w:iCs/>
        </w:rPr>
        <w:t xml:space="preserve"> at these sub-carriers are hence known and can be used to estimate a de-ICI filter of </w:t>
      </w:r>
      <m:oMath>
        <m:r>
          <w:rPr>
            <w:rFonts w:ascii="Cambria Math" w:hAnsi="Cambria Math"/>
          </w:rPr>
          <m:t>2u+1</m:t>
        </m:r>
      </m:oMath>
      <w:r>
        <w:rPr>
          <w:iCs/>
        </w:rPr>
        <w:t xml:space="preserve"> taps:</w:t>
      </w:r>
    </w:p>
    <w:p w14:paraId="358E5F43" w14:textId="77777777" w:rsidR="00D70F20" w:rsidRPr="00BF01D5" w:rsidRDefault="00DE66A9" w:rsidP="00D70F20">
      <w:pPr>
        <w:pStyle w:val="BodyText"/>
        <w:rPr>
          <w:iCs/>
        </w:rPr>
      </w:pPr>
      <m:oMathPara>
        <m:oMath>
          <m:nary>
            <m:naryPr>
              <m:chr m:val="∑"/>
              <m:ctrlPr>
                <w:rPr>
                  <w:rFonts w:ascii="Cambria Math" w:hAnsi="Cambria Math"/>
                  <w:i/>
                  <w:iCs/>
                </w:rPr>
              </m:ctrlPr>
            </m:naryPr>
            <m:sub>
              <m:r>
                <w:rPr>
                  <w:rFonts w:ascii="Cambria Math" w:hAnsi="Cambria Math"/>
                </w:rPr>
                <m:t>m=-u </m:t>
              </m:r>
            </m:sub>
            <m:sup>
              <m:r>
                <w:rPr>
                  <w:rFonts w:ascii="Cambria Math" w:hAnsi="Cambria Math"/>
                </w:rPr>
                <m:t>u</m:t>
              </m:r>
            </m:sup>
            <m:e>
              <m:sSub>
                <m:sSubPr>
                  <m:ctrlPr>
                    <w:rPr>
                      <w:rFonts w:ascii="Cambria Math" w:hAnsi="Cambria Math"/>
                      <w:i/>
                      <w:iCs/>
                    </w:rPr>
                  </m:ctrlPr>
                </m:sSubPr>
                <m:e>
                  <m:r>
                    <w:rPr>
                      <w:rFonts w:ascii="Cambria Math" w:hAnsi="Cambria Math"/>
                    </w:rPr>
                    <m:t>a</m:t>
                  </m:r>
                </m:e>
                <m:sub>
                  <m:r>
                    <w:rPr>
                      <w:rFonts w:ascii="Cambria Math" w:hAnsi="Cambria Math"/>
                    </w:rPr>
                    <m:t>m</m:t>
                  </m:r>
                </m:sub>
              </m:sSub>
              <m:sSub>
                <m:sSubPr>
                  <m:ctrlPr>
                    <w:rPr>
                      <w:rFonts w:ascii="Cambria Math" w:hAnsi="Cambria Math"/>
                      <w:i/>
                      <w:iCs/>
                    </w:rPr>
                  </m:ctrlPr>
                </m:sSubPr>
                <m:e>
                  <m:r>
                    <w:rPr>
                      <w:rFonts w:ascii="Cambria Math" w:hAnsi="Cambria Math"/>
                    </w:rPr>
                    <m:t>R</m:t>
                  </m:r>
                </m:e>
                <m:sub>
                  <m:r>
                    <w:rPr>
                      <w:rFonts w:ascii="Cambria Math" w:hAnsi="Cambria Math"/>
                    </w:rPr>
                    <m:t>k-m</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k</m:t>
                  </m:r>
                </m:sub>
              </m:sSub>
              <m:sSub>
                <m:sSubPr>
                  <m:ctrlPr>
                    <w:rPr>
                      <w:rFonts w:ascii="Cambria Math" w:hAnsi="Cambria Math"/>
                      <w:i/>
                      <w:iCs/>
                    </w:rPr>
                  </m:ctrlPr>
                </m:sSubPr>
                <m:e>
                  <m:r>
                    <w:rPr>
                      <w:rFonts w:ascii="Cambria Math" w:hAnsi="Cambria Math"/>
                    </w:rPr>
                    <m:t>S</m:t>
                  </m:r>
                </m:e>
                <m:sub>
                  <m:r>
                    <w:rPr>
                      <w:rFonts w:ascii="Cambria Math" w:hAnsi="Cambria Math"/>
                    </w:rPr>
                    <m:t>k</m:t>
                  </m:r>
                </m:sub>
              </m:sSub>
            </m:e>
          </m:nary>
          <m:r>
            <m:rPr>
              <m:sty m:val="p"/>
            </m:rPr>
            <w:rPr>
              <w:rFonts w:ascii="Cambria Math" w:hAnsi="Cambria Math"/>
            </w:rPr>
            <m:t xml:space="preserve"> for </m:t>
          </m:r>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m:t>
          </m:r>
        </m:oMath>
      </m:oMathPara>
    </w:p>
    <w:p w14:paraId="31E94E74" w14:textId="77777777" w:rsidR="00D70F20" w:rsidRDefault="00D70F20" w:rsidP="00D70F20">
      <w:pPr>
        <w:pStyle w:val="BodyText"/>
      </w:pPr>
      <w:r>
        <w:t xml:space="preserve">For </w:t>
      </w:r>
      <m:oMath>
        <m:r>
          <w:rPr>
            <w:rFonts w:ascii="Cambria Math" w:hAnsi="Cambria Math"/>
          </w:rPr>
          <m:t>u=0</m:t>
        </m:r>
      </m:oMath>
      <w:r>
        <w:t>, the de-ICI filter reduces to single-tap common phase error (CPE) compensation:</w:t>
      </w:r>
    </w:p>
    <w:p w14:paraId="5E738C0F" w14:textId="77777777" w:rsidR="00D70F20" w:rsidRDefault="00DE66A9" w:rsidP="00D70F20">
      <w:pPr>
        <w:pStyle w:val="BodyText"/>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mr>
                        <m:mr>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mr>
                      </m:m>
                    </m:e>
                  </m:d>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b/>
                                  <w:bCs/>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ctrlPr>
                            <w:rPr>
                              <w:rFonts w:ascii="Cambria Math" w:hAnsi="Cambria Math"/>
                              <w:b/>
                              <w:bCs/>
                              <w:i/>
                              <w:iCs/>
                            </w:rPr>
                          </m:ctrlPr>
                        </m:e>
                        <m:e>
                          <m:r>
                            <m:rPr>
                              <m:sty m:val="bi"/>
                            </m:rPr>
                            <w:rPr>
                              <w:rFonts w:ascii="Cambria Math" w:hAnsi="Cambria Math"/>
                            </w:rPr>
                            <m:t>⋮</m:t>
                          </m:r>
                          <m:ctrlPr>
                            <w:rPr>
                              <w:rFonts w:ascii="Cambria Math" w:eastAsia="Cambria Math" w:hAnsi="Cambria Math" w:cs="Cambria Math"/>
                              <w:b/>
                              <w:bCs/>
                              <w:i/>
                              <w:iCs/>
                            </w:rPr>
                          </m:ctrlPr>
                        </m:e>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ctrlPr>
                            <w:rPr>
                              <w:rFonts w:ascii="Cambria Math" w:hAnsi="Cambria Math"/>
                              <w:b/>
                              <w:bCs/>
                              <w:i/>
                              <w:iCs/>
                            </w:rPr>
                          </m:ctrlPr>
                        </m:e>
                      </m:eqArr>
                    </m:e>
                  </m:d>
                </m:e>
              </m:d>
            </m:e>
            <m:sup>
              <m:r>
                <w:rPr>
                  <w:rFonts w:ascii="Cambria Math" w:hAnsi="Cambria Math"/>
                </w:rPr>
                <m:t>2</m:t>
              </m:r>
            </m:sup>
          </m:sSup>
          <m:r>
            <w:rPr>
              <w:rFonts w:ascii="Cambria Math" w:hAnsi="Cambria Math"/>
            </w:rPr>
            <m:t xml:space="preserve">≜ </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r</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b"/>
                    </m:rP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sSub>
                    <m:sSubPr>
                      <m:ctrlPr>
                        <w:rPr>
                          <w:rFonts w:ascii="Cambria Math" w:hAnsi="Cambria Math"/>
                          <w:i/>
                        </w:rPr>
                      </m:ctrlPr>
                    </m:sSubPr>
                    <m:e>
                      <m:r>
                        <m:rPr>
                          <m:sty m:val="b"/>
                        </m:rPr>
                        <w:rPr>
                          <w:rFonts w:ascii="Cambria Math" w:hAnsi="Cambria Math"/>
                        </w:rPr>
                        <m:t>r</m:t>
                      </m:r>
                    </m:e>
                    <m:sub>
                      <m:r>
                        <w:rPr>
                          <w:rFonts w:ascii="Cambria Math" w:hAnsi="Cambria Math"/>
                        </w:rPr>
                        <m:t>0</m:t>
                      </m:r>
                    </m:sub>
                  </m:sSub>
                </m:e>
              </m:d>
            </m:e>
            <m:sup>
              <m:r>
                <w:rPr>
                  <w:rFonts w:ascii="Cambria Math" w:hAnsi="Cambria Math"/>
                </w:rPr>
                <m:t>-1</m:t>
              </m:r>
            </m:sup>
          </m:sSup>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r>
            <m:rPr>
              <m:sty m:val="b"/>
            </m:rPr>
            <w:rPr>
              <w:rFonts w:ascii="Cambria Math" w:hAnsi="Cambria Math"/>
            </w:rPr>
            <m:t>x</m:t>
          </m:r>
          <m:r>
            <w:rPr>
              <w:rFonts w:ascii="Cambria Math" w:hAnsi="Cambria Math"/>
            </w:rPr>
            <m:t>.</m:t>
          </m:r>
        </m:oMath>
      </m:oMathPara>
    </w:p>
    <w:p w14:paraId="11D10613" w14:textId="77777777" w:rsidR="00D70F20" w:rsidRDefault="00D70F20" w:rsidP="00D70F20">
      <w:pPr>
        <w:pStyle w:val="BodyText"/>
      </w:pPr>
      <w:r>
        <w:t xml:space="preserve">For ICI compensation, the </w:t>
      </w:r>
      <m:oMath>
        <m:r>
          <w:rPr>
            <w:rFonts w:ascii="Cambria Math" w:hAnsi="Cambria Math"/>
          </w:rPr>
          <m:t>(2u+1)</m:t>
        </m:r>
      </m:oMath>
      <w:r>
        <w:t>-tap de-ICI filter can be obtained from minimizing the residue sum of squares:</w:t>
      </w:r>
    </w:p>
    <w:p w14:paraId="1AE2CC97" w14:textId="77777777" w:rsidR="00D70F20" w:rsidRDefault="00DE66A9" w:rsidP="00D70F20">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ub>
                            </m:sSub>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-u</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-u</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a</m:t>
                              </m:r>
                            </m:e>
                            <m:sub>
                              <m:r>
                                <w:rPr>
                                  <w:rFonts w:ascii="Cambria Math" w:hAnsi="Cambria Math"/>
                                </w:rPr>
                                <m:t>-u</m:t>
                              </m:r>
                            </m:sub>
                          </m:sSub>
                        </m:e>
                        <m:e>
                          <m:sSub>
                            <m:sSubPr>
                              <m:ctrlPr>
                                <w:rPr>
                                  <w:rFonts w:ascii="Cambria Math" w:hAnsi="Cambria Math"/>
                                  <w:i/>
                                </w:rPr>
                              </m:ctrlPr>
                            </m:sSubPr>
                            <m:e>
                              <m:r>
                                <w:rPr>
                                  <w:rFonts w:ascii="Cambria Math" w:hAnsi="Cambria Math"/>
                                </w:rPr>
                                <m:t>a</m:t>
                              </m:r>
                            </m:e>
                            <m: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eastAsia="Cambria Math" w:hAnsi="Cambria Math" w:cs="Cambria Math"/>
                                </w:rPr>
                                <m:t>a</m:t>
                              </m:r>
                            </m:e>
                            <m:sub>
                              <m:r>
                                <w:rPr>
                                  <w:rFonts w:ascii="Cambria Math" w:eastAsia="Cambria Math" w:hAnsi="Cambria Math" w:cs="Cambria Math"/>
                                </w:rPr>
                                <m:t>u</m:t>
                              </m:r>
                            </m:sub>
                          </m:sSub>
                        </m:e>
                      </m:eqArr>
                    </m:e>
                  </m:d>
                  <m: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sSub>
                    <m:sSubPr>
                      <m:ctrlPr>
                        <w:rPr>
                          <w:rFonts w:ascii="Cambria Math" w:hAnsi="Cambria Math"/>
                          <w:bCs/>
                        </w:rPr>
                      </m:ctrlPr>
                    </m:sSubPr>
                    <m:e>
                      <m:r>
                        <m:rPr>
                          <m:sty m:val="b"/>
                        </m:rPr>
                        <w:rPr>
                          <w:rFonts w:ascii="Cambria Math" w:hAnsi="Cambria Math"/>
                        </w:rPr>
                        <m:t>a</m:t>
                      </m:r>
                      <m:ctrlPr>
                        <w:rPr>
                          <w:rFonts w:ascii="Cambria Math" w:hAnsi="Cambria Math"/>
                          <w:b/>
                        </w:rPr>
                      </m:ctrlPr>
                    </m:e>
                    <m:sub>
                      <m:r>
                        <w:rPr>
                          <w:rFonts w:ascii="Cambria Math" w:hAnsi="Cambria Math"/>
                        </w:rPr>
                        <m:t>u</m:t>
                      </m:r>
                    </m:sub>
                  </m:sSub>
                  <m:r>
                    <m:rPr>
                      <m:sty m:val="bi"/>
                    </m:rP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oMath>
      </m:oMathPara>
    </w:p>
    <w:p w14:paraId="09CF6D7D" w14:textId="77777777" w:rsidR="00D70F20" w:rsidRDefault="00D70F20" w:rsidP="00D70F20">
      <w:pPr>
        <w:pStyle w:val="BodyText"/>
      </w:pPr>
      <w:r>
        <w:t>This is a least square problem with solution given by</w:t>
      </w:r>
    </w:p>
    <w:p w14:paraId="75A80376" w14:textId="77777777" w:rsidR="00D70F20" w:rsidRPr="003D236B" w:rsidRDefault="00DE66A9" w:rsidP="00D70F20">
      <w:pPr>
        <w:pStyle w:val="BodyText"/>
        <w:rPr>
          <w:b/>
          <w:bCs/>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a</m:t>
                  </m:r>
                </m:e>
              </m:acc>
            </m:e>
            <m:sub>
              <m:r>
                <w:rPr>
                  <w:rFonts w:ascii="Cambria Math" w:hAnsi="Cambria Math"/>
                </w:rPr>
                <m:t>u</m:t>
              </m:r>
            </m:sub>
          </m:sSub>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r>
            <m:rPr>
              <m:sty m:val="b"/>
            </m:rPr>
            <w:rPr>
              <w:rFonts w:ascii="Cambria Math" w:hAnsi="Cambria Math"/>
            </w:rPr>
            <m:t>x</m:t>
          </m:r>
          <m:r>
            <w:rPr>
              <w:rFonts w:ascii="Cambria Math" w:hAnsi="Cambria Math"/>
            </w:rPr>
            <m:t>.</m:t>
          </m:r>
          <m:r>
            <m:rPr>
              <m:sty m:val="p"/>
            </m:rPr>
            <w:rPr>
              <w:rFonts w:ascii="Cambria Math" w:hAnsi="Cambria Math"/>
            </w:rPr>
            <m:t xml:space="preserve"> </m:t>
          </m:r>
        </m:oMath>
      </m:oMathPara>
    </w:p>
    <w:p w14:paraId="4999C8C4" w14:textId="77777777" w:rsidR="00D70F20" w:rsidRDefault="00D70F20" w:rsidP="00D70F20">
      <w:pPr>
        <w:pStyle w:val="BodyText"/>
      </w:pPr>
      <w:r>
        <w:t xml:space="preserve">Note that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w:rPr>
                <w:rFonts w:ascii="Cambria Math" w:hAnsi="Cambria Math"/>
              </w:rPr>
              <m:t>u</m:t>
            </m:r>
          </m:sub>
        </m:sSub>
      </m:oMath>
      <w:r>
        <w:t xml:space="preserve"> is a </w:t>
      </w:r>
      <m:oMath>
        <m:d>
          <m:dPr>
            <m:ctrlPr>
              <w:rPr>
                <w:rFonts w:ascii="Cambria Math" w:hAnsi="Cambria Math"/>
                <w:i/>
              </w:rPr>
            </m:ctrlPr>
          </m:dPr>
          <m:e>
            <m:r>
              <w:rPr>
                <w:rFonts w:ascii="Cambria Math" w:hAnsi="Cambria Math"/>
              </w:rPr>
              <m:t>2u+1</m:t>
            </m:r>
          </m:e>
        </m:d>
        <m:r>
          <w:rPr>
            <w:rFonts w:ascii="Cambria Math" w:hAnsi="Cambria Math"/>
          </w:rPr>
          <m:t>×</m:t>
        </m:r>
        <m:d>
          <m:dPr>
            <m:ctrlPr>
              <w:rPr>
                <w:rFonts w:ascii="Cambria Math" w:hAnsi="Cambria Math"/>
                <w:i/>
              </w:rPr>
            </m:ctrlPr>
          </m:dPr>
          <m:e>
            <m:r>
              <w:rPr>
                <w:rFonts w:ascii="Cambria Math" w:hAnsi="Cambria Math"/>
              </w:rPr>
              <m:t>2u+1</m:t>
            </m:r>
          </m:e>
        </m:d>
      </m:oMath>
      <w:r>
        <w:t xml:space="preserve"> matrix. To compensate the ICI, the received signal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oMath>
      <w:r>
        <w:t xml:space="preserve"> is filter by </w:t>
      </w:r>
      <m:oMath>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-u</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-u+1</m:t>
            </m:r>
          </m:sub>
        </m:sSub>
        <m:r>
          <w:rPr>
            <w:rFonts w:ascii="Cambria Math" w:hAnsi="Cambria Math"/>
          </w:rPr>
          <m:t xml:space="preserve">, …, </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u</m:t>
            </m:r>
          </m:sub>
        </m:sSub>
        <m:r>
          <w:rPr>
            <w:rFonts w:ascii="Cambria Math" w:hAnsi="Cambria Math"/>
          </w:rPr>
          <m:t>}</m:t>
        </m:r>
      </m:oMath>
      <w:r>
        <w:t xml:space="preserve"> and then fed to the OFDM demodulator.</w:t>
      </w:r>
    </w:p>
    <w:p w14:paraId="2BB7EDA2" w14:textId="77777777" w:rsidR="00D70F20" w:rsidRDefault="00D70F20" w:rsidP="00D70F20">
      <w:pPr>
        <w:pStyle w:val="BodyText"/>
        <w:rPr>
          <w:bCs/>
        </w:rPr>
      </w:pPr>
      <w:r>
        <w:t xml:space="preserve">In this section, we use </w:t>
      </w:r>
      <m:oMath>
        <m:r>
          <w:rPr>
            <w:rFonts w:ascii="Cambria Math" w:hAnsi="Cambria Math"/>
          </w:rPr>
          <m:t>u=1</m:t>
        </m:r>
      </m:oMath>
      <w:r>
        <w:t xml:space="preserve"> and hence each row of the </w:t>
      </w:r>
      <m:oMath>
        <m:r>
          <w:rPr>
            <w:rFonts w:ascii="Cambria Math" w:hAnsi="Cambria Math"/>
          </w:rPr>
          <m:t>N×3</m:t>
        </m:r>
      </m:oMath>
      <w:r>
        <w:t xml:space="preserve"> </w:t>
      </w:r>
      <w:r>
        <w:rPr>
          <w:bCs/>
        </w:rPr>
        <w:t xml:space="preserve">matrix </w:t>
      </w:r>
      <m:oMath>
        <m:sSub>
          <m:sSubPr>
            <m:ctrlPr>
              <w:rPr>
                <w:rFonts w:ascii="Cambria Math" w:hAnsi="Cambria Math"/>
                <w:b/>
                <w:bCs/>
              </w:rPr>
            </m:ctrlPr>
          </m:sSubPr>
          <m:e>
            <m:r>
              <m:rPr>
                <m:sty m:val="b"/>
              </m:rPr>
              <w:rPr>
                <w:rFonts w:ascii="Cambria Math" w:hAnsi="Cambria Math"/>
              </w:rPr>
              <m:t>R</m:t>
            </m:r>
          </m:e>
          <m:sub>
            <m:r>
              <w:rPr>
                <w:rFonts w:ascii="Cambria Math" w:hAnsi="Cambria Math"/>
              </w:rPr>
              <m:t>1</m:t>
            </m:r>
          </m:sub>
        </m:sSub>
      </m:oMath>
      <w:r>
        <w:rPr>
          <w:bCs/>
        </w:rPr>
        <w:t xml:space="preserve"> is given by the received PTRS and its two neighbors:</w:t>
      </w:r>
    </w:p>
    <w:p w14:paraId="4A241EF1" w14:textId="77777777" w:rsidR="00D70F20" w:rsidRDefault="00DE66A9" w:rsidP="00D70F20">
      <w:pPr>
        <w:pStyle w:val="BodyText"/>
      </w:pPr>
      <m:oMathPara>
        <m:oMath>
          <m:sSub>
            <m:sSubPr>
              <m:ctrlPr>
                <w:rPr>
                  <w:rFonts w:ascii="Cambria Math" w:hAnsi="Cambria Math"/>
                  <w:b/>
                  <w:bCs/>
                </w:rPr>
              </m:ctrlPr>
            </m:sSubPr>
            <m:e>
              <m:r>
                <m:rPr>
                  <m:sty m:val="b"/>
                </m:rPr>
                <w:rPr>
                  <w:rFonts w:ascii="Cambria Math" w:hAnsi="Cambria Math"/>
                </w:rPr>
                <m:t>R</m:t>
              </m:r>
            </m:e>
            <m:sub>
              <m:r>
                <w:rPr>
                  <w:rFonts w:ascii="Cambria Math" w:hAnsi="Cambria Math"/>
                </w:rPr>
                <m:t>1</m:t>
              </m:r>
            </m:sub>
          </m:sSub>
          <m:r>
            <m:rPr>
              <m:sty m:val="bi"/>
            </m:rPr>
            <w:rPr>
              <w:rFonts w:ascii="Cambria Math" w:hAnsi="Cambria Math"/>
            </w:rPr>
            <m:t>≜</m:t>
          </m:r>
          <m:d>
            <m:dPr>
              <m:begChr m:val="["/>
              <m:endChr m:val="]"/>
              <m:ctrlPr>
                <w:rPr>
                  <w:rFonts w:ascii="Cambria Math" w:hAnsi="Cambria Math"/>
                  <w:b/>
                  <w:bCs/>
                  <w:i/>
                  <w:iCs/>
                </w:rPr>
              </m:ctrlPr>
            </m:dPr>
            <m:e>
              <m:m>
                <m:mPr>
                  <m:mcs>
                    <m:mc>
                      <m:mcPr>
                        <m:count m:val="3"/>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mr>
              </m:m>
            </m:e>
          </m:d>
          <m:r>
            <m:rPr>
              <m:sty m:val="bi"/>
            </m:rPr>
            <w:rPr>
              <w:rFonts w:ascii="Cambria Math" w:hAnsi="Cambria Math"/>
            </w:rPr>
            <m:t>.</m:t>
          </m:r>
        </m:oMath>
      </m:oMathPara>
    </w:p>
    <w:p w14:paraId="66C3DB24" w14:textId="110570F5" w:rsidR="00D70F20" w:rsidRPr="00D55D0C" w:rsidRDefault="00D70F20" w:rsidP="00D70F20">
      <w:pPr>
        <w:pStyle w:val="Heading3"/>
      </w:pPr>
      <w:r>
        <w:t>5.1</w:t>
      </w:r>
      <w:r w:rsidRPr="00D55D0C">
        <w:t>.2</w:t>
      </w:r>
      <w:r w:rsidRPr="00D55D0C">
        <w:tab/>
        <w:t>ICI filter approximation approach</w:t>
      </w:r>
    </w:p>
    <w:p w14:paraId="02BADAE2" w14:textId="639F5FFC" w:rsidR="00D70F20" w:rsidRDefault="00D70F20" w:rsidP="00D70F20">
      <w:pPr>
        <w:pStyle w:val="BodyText"/>
      </w:pPr>
      <w:r>
        <w:t xml:space="preserve">In the ICI filter approximation approach,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induced by the phase noise is estimated first. The received signal is then filtered by the conjugate reverse of the estimated ICI filter </w:t>
      </w:r>
      <w:r w:rsidR="00A63F96">
        <w:fldChar w:fldCharType="begin"/>
      </w:r>
      <w:r w:rsidR="00A63F96">
        <w:instrText xml:space="preserve"> REF _Ref53745985 \r \h </w:instrText>
      </w:r>
      <w:r w:rsidR="00A63F96">
        <w:fldChar w:fldCharType="separate"/>
      </w:r>
      <w:r w:rsidR="001F388A">
        <w:t>[4]</w:t>
      </w:r>
      <w:r w:rsidR="00A63F96">
        <w:fldChar w:fldCharType="end"/>
      </w:r>
      <w:r>
        <w:t xml:space="preserve">. To estimate the ICI filter, two sub-approaches have been investigated in the literature. The first sub-approach as discussed in </w:t>
      </w:r>
      <w:r w:rsidR="00A63F96">
        <w:t xml:space="preserve"> </w:t>
      </w:r>
      <w:r w:rsidR="00A63F96">
        <w:fldChar w:fldCharType="begin"/>
      </w:r>
      <w:r w:rsidR="00A63F96">
        <w:instrText xml:space="preserve"> REF _Ref53749270 \r \h </w:instrText>
      </w:r>
      <w:r w:rsidR="00A63F96">
        <w:fldChar w:fldCharType="separate"/>
      </w:r>
      <w:r w:rsidR="001F388A">
        <w:t>[5]</w:t>
      </w:r>
      <w:r w:rsidR="00A63F96">
        <w:fldChar w:fldCharType="end"/>
      </w:r>
      <w:r w:rsidR="00A63F96">
        <w:t xml:space="preserve"> </w:t>
      </w:r>
      <w:r w:rsidDel="00A63F96">
        <w:t>r</w:t>
      </w:r>
      <w:r>
        <w:t xml:space="preserve">elies on decision feedback of the data sub-carriers to assist the ICI filter estimation. The second sub-approach assumes the availability of known symbols in a block of contiguous sub-carriers </w:t>
      </w:r>
      <w:r w:rsidR="00F47B03">
        <w:fldChar w:fldCharType="begin"/>
      </w:r>
      <w:r w:rsidR="00F47B03">
        <w:instrText xml:space="preserve"> REF _Ref53749270 \r \h </w:instrText>
      </w:r>
      <w:r w:rsidR="00F47B03">
        <w:fldChar w:fldCharType="separate"/>
      </w:r>
      <w:r w:rsidR="001F388A">
        <w:t>[5]</w:t>
      </w:r>
      <w:r w:rsidR="00F47B03">
        <w:fldChar w:fldCharType="end"/>
      </w:r>
      <w:r w:rsidR="00F47B03">
        <w:t xml:space="preserve">. </w:t>
      </w:r>
      <w:r>
        <w:t>The first approach requires high computational complexity and is unlikely to be suitable for high data rate use cases for NR operation in 52.6 to 71 GHz. We explore the second sub-approach in the following.</w:t>
      </w:r>
    </w:p>
    <w:p w14:paraId="556BCBAB" w14:textId="77777777" w:rsidR="00D70F20" w:rsidRDefault="00D70F20" w:rsidP="00D70F20">
      <w:pPr>
        <w:pStyle w:val="BodyText"/>
      </w:pPr>
      <w:r>
        <w:t xml:space="preserve">Let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+M-1}</m:t>
        </m:r>
      </m:oMath>
      <w:r>
        <w:t xml:space="preserve"> denote the sub-carrier indices of the block of </w:t>
      </w:r>
      <m:oMath>
        <m:r>
          <w:rPr>
            <w:rFonts w:ascii="Cambria Math" w:hAnsi="Cambria Math"/>
          </w:rPr>
          <m:t>M</m:t>
        </m:r>
      </m:oMath>
      <w:r>
        <w:t xml:space="preserve"> contiguous known symbols. The object is to estimate a </w:t>
      </w:r>
      <m:oMath>
        <m:d>
          <m:dPr>
            <m:ctrlPr>
              <w:rPr>
                <w:rFonts w:ascii="Cambria Math" w:hAnsi="Cambria Math"/>
                <w:i/>
              </w:rPr>
            </m:ctrlPr>
          </m:dPr>
          <m:e>
            <m:r>
              <w:rPr>
                <w:rFonts w:ascii="Cambria Math" w:hAnsi="Cambria Math"/>
              </w:rPr>
              <m:t>2u+1</m:t>
            </m:r>
          </m:e>
        </m:d>
      </m:oMath>
      <w:r>
        <w:t>-tap filter such that</w:t>
      </w:r>
    </w:p>
    <w:p w14:paraId="2371487A" w14:textId="77777777" w:rsidR="00D70F20" w:rsidRDefault="00DE66A9" w:rsidP="00D70F20">
      <w:pPr>
        <w:pStyle w:val="BodyText"/>
      </w:pPr>
      <m:oMathPara>
        <m:oMath>
          <m:nary>
            <m:naryPr>
              <m:chr m:val="∑"/>
              <m:limLoc m:val="undOvr"/>
              <m:ctrlPr>
                <w:rPr>
                  <w:rFonts w:ascii="Cambria Math" w:hAnsi="Cambria Math"/>
                  <w:i/>
                </w:rPr>
              </m:ctrlPr>
            </m:naryPr>
            <m:sub>
              <m:r>
                <w:rPr>
                  <w:rFonts w:ascii="Cambria Math" w:hAnsi="Cambria Math"/>
                </w:rPr>
                <m:t>m=-u</m:t>
              </m:r>
            </m:sub>
            <m:sup>
              <m:r>
                <w:rPr>
                  <w:rFonts w:ascii="Cambria Math" w:hAnsi="Cambria Math"/>
                </w:rPr>
                <m:t>u</m:t>
              </m:r>
            </m:sup>
            <m:e>
              <m:sSub>
                <m:sSubPr>
                  <m:ctrlPr>
                    <w:rPr>
                      <w:rFonts w:ascii="Cambria Math" w:hAnsi="Cambria Math"/>
                      <w:i/>
                    </w:rPr>
                  </m:ctrlPr>
                </m:sSubPr>
                <m:e>
                  <m:r>
                    <w:rPr>
                      <w:rFonts w:ascii="Cambria Math" w:hAnsi="Cambria Math"/>
                    </w:rPr>
                    <m:t>b</m:t>
                  </m:r>
                </m:e>
                <m:sub>
                  <m:r>
                    <w:rPr>
                      <w:rFonts w:ascii="Cambria Math" w:hAnsi="Cambria Math"/>
                    </w:rPr>
                    <m:t>m</m:t>
                  </m:r>
                </m:sub>
              </m:sSub>
              <m:sSub>
                <m:sSubPr>
                  <m:ctrlPr>
                    <w:rPr>
                      <w:rFonts w:ascii="Cambria Math" w:hAnsi="Cambria Math"/>
                      <w:i/>
                    </w:rPr>
                  </m:ctrlPr>
                </m:sSubPr>
                <m:e>
                  <m:r>
                    <w:rPr>
                      <w:rFonts w:ascii="Cambria Math" w:hAnsi="Cambria Math"/>
                    </w:rPr>
                    <m:t>H</m:t>
                  </m:r>
                </m:e>
                <m:sub>
                  <m:r>
                    <w:rPr>
                      <w:rFonts w:ascii="Cambria Math" w:hAnsi="Cambria Math"/>
                    </w:rPr>
                    <m:t>k-m</m:t>
                  </m:r>
                </m:sub>
              </m:sSub>
              <m:sSub>
                <m:sSubPr>
                  <m:ctrlPr>
                    <w:rPr>
                      <w:rFonts w:ascii="Cambria Math" w:hAnsi="Cambria Math"/>
                      <w:i/>
                    </w:rPr>
                  </m:ctrlPr>
                </m:sSubPr>
                <m:e>
                  <m:r>
                    <w:rPr>
                      <w:rFonts w:ascii="Cambria Math" w:hAnsi="Cambria Math"/>
                    </w:rPr>
                    <m:t>S</m:t>
                  </m:r>
                </m:e>
                <m:sub>
                  <m:r>
                    <w:rPr>
                      <w:rFonts w:ascii="Cambria Math" w:hAnsi="Cambria Math"/>
                    </w:rPr>
                    <m:t>k-m</m:t>
                  </m:r>
                </m:sub>
              </m:sSub>
            </m:e>
          </m:nary>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+M-u-1}.</m:t>
          </m:r>
        </m:oMath>
      </m:oMathPara>
    </w:p>
    <w:p w14:paraId="4BF62345" w14:textId="77777777" w:rsidR="00D70F20" w:rsidRDefault="00D70F20" w:rsidP="00D70F20">
      <w:pPr>
        <w:pStyle w:val="BodyText"/>
      </w:pPr>
      <w:r>
        <w:lastRenderedPageBreak/>
        <w:t xml:space="preserve">Note that there are only </w:t>
      </w:r>
      <m:oMath>
        <m:r>
          <w:rPr>
            <w:rFonts w:ascii="Cambria Math" w:hAnsi="Cambria Math"/>
          </w:rPr>
          <m:t>M-2u</m:t>
        </m:r>
      </m:oMath>
      <w:r>
        <w:t xml:space="preserve"> equations in the above because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t xml:space="preserve"> is not known if </w:t>
      </w:r>
      <m:oMath>
        <m:r>
          <w:rPr>
            <w:rFonts w:ascii="Cambria Math" w:hAnsi="Cambria Math"/>
          </w:rPr>
          <m:t>k&lt;</m:t>
        </m:r>
        <m:sSub>
          <m:sSubPr>
            <m:ctrlPr>
              <w:rPr>
                <w:rFonts w:ascii="Cambria Math" w:hAnsi="Cambria Math"/>
                <w:i/>
              </w:rPr>
            </m:ctrlPr>
          </m:sSubPr>
          <m:e>
            <m:r>
              <w:rPr>
                <w:rFonts w:ascii="Cambria Math" w:hAnsi="Cambria Math"/>
              </w:rPr>
              <m:t>k</m:t>
            </m:r>
          </m:e>
          <m:sub>
            <m:r>
              <w:rPr>
                <w:rFonts w:ascii="Cambria Math" w:hAnsi="Cambria Math"/>
              </w:rPr>
              <m:t>0</m:t>
            </m:r>
          </m:sub>
        </m:sSub>
      </m:oMath>
      <w:r>
        <w:t xml:space="preserve"> or </w:t>
      </w:r>
      <m:oMath>
        <m:r>
          <w:rPr>
            <w:rFonts w:ascii="Cambria Math" w:hAnsi="Cambria Math"/>
          </w:rPr>
          <m:t>k&gt;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+M-1</m:t>
        </m:r>
      </m:oMath>
      <w:r>
        <w:t xml:space="preserve">. In comparison, the direct de-ICI filtering approach in last section always utilizes </w:t>
      </w:r>
      <m:oMath>
        <m:r>
          <w:rPr>
            <w:rFonts w:ascii="Cambria Math" w:hAnsi="Cambria Math"/>
          </w:rPr>
          <m:t>M</m:t>
        </m:r>
      </m:oMath>
      <w:r>
        <w:t xml:space="preserve"> equations for the </w:t>
      </w:r>
      <m:oMath>
        <m:r>
          <w:rPr>
            <w:rFonts w:ascii="Cambria Math" w:hAnsi="Cambria Math"/>
          </w:rPr>
          <m:t>N</m:t>
        </m:r>
      </m:oMath>
      <w:r>
        <w:t xml:space="preserve"> known reference symbols regardless of the value of </w:t>
      </w:r>
      <m:oMath>
        <m:r>
          <w:rPr>
            <w:rFonts w:ascii="Cambria Math" w:hAnsi="Cambria Math"/>
          </w:rPr>
          <m:t>u</m:t>
        </m:r>
      </m:oMath>
      <w:r>
        <w:t>. That is, given the same amount of reference symbols, the direct de-ICI filtering approach in the last section has higher reference symbol efficiency than the ICI filter approximation approach in this section.</w:t>
      </w:r>
    </w:p>
    <w:p w14:paraId="3CB3FBB0" w14:textId="77777777" w:rsidR="00D70F20" w:rsidRDefault="00D70F20" w:rsidP="00D70F20">
      <w:pPr>
        <w:pStyle w:val="BodyText"/>
      </w:pPr>
      <w:r>
        <w:t>The finite tap approximation of the ICI filter can be obtained from minimizing the following residue sum of squares:</w:t>
      </w:r>
    </w:p>
    <w:p w14:paraId="5FCB5ECF" w14:textId="77777777" w:rsidR="00D70F20" w:rsidRPr="00114274" w:rsidRDefault="00DE66A9" w:rsidP="00D70F20">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+M-2</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+M-2</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+M-2u-1</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-u</m:t>
                              </m:r>
                            </m:sub>
                          </m:sSub>
                        </m:e>
                        <m:e>
                          <m:sSub>
                            <m:sSubPr>
                              <m:ctrlPr>
                                <w:rPr>
                                  <w:rFonts w:ascii="Cambria Math" w:hAnsi="Cambria Math"/>
                                  <w:i/>
                                </w:rPr>
                              </m:ctrlPr>
                            </m:sSubPr>
                            <m:e>
                              <m:r>
                                <w:rPr>
                                  <w:rFonts w:ascii="Cambria Math" w:hAnsi="Cambria Math"/>
                                </w:rPr>
                                <m:t>b</m:t>
                              </m:r>
                            </m:e>
                            <m: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eastAsia="Cambria Math" w:hAnsi="Cambria Math" w:cs="Cambria Math"/>
                                  <w:i/>
                                </w:rPr>
                              </m:ctrlPr>
                            </m:sSubPr>
                            <m:e>
                              <m:r>
                                <w:rPr>
                                  <w:rFonts w:ascii="Cambria Math" w:hAnsi="Cambria Math"/>
                                </w:rPr>
                                <m:t>b</m:t>
                              </m:r>
                            </m:e>
                            <m:sub>
                              <m:r>
                                <w:rPr>
                                  <w:rFonts w:ascii="Cambria Math" w:eastAsia="Cambria Math" w:hAnsi="Cambria Math" w:cs="Cambria Math"/>
                                </w:rPr>
                                <m:t>u</m:t>
                              </m:r>
                            </m:sub>
                          </m:sSub>
                        </m:e>
                      </m:eqAr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+u+1</m:t>
                              </m:r>
                            </m:sub>
                          </m:sSub>
                          <m:ctrlPr>
                            <w:rPr>
                              <w:rFonts w:ascii="Cambria Math" w:eastAsia="Cambria Math" w:hAnsi="Cambria Math" w:cs="Cambria Math"/>
                              <w:i/>
                            </w:rPr>
                          </m:ctrlPr>
                        </m:e>
                        <m:e>
                          <m:r>
                            <m:rPr>
                              <m:sty m:val="bi"/>
                            </m:rPr>
                            <w:rPr>
                              <w:rFonts w:ascii="Cambria Math" w:hAnsi="Cambria Math"/>
                            </w:rPr>
                            <m:t>⋮</m:t>
                          </m:r>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+M-u-1</m:t>
                              </m:r>
                            </m:sub>
                          </m:sSub>
                        </m:e>
                      </m:eqArr>
                    </m:e>
                  </m:d>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sSub>
                    <m:sSubPr>
                      <m:ctrlPr>
                        <w:rPr>
                          <w:rFonts w:ascii="Cambria Math" w:hAnsi="Cambria Math"/>
                          <w:b/>
                          <w:bCs/>
                        </w:rPr>
                      </m:ctrlPr>
                    </m:sSubPr>
                    <m:e>
                      <m:r>
                        <m:rPr>
                          <m:sty m:val="b"/>
                        </m:rPr>
                        <w:rPr>
                          <w:rFonts w:ascii="Cambria Math" w:hAnsi="Cambria Math"/>
                        </w:rPr>
                        <m:t>b</m:t>
                      </m:r>
                    </m:e>
                    <m:sub>
                      <m:r>
                        <m:rPr>
                          <m:sty m:val="p"/>
                        </m:rPr>
                        <w:rPr>
                          <w:rFonts w:ascii="Cambria Math" w:hAnsi="Cambria Math"/>
                        </w:rPr>
                        <m:t>u</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r</m:t>
                      </m:r>
                    </m:e>
                    <m:sub>
                      <m:r>
                        <w:rPr>
                          <w:rFonts w:ascii="Cambria Math" w:hAnsi="Cambria Math"/>
                        </w:rPr>
                        <m:t>u</m:t>
                      </m:r>
                    </m:sub>
                  </m:sSub>
                </m:e>
              </m:d>
            </m:e>
            <m:sup>
              <m:r>
                <w:rPr>
                  <w:rFonts w:ascii="Cambria Math" w:hAnsi="Cambria Math"/>
                </w:rPr>
                <m:t>2</m:t>
              </m:r>
            </m:sup>
          </m:sSup>
        </m:oMath>
      </m:oMathPara>
    </w:p>
    <w:p w14:paraId="18011D2B" w14:textId="77777777" w:rsidR="00D70F20" w:rsidRDefault="00D70F20" w:rsidP="00D70F20">
      <w:pPr>
        <w:pStyle w:val="BodyText"/>
      </w:pPr>
      <w:r>
        <w:t>This is a least square problem with solution given by</w:t>
      </w:r>
    </w:p>
    <w:p w14:paraId="7DC8B8A9" w14:textId="77777777" w:rsidR="00D70F20" w:rsidRPr="003D236B" w:rsidRDefault="00DE66A9" w:rsidP="00D70F20">
      <w:pPr>
        <w:pStyle w:val="BodyText"/>
        <w:rPr>
          <w:b/>
          <w:bCs/>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rPr>
              </m:ctrlPr>
            </m:sSubPr>
            <m:e>
              <m:r>
                <m:rPr>
                  <m:sty m:val="b"/>
                </m:rPr>
                <w:rPr>
                  <w:rFonts w:ascii="Cambria Math" w:hAnsi="Cambria Math"/>
                </w:rPr>
                <m:t>r</m:t>
              </m:r>
            </m:e>
            <m:sub>
              <m:r>
                <w:rPr>
                  <w:rFonts w:ascii="Cambria Math" w:hAnsi="Cambria Math"/>
                </w:rPr>
                <m:t>u</m:t>
              </m:r>
            </m:sub>
          </m:sSub>
          <m:r>
            <w:rPr>
              <w:rFonts w:ascii="Cambria Math" w:hAnsi="Cambria Math"/>
            </w:rPr>
            <m:t>.</m:t>
          </m:r>
        </m:oMath>
      </m:oMathPara>
    </w:p>
    <w:p w14:paraId="18611486" w14:textId="77777777" w:rsidR="00D70F20" w:rsidRDefault="00D70F20" w:rsidP="00D70F20">
      <w:pPr>
        <w:pStyle w:val="BodyText"/>
      </w:pPr>
      <w:r>
        <w:t xml:space="preserve">The dimension of the matrix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oMath>
      <w:r>
        <w:t xml:space="preserve"> is also </w:t>
      </w:r>
      <m:oMath>
        <m:d>
          <m:dPr>
            <m:ctrlPr>
              <w:rPr>
                <w:rFonts w:ascii="Cambria Math" w:hAnsi="Cambria Math"/>
                <w:i/>
              </w:rPr>
            </m:ctrlPr>
          </m:dPr>
          <m:e>
            <m:r>
              <w:rPr>
                <w:rFonts w:ascii="Cambria Math" w:hAnsi="Cambria Math"/>
              </w:rPr>
              <m:t>2u+1</m:t>
            </m:r>
          </m:e>
        </m:d>
        <m:r>
          <w:rPr>
            <w:rFonts w:ascii="Cambria Math" w:hAnsi="Cambria Math"/>
          </w:rPr>
          <m:t>×</m:t>
        </m:r>
        <m:d>
          <m:dPr>
            <m:ctrlPr>
              <w:rPr>
                <w:rFonts w:ascii="Cambria Math" w:hAnsi="Cambria Math"/>
                <w:i/>
              </w:rPr>
            </m:ctrlPr>
          </m:dPr>
          <m:e>
            <m:r>
              <w:rPr>
                <w:rFonts w:ascii="Cambria Math" w:hAnsi="Cambria Math"/>
              </w:rPr>
              <m:t>2u+1</m:t>
            </m:r>
          </m:e>
        </m:d>
      </m:oMath>
      <w:r>
        <w:t xml:space="preserve">. To avoid the least square problem becoming under-determined, it is necessary that </w:t>
      </w:r>
      <m:oMath>
        <m:r>
          <w:rPr>
            <w:rFonts w:ascii="Cambria Math" w:hAnsi="Cambria Math"/>
          </w:rPr>
          <m:t>M-2u≥2u+1</m:t>
        </m:r>
      </m:oMath>
      <w:r>
        <w:t xml:space="preserve">. That is, to estimate a </w:t>
      </w:r>
      <m:oMath>
        <m:d>
          <m:dPr>
            <m:ctrlPr>
              <w:rPr>
                <w:rFonts w:ascii="Cambria Math" w:hAnsi="Cambria Math"/>
                <w:i/>
              </w:rPr>
            </m:ctrlPr>
          </m:dPr>
          <m:e>
            <m:r>
              <w:rPr>
                <w:rFonts w:ascii="Cambria Math" w:hAnsi="Cambria Math"/>
              </w:rPr>
              <m:t>2u+1</m:t>
            </m:r>
          </m:e>
        </m:d>
      </m:oMath>
      <w:r>
        <w:t xml:space="preserve">-tap approximation of the ICI filter, the block size of contiguous known symbols should satisfy </w:t>
      </w:r>
      <m:oMath>
        <m:r>
          <w:rPr>
            <w:rFonts w:ascii="Cambria Math" w:hAnsi="Cambria Math"/>
          </w:rPr>
          <m:t>M≥4u+1</m:t>
        </m:r>
      </m:oMath>
      <w:r>
        <w:t xml:space="preserve"> and therefore must at least be roughly twice the length of the estimated ICI filter.</w:t>
      </w:r>
    </w:p>
    <w:p w14:paraId="5F5D0629" w14:textId="100D464A" w:rsidR="00D70F20" w:rsidRDefault="00D70F20">
      <w:pPr>
        <w:pStyle w:val="BodyText"/>
      </w:pPr>
      <w:r>
        <w:t>To compensate the ICI</w:t>
      </w:r>
      <w:r w:rsidR="001B4897">
        <w:t xml:space="preserve"> </w:t>
      </w:r>
      <w:r w:rsidR="001B4897">
        <w:fldChar w:fldCharType="begin"/>
      </w:r>
      <w:r w:rsidR="001B4897">
        <w:instrText xml:space="preserve"> REF _Ref53745985 \r \h </w:instrText>
      </w:r>
      <w:r w:rsidR="001B4897">
        <w:fldChar w:fldCharType="separate"/>
      </w:r>
      <w:r w:rsidR="001F388A">
        <w:t>[4]</w:t>
      </w:r>
      <w:r w:rsidR="001B4897">
        <w:fldChar w:fldCharType="end"/>
      </w:r>
      <w:r w:rsidR="001B4897">
        <w:fldChar w:fldCharType="begin"/>
      </w:r>
      <w:r w:rsidR="001B4897">
        <w:instrText xml:space="preserve"> REF _Ref53749270 \r \h </w:instrText>
      </w:r>
      <w:r w:rsidR="001B4897">
        <w:fldChar w:fldCharType="separate"/>
      </w:r>
      <w:r w:rsidR="001F388A">
        <w:t>[5]</w:t>
      </w:r>
      <w:r w:rsidR="001B4897">
        <w:fldChar w:fldCharType="end"/>
      </w:r>
      <w:r>
        <w:t xml:space="preserve">, the received signal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oMath>
      <w:r>
        <w:t xml:space="preserve"> is filtered by the conjugate-reverse of the estimated filter coefficients </w:t>
      </w:r>
      <m:oMath>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b</m:t>
                </m:r>
              </m:e>
            </m:acc>
          </m:e>
          <m:sub>
            <m:r>
              <w:rPr>
                <w:rFonts w:ascii="Cambria Math" w:hAnsi="Cambria Math"/>
              </w:rPr>
              <m:t>u</m:t>
            </m:r>
          </m:sub>
          <m:sup>
            <m:r>
              <w:rPr>
                <w:rFonts w:ascii="Cambria Math" w:hAnsi="Cambria Math"/>
              </w:rPr>
              <m:t>*</m:t>
            </m:r>
          </m:sup>
        </m:sSubSup>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b</m:t>
                </m:r>
              </m:e>
            </m:acc>
          </m:e>
          <m:sub>
            <m:r>
              <w:rPr>
                <w:rFonts w:ascii="Cambria Math" w:hAnsi="Cambria Math"/>
              </w:rPr>
              <m:t>u-1</m:t>
            </m:r>
          </m:sub>
          <m:sup>
            <m:r>
              <w:rPr>
                <w:rFonts w:ascii="Cambria Math" w:hAnsi="Cambria Math"/>
              </w:rPr>
              <m:t>*</m:t>
            </m:r>
          </m:sup>
        </m:sSubSup>
        <m:r>
          <w:rPr>
            <w:rFonts w:ascii="Cambria Math" w:hAnsi="Cambria Math"/>
          </w:rPr>
          <m:t xml:space="preserve">, …, </m:t>
        </m:r>
        <m:sSubSup>
          <m:sSubSupPr>
            <m:ctrlPr>
              <w:rPr>
                <w:rFonts w:ascii="Cambria Math" w:hAnsi="Cambria Math"/>
                <w:i/>
              </w:rPr>
            </m:ctrlPr>
          </m:sSubSupPr>
          <m:e>
            <m:acc>
              <m:accPr>
                <m:ctrlPr>
                  <w:rPr>
                    <w:rFonts w:ascii="Cambria Math" w:hAnsi="Cambria Math"/>
                    <w:i/>
                  </w:rPr>
                </m:ctrlPr>
              </m:accPr>
              <m:e>
                <m:r>
                  <w:rPr>
                    <w:rFonts w:ascii="Cambria Math" w:hAnsi="Cambria Math"/>
                  </w:rPr>
                  <m:t>b</m:t>
                </m:r>
              </m:e>
            </m:acc>
          </m:e>
          <m:sub>
            <m:r>
              <w:rPr>
                <w:rFonts w:ascii="Cambria Math" w:hAnsi="Cambria Math"/>
              </w:rPr>
              <m:t>-u</m:t>
            </m:r>
          </m:sub>
          <m:sup>
            <m:r>
              <w:rPr>
                <w:rFonts w:ascii="Cambria Math" w:hAnsi="Cambria Math"/>
              </w:rPr>
              <m:t>*</m:t>
            </m:r>
          </m:sup>
        </m:sSubSup>
        <m:r>
          <w:rPr>
            <w:rFonts w:ascii="Cambria Math" w:hAnsi="Cambria Math"/>
          </w:rPr>
          <m:t>}</m:t>
        </m:r>
      </m:oMath>
      <w:r>
        <w:t xml:space="preserve"> and then fed to the OFDM demodulator. This implicitly assumes the convolution of the true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t xml:space="preserve"> and the conjugate reverse of the estimated ICI filter is approximately a unit impulse response </w:t>
      </w:r>
      <w:r w:rsidR="005A73B9">
        <w:fldChar w:fldCharType="begin"/>
      </w:r>
      <w:r w:rsidR="005A73B9">
        <w:instrText xml:space="preserve"> REF _Ref53745985 \r \h </w:instrText>
      </w:r>
      <w:r w:rsidR="005A73B9">
        <w:fldChar w:fldCharType="separate"/>
      </w:r>
      <w:r w:rsidR="001F388A">
        <w:t>[4]</w:t>
      </w:r>
      <w:r w:rsidR="005A73B9">
        <w:fldChar w:fldCharType="end"/>
      </w:r>
      <w:r w:rsidR="00A96B56">
        <w:t>.</w:t>
      </w:r>
    </w:p>
    <w:p w14:paraId="347ED5A8" w14:textId="77777777" w:rsidR="00A52E33" w:rsidRDefault="00A52E33">
      <w:pPr>
        <w:pStyle w:val="BodyText"/>
      </w:pPr>
    </w:p>
    <w:p w14:paraId="6A270AA2" w14:textId="41ACBD9E" w:rsidR="00A52E33" w:rsidRDefault="00A52E33" w:rsidP="00A52E33">
      <w:pPr>
        <w:pStyle w:val="Heading1"/>
        <w:keepLines w:val="0"/>
        <w:numPr>
          <w:ilvl w:val="0"/>
          <w:numId w:val="1"/>
        </w:numPr>
        <w:pBdr>
          <w:top w:val="none" w:sz="0" w:space="0" w:color="auto"/>
        </w:pBdr>
        <w:spacing w:before="0" w:after="240"/>
        <w:ind w:right="284" w:hanging="720"/>
      </w:pPr>
      <w:r>
        <w:t>Annex – Clustered PT-RS Structure</w:t>
      </w:r>
    </w:p>
    <w:p w14:paraId="411305D3" w14:textId="3D495E32" w:rsidR="00A52E33" w:rsidRPr="00D55D0C" w:rsidRDefault="00A52E33" w:rsidP="00A52E33">
      <w:pPr>
        <w:pStyle w:val="BodyText"/>
      </w:pPr>
      <w:r>
        <w:t>In</w:t>
      </w:r>
      <w:r w:rsidRPr="00D55D0C">
        <w:t xml:space="preserve"> order for the ICI filter estimation approach in </w:t>
      </w:r>
      <w:r>
        <w:t>Annex</w:t>
      </w:r>
      <w:r w:rsidRPr="000B51B8">
        <w:t xml:space="preserve"> </w:t>
      </w:r>
      <w:r>
        <w:t>5.1.</w:t>
      </w:r>
      <w:r w:rsidRPr="00D55D0C">
        <w:t>2 to work, the PT-RSs need to be organized differently than the distributed structure in Rel-15 NR. As proposed in</w:t>
      </w:r>
      <w:r>
        <w:t xml:space="preserve"> </w:t>
      </w:r>
      <w:r>
        <w:fldChar w:fldCharType="begin"/>
      </w:r>
      <w:r>
        <w:instrText xml:space="preserve"> REF _Ref53745985 \r \h </w:instrText>
      </w:r>
      <w:r>
        <w:fldChar w:fldCharType="separate"/>
      </w:r>
      <w:r w:rsidR="001F388A">
        <w:t>[4]</w:t>
      </w:r>
      <w:r>
        <w:fldChar w:fldCharType="end"/>
      </w:r>
      <w:r w:rsidRPr="00D55D0C">
        <w:t xml:space="preserve">, PT-RSs should be clustered into blocks. One straightforward solution is to have a cluster with as many PT-RSs as in Rel-15 NR. However, for a dispersive channel, it would be beneficial to have several clusters (with fewer PT-RSs each) that are separated in the frequency domain to capture frequency diversity. As illustrated in </w:t>
      </w:r>
      <w:r w:rsidRPr="00D55D0C">
        <w:fldChar w:fldCharType="begin"/>
      </w:r>
      <w:r w:rsidRPr="00D55D0C">
        <w:instrText xml:space="preserve"> REF _Ref47619350 \h  \* MERGEFORMAT </w:instrText>
      </w:r>
      <w:r w:rsidRPr="00D55D0C">
        <w:fldChar w:fldCharType="separate"/>
      </w:r>
      <w:r w:rsidR="001F388A" w:rsidRPr="001F388A">
        <w:t>Figure 12</w:t>
      </w:r>
      <w:r w:rsidRPr="00D55D0C">
        <w:fldChar w:fldCharType="end"/>
      </w:r>
      <w:r w:rsidRPr="00D55D0C">
        <w:t>, we investigate this generalized clustered PT-RS structure where there are N PT-RS clusters and each cluster consists of M PT-RSs.</w:t>
      </w:r>
    </w:p>
    <w:p w14:paraId="11D34A65" w14:textId="77777777" w:rsidR="00A52E33" w:rsidRPr="00D55D0C" w:rsidRDefault="00A52E33" w:rsidP="00A52E33">
      <w:pPr>
        <w:pStyle w:val="BodyText"/>
        <w:keepNext/>
        <w:jc w:val="center"/>
      </w:pPr>
      <w:r w:rsidRPr="00D55D0C">
        <w:rPr>
          <w:noProof/>
        </w:rPr>
        <w:drawing>
          <wp:inline distT="0" distB="0" distL="0" distR="0" wp14:anchorId="3ECF5C43" wp14:editId="3413404C">
            <wp:extent cx="3474720" cy="207734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74720" cy="2077346"/>
                    </a:xfrm>
                    <a:prstGeom prst="rect">
                      <a:avLst/>
                    </a:prstGeom>
                  </pic:spPr>
                </pic:pic>
              </a:graphicData>
            </a:graphic>
          </wp:inline>
        </w:drawing>
      </w:r>
    </w:p>
    <w:p w14:paraId="71D9B6E4" w14:textId="742520F8" w:rsidR="00A52E33" w:rsidRPr="00AC3694" w:rsidRDefault="00A52E33" w:rsidP="00A52E33">
      <w:pPr>
        <w:pStyle w:val="Caption"/>
        <w:jc w:val="center"/>
        <w:rPr>
          <w:rFonts w:asciiTheme="majorBidi" w:hAnsiTheme="majorBidi" w:cstheme="majorBidi"/>
          <w:i w:val="0"/>
          <w:iCs w:val="0"/>
          <w:color w:val="auto"/>
        </w:rPr>
      </w:pPr>
      <w:bookmarkStart w:id="54" w:name="_Ref47619350"/>
      <w:r w:rsidRPr="00AC3694">
        <w:rPr>
          <w:rFonts w:asciiTheme="majorBidi" w:hAnsiTheme="majorBidi" w:cstheme="majorBidi"/>
          <w:i w:val="0"/>
          <w:iCs w:val="0"/>
          <w:color w:val="auto"/>
        </w:rPr>
        <w:t xml:space="preserve">Figure </w:t>
      </w:r>
      <w:r w:rsidRPr="00AC3694">
        <w:rPr>
          <w:rFonts w:asciiTheme="majorBidi" w:hAnsiTheme="majorBidi" w:cstheme="majorBidi"/>
          <w:i w:val="0"/>
          <w:iCs w:val="0"/>
          <w:color w:val="auto"/>
        </w:rPr>
        <w:fldChar w:fldCharType="begin"/>
      </w:r>
      <w:r w:rsidRPr="00AC3694">
        <w:rPr>
          <w:rFonts w:asciiTheme="majorBidi" w:hAnsiTheme="majorBidi" w:cstheme="majorBidi"/>
          <w:i w:val="0"/>
          <w:iCs w:val="0"/>
          <w:color w:val="auto"/>
        </w:rPr>
        <w:instrText xml:space="preserve"> SEQ Figure \* ARABIC </w:instrText>
      </w:r>
      <w:r w:rsidRPr="00AC3694">
        <w:rPr>
          <w:rFonts w:asciiTheme="majorBidi" w:hAnsiTheme="majorBidi" w:cstheme="majorBidi"/>
          <w:i w:val="0"/>
          <w:iCs w:val="0"/>
          <w:color w:val="auto"/>
        </w:rPr>
        <w:fldChar w:fldCharType="separate"/>
      </w:r>
      <w:r w:rsidR="001F388A">
        <w:rPr>
          <w:rFonts w:asciiTheme="majorBidi" w:hAnsiTheme="majorBidi" w:cstheme="majorBidi"/>
          <w:i w:val="0"/>
          <w:iCs w:val="0"/>
          <w:noProof/>
          <w:color w:val="auto"/>
        </w:rPr>
        <w:t>12</w:t>
      </w:r>
      <w:r w:rsidRPr="00AC3694">
        <w:rPr>
          <w:rFonts w:asciiTheme="majorBidi" w:hAnsiTheme="majorBidi" w:cstheme="majorBidi"/>
          <w:i w:val="0"/>
          <w:iCs w:val="0"/>
          <w:noProof/>
          <w:color w:val="auto"/>
        </w:rPr>
        <w:fldChar w:fldCharType="end"/>
      </w:r>
      <w:bookmarkEnd w:id="54"/>
      <w:r w:rsidRPr="00AC3694">
        <w:rPr>
          <w:rFonts w:asciiTheme="majorBidi" w:hAnsiTheme="majorBidi" w:cstheme="majorBidi"/>
          <w:i w:val="0"/>
          <w:iCs w:val="0"/>
          <w:color w:val="auto"/>
        </w:rPr>
        <w:t>: Clustered PT-RS structure in one OFDM symbol</w:t>
      </w:r>
    </w:p>
    <w:p w14:paraId="484A3D7E" w14:textId="77777777" w:rsidR="00A52E33" w:rsidRPr="00D55D0C" w:rsidRDefault="00A52E33" w:rsidP="00A52E33">
      <w:pPr>
        <w:pStyle w:val="BodyText"/>
      </w:pPr>
      <w:r w:rsidRPr="00D55D0C">
        <w:t>Because of the fast time-varying nature of the phase noise, the ICI components experienced by adjacent OFDM symbols can differ significantly. As a result, PT-RSs need to be present in every non-DMRS OFDM symbol. For Rel-15 NR, PT-RS can be configured to be present in every non-DMRS OFDM symbol and, in frequency domain, there is no more than one PT-RS subcarrier per RB. The specs is defined such that, with proper configuration, PT-RS does not collide with other RS.</w:t>
      </w:r>
    </w:p>
    <w:p w14:paraId="6325DD91" w14:textId="7162364B" w:rsidR="00A52E33" w:rsidRPr="00D55D0C" w:rsidRDefault="00A52E33" w:rsidP="00A52E33">
      <w:pPr>
        <w:pStyle w:val="BodyText"/>
      </w:pPr>
      <w:r>
        <w:t>In contrast</w:t>
      </w:r>
      <w:r w:rsidRPr="00D55D0C">
        <w:t xml:space="preserve">, the same cannot be easily achieved with the alternative clustered PT-RS structure. As discussed in </w:t>
      </w:r>
      <w:r>
        <w:t>Annex</w:t>
      </w:r>
      <w:r w:rsidRPr="00D55D0C">
        <w:t xml:space="preserve"> </w:t>
      </w:r>
      <w:r>
        <w:t>5.1</w:t>
      </w:r>
      <w:r w:rsidRPr="00D55D0C">
        <w:t>.</w:t>
      </w:r>
      <w:r>
        <w:t>2</w:t>
      </w:r>
      <w:r w:rsidRPr="00D55D0C">
        <w:t xml:space="preserve">, the size of each cluster of contiguous PT-RS should satisfy </w:t>
      </w:r>
      <m:oMath>
        <m:r>
          <w:rPr>
            <w:rFonts w:ascii="Cambria Math" w:hAnsi="Cambria Math"/>
          </w:rPr>
          <m:t>M</m:t>
        </m:r>
        <m:r>
          <m:rPr>
            <m:sty m:val="p"/>
          </m:rPr>
          <w:rPr>
            <w:rFonts w:ascii="Cambria Math" w:hAnsi="Cambria Math"/>
          </w:rPr>
          <m:t>≥4</m:t>
        </m:r>
        <m:r>
          <w:rPr>
            <w:rFonts w:ascii="Cambria Math" w:hAnsi="Cambria Math"/>
          </w:rPr>
          <m:t>u</m:t>
        </m:r>
        <m:r>
          <m:rPr>
            <m:sty m:val="p"/>
          </m:rPr>
          <w:rPr>
            <w:rFonts w:ascii="Cambria Math" w:hAnsi="Cambria Math"/>
          </w:rPr>
          <m:t>+1</m:t>
        </m:r>
      </m:oMath>
      <w:r w:rsidRPr="00D55D0C">
        <w:t xml:space="preserve"> in order to estimate a </w:t>
      </w:r>
      <m:oMath>
        <m:d>
          <m:dPr>
            <m:ctrlPr>
              <w:rPr>
                <w:rFonts w:ascii="Cambria Math" w:hAnsi="Cambria Math"/>
              </w:rPr>
            </m:ctrlPr>
          </m:dPr>
          <m:e>
            <m:r>
              <m:rPr>
                <m:sty m:val="p"/>
              </m:rPr>
              <w:rPr>
                <w:rFonts w:ascii="Cambria Math" w:hAnsi="Cambria Math"/>
              </w:rPr>
              <m:t>2</m:t>
            </m:r>
            <m:r>
              <w:rPr>
                <w:rFonts w:ascii="Cambria Math" w:hAnsi="Cambria Math"/>
              </w:rPr>
              <m:t>u</m:t>
            </m:r>
            <m:r>
              <m:rPr>
                <m:sty m:val="p"/>
              </m:rPr>
              <w:rPr>
                <w:rFonts w:ascii="Cambria Math" w:hAnsi="Cambria Math"/>
              </w:rPr>
              <m:t>+1</m:t>
            </m:r>
          </m:e>
        </m:d>
      </m:oMath>
      <w:r w:rsidRPr="00D55D0C">
        <w:t>-tap approximation of the ICI filter. That is, to estimate a 3-tap approximation of the ICI filter, each cluster should have at least 5 PT-RS subcarriers. This type of clusters can frequently collide with other existing NR RS</w:t>
      </w:r>
      <w:r>
        <w:t xml:space="preserve">, and there is </w:t>
      </w:r>
      <w:r w:rsidRPr="00D55D0C">
        <w:t>no simple solution</w:t>
      </w:r>
      <w:r>
        <w:t xml:space="preserve"> to avoid collisions</w:t>
      </w:r>
      <w:r w:rsidRPr="00D55D0C">
        <w:t xml:space="preserve">. One example </w:t>
      </w:r>
      <w:r>
        <w:t xml:space="preserve">collision </w:t>
      </w:r>
      <w:r w:rsidRPr="00D55D0C">
        <w:t xml:space="preserve">is </w:t>
      </w:r>
      <w:r>
        <w:t xml:space="preserve">with </w:t>
      </w:r>
      <w:r w:rsidRPr="00D55D0C">
        <w:t xml:space="preserve">the tracking RS illustrated in </w:t>
      </w:r>
      <w:r w:rsidRPr="00D55D0C">
        <w:fldChar w:fldCharType="begin"/>
      </w:r>
      <w:r w:rsidRPr="00D55D0C">
        <w:instrText xml:space="preserve"> REF _Ref47542063 \h  \* MERGEFORMAT </w:instrText>
      </w:r>
      <w:r w:rsidRPr="00D55D0C">
        <w:fldChar w:fldCharType="separate"/>
      </w:r>
      <w:r w:rsidR="001F388A" w:rsidRPr="001F388A">
        <w:t>Figure 13</w:t>
      </w:r>
      <w:r w:rsidRPr="00D55D0C">
        <w:fldChar w:fldCharType="end"/>
      </w:r>
      <w:r w:rsidRPr="00D55D0C">
        <w:t xml:space="preserve">. Since there are only </w:t>
      </w:r>
      <w:r w:rsidRPr="00D55D0C">
        <w:lastRenderedPageBreak/>
        <w:t xml:space="preserve">three subcarriers between two TRSs, there is not enough room to insert the needed minimum of five clustered subcarriers. </w:t>
      </w:r>
    </w:p>
    <w:p w14:paraId="3EB1F8DD" w14:textId="77777777" w:rsidR="00A52E33" w:rsidRPr="00D55D0C" w:rsidRDefault="00A52E33" w:rsidP="00A52E33">
      <w:pPr>
        <w:pStyle w:val="BodyText"/>
      </w:pPr>
    </w:p>
    <w:p w14:paraId="4CA5136C" w14:textId="77777777" w:rsidR="00A52E33" w:rsidRPr="00D55D0C" w:rsidRDefault="00A52E33" w:rsidP="00A36586">
      <w:pPr>
        <w:pStyle w:val="Observation"/>
        <w:ind w:left="1296" w:hanging="1296"/>
        <w:rPr>
          <w:lang w:val="en-GB"/>
        </w:rPr>
      </w:pPr>
      <w:bookmarkStart w:id="55" w:name="_Toc53086138"/>
      <w:r w:rsidRPr="00D55D0C">
        <w:t>Clustered PT-RS structure can frequently collide with existing NR reference symbols (such as CSI-RS and TRS) with no simple avoidance solution.</w:t>
      </w:r>
      <w:bookmarkEnd w:id="55"/>
    </w:p>
    <w:p w14:paraId="73E6E79B" w14:textId="77777777" w:rsidR="00A52E33" w:rsidRPr="00D55D0C" w:rsidRDefault="00A52E33" w:rsidP="00A52E33">
      <w:pPr>
        <w:pStyle w:val="BodyText"/>
      </w:pPr>
    </w:p>
    <w:p w14:paraId="7C50092F" w14:textId="77777777" w:rsidR="00A52E33" w:rsidRPr="00D55D0C" w:rsidRDefault="00A52E33" w:rsidP="00A52E33">
      <w:pPr>
        <w:pStyle w:val="BodyText"/>
      </w:pPr>
      <w:r w:rsidRPr="00D55D0C">
        <w:rPr>
          <w:noProof/>
        </w:rPr>
        <w:drawing>
          <wp:inline distT="0" distB="0" distL="0" distR="0" wp14:anchorId="619661CC" wp14:editId="6132C62B">
            <wp:extent cx="6120765" cy="3378835"/>
            <wp:effectExtent l="0" t="0" r="0" b="0"/>
            <wp:docPr id="7" name="Picture 6">
              <a:extLst xmlns:a="http://schemas.openxmlformats.org/drawingml/2006/main">
                <a:ext uri="{FF2B5EF4-FFF2-40B4-BE49-F238E27FC236}">
                  <a16:creationId xmlns:a16="http://schemas.microsoft.com/office/drawing/2014/main" id="{06381A5A-0D08-4FB6-A788-0C1CC85C9D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6381A5A-0D08-4FB6-A788-0C1CC85C9DF9}"/>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5" cy="3378835"/>
                    </a:xfrm>
                    <a:prstGeom prst="rect">
                      <a:avLst/>
                    </a:prstGeom>
                  </pic:spPr>
                </pic:pic>
              </a:graphicData>
            </a:graphic>
          </wp:inline>
        </w:drawing>
      </w:r>
    </w:p>
    <w:p w14:paraId="257D5539" w14:textId="4F6CEF8F" w:rsidR="00A52E33" w:rsidRPr="00AC3694" w:rsidRDefault="00A52E33" w:rsidP="00A52E33">
      <w:pPr>
        <w:pStyle w:val="Caption"/>
        <w:jc w:val="center"/>
        <w:rPr>
          <w:i w:val="0"/>
          <w:iCs w:val="0"/>
          <w:color w:val="auto"/>
          <w:sz w:val="20"/>
          <w:szCs w:val="20"/>
        </w:rPr>
      </w:pPr>
      <w:bookmarkStart w:id="56" w:name="_Ref47542063"/>
      <w:r w:rsidRPr="00AC3694">
        <w:rPr>
          <w:i w:val="0"/>
          <w:iCs w:val="0"/>
          <w:color w:val="auto"/>
          <w:sz w:val="20"/>
          <w:szCs w:val="20"/>
        </w:rPr>
        <w:t xml:space="preserve">Figure </w:t>
      </w:r>
      <w:r w:rsidRPr="00AC3694">
        <w:rPr>
          <w:i w:val="0"/>
          <w:iCs w:val="0"/>
          <w:color w:val="auto"/>
          <w:sz w:val="20"/>
          <w:szCs w:val="20"/>
        </w:rPr>
        <w:fldChar w:fldCharType="begin"/>
      </w:r>
      <w:r w:rsidRPr="00AC3694">
        <w:rPr>
          <w:i w:val="0"/>
          <w:iCs w:val="0"/>
          <w:color w:val="auto"/>
          <w:sz w:val="20"/>
          <w:szCs w:val="20"/>
        </w:rPr>
        <w:instrText>SEQ Figure \* ARABIC</w:instrText>
      </w:r>
      <w:r w:rsidRPr="00AC3694">
        <w:rPr>
          <w:i w:val="0"/>
          <w:iCs w:val="0"/>
          <w:color w:val="auto"/>
          <w:sz w:val="20"/>
          <w:szCs w:val="20"/>
        </w:rPr>
        <w:fldChar w:fldCharType="separate"/>
      </w:r>
      <w:r w:rsidR="001F388A">
        <w:rPr>
          <w:i w:val="0"/>
          <w:iCs w:val="0"/>
          <w:noProof/>
          <w:color w:val="auto"/>
          <w:sz w:val="20"/>
          <w:szCs w:val="20"/>
        </w:rPr>
        <w:t>13</w:t>
      </w:r>
      <w:r w:rsidRPr="00AC3694">
        <w:rPr>
          <w:i w:val="0"/>
          <w:iCs w:val="0"/>
          <w:color w:val="auto"/>
          <w:sz w:val="20"/>
          <w:szCs w:val="20"/>
        </w:rPr>
        <w:fldChar w:fldCharType="end"/>
      </w:r>
      <w:bookmarkEnd w:id="56"/>
      <w:r w:rsidRPr="00AC3694">
        <w:rPr>
          <w:i w:val="0"/>
          <w:iCs w:val="0"/>
          <w:color w:val="auto"/>
          <w:sz w:val="20"/>
          <w:szCs w:val="20"/>
        </w:rPr>
        <w:t>: Tracking reference symbol (TRS) mapping in NR</w:t>
      </w:r>
    </w:p>
    <w:p w14:paraId="543B3D01" w14:textId="77777777" w:rsidR="00A52E33" w:rsidRDefault="00A52E33" w:rsidP="00A52E33"/>
    <w:p w14:paraId="2B21FC24" w14:textId="77777777" w:rsidR="00D70F20" w:rsidRDefault="00D70F20"/>
    <w:sectPr w:rsidR="00D70F20">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681B0B" w14:textId="77777777" w:rsidR="00FB5256" w:rsidRDefault="00FB5256">
      <w:r>
        <w:separator/>
      </w:r>
    </w:p>
  </w:endnote>
  <w:endnote w:type="continuationSeparator" w:id="0">
    <w:p w14:paraId="045E323B" w14:textId="77777777" w:rsidR="00FB5256" w:rsidRDefault="00FB5256">
      <w:r>
        <w:continuationSeparator/>
      </w:r>
    </w:p>
  </w:endnote>
  <w:endnote w:type="continuationNotice" w:id="1">
    <w:p w14:paraId="6DE4E337" w14:textId="77777777" w:rsidR="00FB5256" w:rsidRDefault="00FB52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FB5256" w:rsidRDefault="00FB52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F1B00D" w14:textId="77777777" w:rsidR="00FB5256" w:rsidRDefault="00FB5256">
      <w:r>
        <w:separator/>
      </w:r>
    </w:p>
  </w:footnote>
  <w:footnote w:type="continuationSeparator" w:id="0">
    <w:p w14:paraId="1594DC76" w14:textId="77777777" w:rsidR="00FB5256" w:rsidRDefault="00FB5256">
      <w:r>
        <w:continuationSeparator/>
      </w:r>
    </w:p>
  </w:footnote>
  <w:footnote w:type="continuationNotice" w:id="1">
    <w:p w14:paraId="77F309FC" w14:textId="77777777" w:rsidR="00FB5256" w:rsidRDefault="00FB52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FB5256" w:rsidRDefault="00FB5256">
    <w:pPr>
      <w:framePr w:h="284" w:hRule="exact" w:wrap="around" w:vAnchor="text" w:hAnchor="margin" w:xAlign="right" w:y="1"/>
      <w:rPr>
        <w:rFonts w:ascii="Arial" w:hAnsi="Arial" w:cs="Arial"/>
        <w:b/>
        <w:sz w:val="18"/>
        <w:szCs w:val="18"/>
      </w:rPr>
    </w:pPr>
  </w:p>
  <w:p w14:paraId="43AEEDAB" w14:textId="77777777" w:rsidR="00FB5256" w:rsidRDefault="00FB52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28E08E64" w14:textId="77777777" w:rsidR="00FB5256" w:rsidRDefault="00FB5256">
    <w:pPr>
      <w:framePr w:h="284" w:hRule="exact" w:wrap="around" w:vAnchor="text" w:hAnchor="margin" w:y="7"/>
      <w:rPr>
        <w:rFonts w:ascii="Arial" w:hAnsi="Arial" w:cs="Arial"/>
        <w:b/>
        <w:sz w:val="18"/>
        <w:szCs w:val="18"/>
      </w:rPr>
    </w:pPr>
  </w:p>
  <w:p w14:paraId="49C360ED" w14:textId="77777777" w:rsidR="00FB5256" w:rsidRDefault="00FB52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592CF6"/>
    <w:multiLevelType w:val="hybridMultilevel"/>
    <w:tmpl w:val="4100FF64"/>
    <w:lvl w:ilvl="0" w:tplc="3D7068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3036E3"/>
    <w:multiLevelType w:val="hybridMultilevel"/>
    <w:tmpl w:val="51CA496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C8266A"/>
    <w:multiLevelType w:val="hybridMultilevel"/>
    <w:tmpl w:val="530A33CC"/>
    <w:lvl w:ilvl="0" w:tplc="19BA599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83A065D"/>
    <w:multiLevelType w:val="hybridMultilevel"/>
    <w:tmpl w:val="EE805A04"/>
    <w:lvl w:ilvl="0" w:tplc="BDAE2C1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1D906EF"/>
    <w:multiLevelType w:val="hybridMultilevel"/>
    <w:tmpl w:val="8268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C90C03"/>
    <w:multiLevelType w:val="hybridMultilevel"/>
    <w:tmpl w:val="25BADB54"/>
    <w:lvl w:ilvl="0" w:tplc="3D7068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AA46647"/>
    <w:multiLevelType w:val="hybridMultilevel"/>
    <w:tmpl w:val="9B88564C"/>
    <w:lvl w:ilvl="0" w:tplc="166A3800">
      <w:start w:val="1"/>
      <w:numFmt w:val="decimal"/>
      <w:pStyle w:val="Proposal"/>
      <w:lvlText w:val="Proposal %1"/>
      <w:lvlJc w:val="left"/>
      <w:pPr>
        <w:tabs>
          <w:tab w:val="num" w:pos="1304"/>
        </w:tabs>
        <w:ind w:left="1304" w:hanging="1304"/>
      </w:pPr>
      <w:rPr>
        <w:rFonts w:hint="default"/>
        <w:b/>
        <w:bC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946FD2"/>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6" w15:restartNumberingAfterBreak="0">
    <w:nsid w:val="46CC3B19"/>
    <w:multiLevelType w:val="hybridMultilevel"/>
    <w:tmpl w:val="E5626D58"/>
    <w:lvl w:ilvl="0" w:tplc="19BA599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17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B365AC"/>
    <w:multiLevelType w:val="hybridMultilevel"/>
    <w:tmpl w:val="6C94CAF8"/>
    <w:lvl w:ilvl="0" w:tplc="17348310">
      <w:start w:val="1"/>
      <w:numFmt w:val="bullet"/>
      <w:lvlText w:val="•"/>
      <w:lvlJc w:val="left"/>
      <w:pPr>
        <w:tabs>
          <w:tab w:val="num" w:pos="720"/>
        </w:tabs>
        <w:ind w:left="720" w:hanging="360"/>
      </w:pPr>
      <w:rPr>
        <w:rFonts w:ascii="Arial" w:hAnsi="Arial" w:hint="default"/>
      </w:rPr>
    </w:lvl>
    <w:lvl w:ilvl="1" w:tplc="A086D000">
      <w:numFmt w:val="bullet"/>
      <w:lvlText w:val="–"/>
      <w:lvlJc w:val="left"/>
      <w:pPr>
        <w:tabs>
          <w:tab w:val="num" w:pos="1440"/>
        </w:tabs>
        <w:ind w:left="1440" w:hanging="360"/>
      </w:pPr>
      <w:rPr>
        <w:rFonts w:ascii="Arial" w:hAnsi="Arial" w:hint="default"/>
      </w:rPr>
    </w:lvl>
    <w:lvl w:ilvl="2" w:tplc="428080AC" w:tentative="1">
      <w:start w:val="1"/>
      <w:numFmt w:val="bullet"/>
      <w:lvlText w:val="•"/>
      <w:lvlJc w:val="left"/>
      <w:pPr>
        <w:tabs>
          <w:tab w:val="num" w:pos="2160"/>
        </w:tabs>
        <w:ind w:left="2160" w:hanging="360"/>
      </w:pPr>
      <w:rPr>
        <w:rFonts w:ascii="Arial" w:hAnsi="Arial" w:hint="default"/>
      </w:rPr>
    </w:lvl>
    <w:lvl w:ilvl="3" w:tplc="A88A33D8" w:tentative="1">
      <w:start w:val="1"/>
      <w:numFmt w:val="bullet"/>
      <w:lvlText w:val="•"/>
      <w:lvlJc w:val="left"/>
      <w:pPr>
        <w:tabs>
          <w:tab w:val="num" w:pos="2880"/>
        </w:tabs>
        <w:ind w:left="2880" w:hanging="360"/>
      </w:pPr>
      <w:rPr>
        <w:rFonts w:ascii="Arial" w:hAnsi="Arial" w:hint="default"/>
      </w:rPr>
    </w:lvl>
    <w:lvl w:ilvl="4" w:tplc="6C4CF822" w:tentative="1">
      <w:start w:val="1"/>
      <w:numFmt w:val="bullet"/>
      <w:lvlText w:val="•"/>
      <w:lvlJc w:val="left"/>
      <w:pPr>
        <w:tabs>
          <w:tab w:val="num" w:pos="3600"/>
        </w:tabs>
        <w:ind w:left="3600" w:hanging="360"/>
      </w:pPr>
      <w:rPr>
        <w:rFonts w:ascii="Arial" w:hAnsi="Arial" w:hint="default"/>
      </w:rPr>
    </w:lvl>
    <w:lvl w:ilvl="5" w:tplc="D03AE080" w:tentative="1">
      <w:start w:val="1"/>
      <w:numFmt w:val="bullet"/>
      <w:lvlText w:val="•"/>
      <w:lvlJc w:val="left"/>
      <w:pPr>
        <w:tabs>
          <w:tab w:val="num" w:pos="4320"/>
        </w:tabs>
        <w:ind w:left="4320" w:hanging="360"/>
      </w:pPr>
      <w:rPr>
        <w:rFonts w:ascii="Arial" w:hAnsi="Arial" w:hint="default"/>
      </w:rPr>
    </w:lvl>
    <w:lvl w:ilvl="6" w:tplc="10CA7426" w:tentative="1">
      <w:start w:val="1"/>
      <w:numFmt w:val="bullet"/>
      <w:lvlText w:val="•"/>
      <w:lvlJc w:val="left"/>
      <w:pPr>
        <w:tabs>
          <w:tab w:val="num" w:pos="5040"/>
        </w:tabs>
        <w:ind w:left="5040" w:hanging="360"/>
      </w:pPr>
      <w:rPr>
        <w:rFonts w:ascii="Arial" w:hAnsi="Arial" w:hint="default"/>
      </w:rPr>
    </w:lvl>
    <w:lvl w:ilvl="7" w:tplc="5246DB72" w:tentative="1">
      <w:start w:val="1"/>
      <w:numFmt w:val="bullet"/>
      <w:lvlText w:val="•"/>
      <w:lvlJc w:val="left"/>
      <w:pPr>
        <w:tabs>
          <w:tab w:val="num" w:pos="5760"/>
        </w:tabs>
        <w:ind w:left="5760" w:hanging="360"/>
      </w:pPr>
      <w:rPr>
        <w:rFonts w:ascii="Arial" w:hAnsi="Arial" w:hint="default"/>
      </w:rPr>
    </w:lvl>
    <w:lvl w:ilvl="8" w:tplc="2DC89EC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2" w15:restartNumberingAfterBreak="0">
    <w:nsid w:val="53CD2578"/>
    <w:multiLevelType w:val="hybridMultilevel"/>
    <w:tmpl w:val="6E6C80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021CF2"/>
    <w:multiLevelType w:val="hybridMultilevel"/>
    <w:tmpl w:val="1F9E6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3E4135"/>
    <w:multiLevelType w:val="hybridMultilevel"/>
    <w:tmpl w:val="A394C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6EC28D2"/>
    <w:multiLevelType w:val="hybridMultilevel"/>
    <w:tmpl w:val="2CD8CF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E3C4A83"/>
    <w:multiLevelType w:val="hybridMultilevel"/>
    <w:tmpl w:val="7F905B62"/>
    <w:lvl w:ilvl="0" w:tplc="94CCBEA2">
      <w:start w:val="1"/>
      <w:numFmt w:val="decimal"/>
      <w:lvlText w:val="%1)"/>
      <w:lvlJc w:val="left"/>
      <w:pPr>
        <w:ind w:left="645" w:hanging="360"/>
      </w:pPr>
    </w:lvl>
    <w:lvl w:ilvl="1" w:tplc="0409001B">
      <w:start w:val="1"/>
      <w:numFmt w:val="lowerRoman"/>
      <w:lvlText w:val="%2."/>
      <w:lvlJc w:val="right"/>
      <w:pPr>
        <w:ind w:left="1365" w:hanging="360"/>
      </w:pPr>
    </w:lvl>
    <w:lvl w:ilvl="2" w:tplc="04090001">
      <w:start w:val="1"/>
      <w:numFmt w:val="bullet"/>
      <w:lvlText w:val=""/>
      <w:lvlJc w:val="left"/>
      <w:pPr>
        <w:ind w:left="2085" w:hanging="180"/>
      </w:pPr>
      <w:rPr>
        <w:rFonts w:ascii="Symbol" w:hAnsi="Symbol" w:hint="default"/>
      </w:rPr>
    </w:lvl>
    <w:lvl w:ilvl="3" w:tplc="0409000F">
      <w:start w:val="1"/>
      <w:numFmt w:val="decimal"/>
      <w:lvlText w:val="%4."/>
      <w:lvlJc w:val="left"/>
      <w:pPr>
        <w:ind w:left="2805" w:hanging="360"/>
      </w:pPr>
    </w:lvl>
    <w:lvl w:ilvl="4" w:tplc="04090019">
      <w:start w:val="1"/>
      <w:numFmt w:val="lowerLetter"/>
      <w:lvlText w:val="%5."/>
      <w:lvlJc w:val="left"/>
      <w:pPr>
        <w:ind w:left="3525" w:hanging="360"/>
      </w:pPr>
    </w:lvl>
    <w:lvl w:ilvl="5" w:tplc="0409001B">
      <w:start w:val="1"/>
      <w:numFmt w:val="lowerRoman"/>
      <w:lvlText w:val="%6."/>
      <w:lvlJc w:val="right"/>
      <w:pPr>
        <w:ind w:left="4245" w:hanging="180"/>
      </w:pPr>
    </w:lvl>
    <w:lvl w:ilvl="6" w:tplc="0409000F">
      <w:start w:val="1"/>
      <w:numFmt w:val="decimal"/>
      <w:lvlText w:val="%7."/>
      <w:lvlJc w:val="left"/>
      <w:pPr>
        <w:ind w:left="4965" w:hanging="360"/>
      </w:pPr>
    </w:lvl>
    <w:lvl w:ilvl="7" w:tplc="04090019">
      <w:start w:val="1"/>
      <w:numFmt w:val="lowerLetter"/>
      <w:lvlText w:val="%8."/>
      <w:lvlJc w:val="left"/>
      <w:pPr>
        <w:ind w:left="5685" w:hanging="360"/>
      </w:pPr>
    </w:lvl>
    <w:lvl w:ilvl="8" w:tplc="0409001B">
      <w:start w:val="1"/>
      <w:numFmt w:val="lowerRoman"/>
      <w:lvlText w:val="%9."/>
      <w:lvlJc w:val="right"/>
      <w:pPr>
        <w:ind w:left="6405" w:hanging="180"/>
      </w:pPr>
    </w:lvl>
  </w:abstractNum>
  <w:abstractNum w:abstractNumId="29" w15:restartNumberingAfterBreak="0">
    <w:nsid w:val="70D151F5"/>
    <w:multiLevelType w:val="hybridMultilevel"/>
    <w:tmpl w:val="CEF8A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1840A6"/>
    <w:multiLevelType w:val="hybridMultilevel"/>
    <w:tmpl w:val="A4DAED4C"/>
    <w:lvl w:ilvl="0" w:tplc="34785198">
      <w:start w:val="1"/>
      <w:numFmt w:val="lowerLetter"/>
      <w:lvlText w:val="%1)"/>
      <w:lvlJc w:val="left"/>
      <w:pPr>
        <w:ind w:left="927" w:hanging="360"/>
      </w:pPr>
      <w:rPr>
        <w:rFonts w:ascii="Arial" w:eastAsia="Times New Roman" w:hAnsi="Arial" w:cs="Arial"/>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 w15:restartNumberingAfterBreak="0">
    <w:nsid w:val="754E0748"/>
    <w:multiLevelType w:val="hybridMultilevel"/>
    <w:tmpl w:val="E07CA57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E612731"/>
    <w:multiLevelType w:val="hybridMultilevel"/>
    <w:tmpl w:val="6E6C80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1"/>
  </w:num>
  <w:num w:numId="3">
    <w:abstractNumId w:val="25"/>
  </w:num>
  <w:num w:numId="4">
    <w:abstractNumId w:val="32"/>
  </w:num>
  <w:num w:numId="5">
    <w:abstractNumId w:val="15"/>
  </w:num>
  <w:num w:numId="6">
    <w:abstractNumId w:val="12"/>
  </w:num>
  <w:num w:numId="7">
    <w:abstractNumId w:val="5"/>
  </w:num>
  <w:num w:numId="8">
    <w:abstractNumId w:val="6"/>
  </w:num>
  <w:num w:numId="9">
    <w:abstractNumId w:val="16"/>
  </w:num>
  <w:num w:numId="10">
    <w:abstractNumId w:val="31"/>
  </w:num>
  <w:num w:numId="11">
    <w:abstractNumId w:val="7"/>
  </w:num>
  <w:num w:numId="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1"/>
  </w:num>
  <w:num w:numId="15">
    <w:abstractNumId w:val="8"/>
  </w:num>
  <w:num w:numId="16">
    <w:abstractNumId w:val="24"/>
  </w:num>
  <w:num w:numId="17">
    <w:abstractNumId w:val="3"/>
  </w:num>
  <w:num w:numId="18">
    <w:abstractNumId w:val="27"/>
  </w:num>
  <w:num w:numId="19">
    <w:abstractNumId w:val="30"/>
  </w:num>
  <w:num w:numId="20">
    <w:abstractNumId w:val="9"/>
  </w:num>
  <w:num w:numId="21">
    <w:abstractNumId w:val="2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19"/>
  </w:num>
  <w:num w:numId="24">
    <w:abstractNumId w:val="23"/>
  </w:num>
  <w:num w:numId="25">
    <w:abstractNumId w:val="13"/>
  </w:num>
  <w:num w:numId="26">
    <w:abstractNumId w:val="10"/>
  </w:num>
  <w:num w:numId="27">
    <w:abstractNumId w:val="29"/>
  </w:num>
  <w:num w:numId="28">
    <w:abstractNumId w:val="26"/>
  </w:num>
  <w:num w:numId="29">
    <w:abstractNumId w:val="33"/>
  </w:num>
  <w:num w:numId="30">
    <w:abstractNumId w:val="4"/>
  </w:num>
  <w:num w:numId="31">
    <w:abstractNumId w:val="14"/>
  </w:num>
  <w:num w:numId="32">
    <w:abstractNumId w:val="11"/>
  </w:num>
  <w:num w:numId="33">
    <w:abstractNumId w:val="2"/>
  </w:num>
  <w:num w:numId="34">
    <w:abstractNumId w:val="18"/>
  </w:num>
  <w:num w:numId="35">
    <w:abstractNumId w:val="22"/>
  </w:num>
  <w:num w:numId="36">
    <w:abstractNumId w:val="19"/>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6B"/>
    <w:rsid w:val="00003A9C"/>
    <w:rsid w:val="00007AB9"/>
    <w:rsid w:val="00007C30"/>
    <w:rsid w:val="00020F36"/>
    <w:rsid w:val="00023DA1"/>
    <w:rsid w:val="00026420"/>
    <w:rsid w:val="0002758F"/>
    <w:rsid w:val="00027EC9"/>
    <w:rsid w:val="00033397"/>
    <w:rsid w:val="00036832"/>
    <w:rsid w:val="00040095"/>
    <w:rsid w:val="00042CD3"/>
    <w:rsid w:val="000438FB"/>
    <w:rsid w:val="00043BEE"/>
    <w:rsid w:val="000442BC"/>
    <w:rsid w:val="00044998"/>
    <w:rsid w:val="00046CE5"/>
    <w:rsid w:val="00051834"/>
    <w:rsid w:val="00052E70"/>
    <w:rsid w:val="00054139"/>
    <w:rsid w:val="00054A22"/>
    <w:rsid w:val="000560CC"/>
    <w:rsid w:val="00063124"/>
    <w:rsid w:val="000655A6"/>
    <w:rsid w:val="00066F58"/>
    <w:rsid w:val="00067D8F"/>
    <w:rsid w:val="00070795"/>
    <w:rsid w:val="000744DB"/>
    <w:rsid w:val="0007506E"/>
    <w:rsid w:val="0007632D"/>
    <w:rsid w:val="00080512"/>
    <w:rsid w:val="00080FAA"/>
    <w:rsid w:val="000835D1"/>
    <w:rsid w:val="00084CB8"/>
    <w:rsid w:val="00085DC1"/>
    <w:rsid w:val="00086039"/>
    <w:rsid w:val="00091348"/>
    <w:rsid w:val="00094D53"/>
    <w:rsid w:val="00096009"/>
    <w:rsid w:val="0009712E"/>
    <w:rsid w:val="00097244"/>
    <w:rsid w:val="000A0C13"/>
    <w:rsid w:val="000A1E71"/>
    <w:rsid w:val="000A247D"/>
    <w:rsid w:val="000A389A"/>
    <w:rsid w:val="000B1FA9"/>
    <w:rsid w:val="000B25B4"/>
    <w:rsid w:val="000B5ED1"/>
    <w:rsid w:val="000B715F"/>
    <w:rsid w:val="000C0CD3"/>
    <w:rsid w:val="000C2AFC"/>
    <w:rsid w:val="000C2DB4"/>
    <w:rsid w:val="000C390C"/>
    <w:rsid w:val="000C5B6E"/>
    <w:rsid w:val="000C7D7D"/>
    <w:rsid w:val="000C7FA4"/>
    <w:rsid w:val="000D15E9"/>
    <w:rsid w:val="000D4CFC"/>
    <w:rsid w:val="000D58AB"/>
    <w:rsid w:val="000D696C"/>
    <w:rsid w:val="000D7BF8"/>
    <w:rsid w:val="000E1DEA"/>
    <w:rsid w:val="000E422F"/>
    <w:rsid w:val="000E51CC"/>
    <w:rsid w:val="000E538A"/>
    <w:rsid w:val="000E5D17"/>
    <w:rsid w:val="000E632F"/>
    <w:rsid w:val="000F0805"/>
    <w:rsid w:val="000F14B8"/>
    <w:rsid w:val="000F2678"/>
    <w:rsid w:val="001019E1"/>
    <w:rsid w:val="00106F91"/>
    <w:rsid w:val="00110206"/>
    <w:rsid w:val="00111B1E"/>
    <w:rsid w:val="0011454A"/>
    <w:rsid w:val="0012217B"/>
    <w:rsid w:val="00122184"/>
    <w:rsid w:val="00123983"/>
    <w:rsid w:val="001257A4"/>
    <w:rsid w:val="001258EC"/>
    <w:rsid w:val="0012657A"/>
    <w:rsid w:val="0013096C"/>
    <w:rsid w:val="00131CF8"/>
    <w:rsid w:val="00136695"/>
    <w:rsid w:val="001406C3"/>
    <w:rsid w:val="00142F8A"/>
    <w:rsid w:val="001443CE"/>
    <w:rsid w:val="001466A1"/>
    <w:rsid w:val="00152B55"/>
    <w:rsid w:val="00155B44"/>
    <w:rsid w:val="00161DAE"/>
    <w:rsid w:val="001707B0"/>
    <w:rsid w:val="00172A54"/>
    <w:rsid w:val="001758A0"/>
    <w:rsid w:val="00176C71"/>
    <w:rsid w:val="00183C1C"/>
    <w:rsid w:val="00183ED4"/>
    <w:rsid w:val="001862BC"/>
    <w:rsid w:val="00191793"/>
    <w:rsid w:val="001959A5"/>
    <w:rsid w:val="00196483"/>
    <w:rsid w:val="00197A42"/>
    <w:rsid w:val="001A2F02"/>
    <w:rsid w:val="001A7B74"/>
    <w:rsid w:val="001B0597"/>
    <w:rsid w:val="001B26C5"/>
    <w:rsid w:val="001B2A2B"/>
    <w:rsid w:val="001B4130"/>
    <w:rsid w:val="001B4897"/>
    <w:rsid w:val="001C0B65"/>
    <w:rsid w:val="001C1DF4"/>
    <w:rsid w:val="001C3047"/>
    <w:rsid w:val="001C62FC"/>
    <w:rsid w:val="001D02C2"/>
    <w:rsid w:val="001E0865"/>
    <w:rsid w:val="001E2DF5"/>
    <w:rsid w:val="001E4522"/>
    <w:rsid w:val="001E5695"/>
    <w:rsid w:val="001E62AA"/>
    <w:rsid w:val="001E6E0D"/>
    <w:rsid w:val="001E7BBB"/>
    <w:rsid w:val="001F168B"/>
    <w:rsid w:val="001F33FD"/>
    <w:rsid w:val="001F388A"/>
    <w:rsid w:val="00201CC5"/>
    <w:rsid w:val="00206DF2"/>
    <w:rsid w:val="00207035"/>
    <w:rsid w:val="0021318F"/>
    <w:rsid w:val="00213F33"/>
    <w:rsid w:val="0022096D"/>
    <w:rsid w:val="00227231"/>
    <w:rsid w:val="00231AD2"/>
    <w:rsid w:val="00231DE5"/>
    <w:rsid w:val="002324CC"/>
    <w:rsid w:val="0023254C"/>
    <w:rsid w:val="002347A2"/>
    <w:rsid w:val="00236B4C"/>
    <w:rsid w:val="002400CB"/>
    <w:rsid w:val="00241D8F"/>
    <w:rsid w:val="002432F4"/>
    <w:rsid w:val="00244BCB"/>
    <w:rsid w:val="00244D7A"/>
    <w:rsid w:val="00247237"/>
    <w:rsid w:val="002504EF"/>
    <w:rsid w:val="00251985"/>
    <w:rsid w:val="00255805"/>
    <w:rsid w:val="0026611D"/>
    <w:rsid w:val="0027285D"/>
    <w:rsid w:val="00276FE0"/>
    <w:rsid w:val="00277B79"/>
    <w:rsid w:val="00280B2B"/>
    <w:rsid w:val="00280CDB"/>
    <w:rsid w:val="00281F80"/>
    <w:rsid w:val="00284504"/>
    <w:rsid w:val="00287DB9"/>
    <w:rsid w:val="00293C49"/>
    <w:rsid w:val="0029411F"/>
    <w:rsid w:val="00295BF7"/>
    <w:rsid w:val="002A0978"/>
    <w:rsid w:val="002A14DF"/>
    <w:rsid w:val="002A29EB"/>
    <w:rsid w:val="002A3EB4"/>
    <w:rsid w:val="002A682D"/>
    <w:rsid w:val="002A6CD1"/>
    <w:rsid w:val="002A71C1"/>
    <w:rsid w:val="002B067D"/>
    <w:rsid w:val="002B0AA9"/>
    <w:rsid w:val="002B0B48"/>
    <w:rsid w:val="002B43BB"/>
    <w:rsid w:val="002B4F4A"/>
    <w:rsid w:val="002B5BF5"/>
    <w:rsid w:val="002B5D74"/>
    <w:rsid w:val="002B7806"/>
    <w:rsid w:val="002C09A4"/>
    <w:rsid w:val="002C5794"/>
    <w:rsid w:val="002C5F6C"/>
    <w:rsid w:val="002D2635"/>
    <w:rsid w:val="002D31C8"/>
    <w:rsid w:val="002D4619"/>
    <w:rsid w:val="002D516B"/>
    <w:rsid w:val="002E1C0A"/>
    <w:rsid w:val="002E215F"/>
    <w:rsid w:val="002E2D39"/>
    <w:rsid w:val="002E34DA"/>
    <w:rsid w:val="002E692E"/>
    <w:rsid w:val="002E7895"/>
    <w:rsid w:val="002F0628"/>
    <w:rsid w:val="002F1E03"/>
    <w:rsid w:val="002F4FCA"/>
    <w:rsid w:val="0030031D"/>
    <w:rsid w:val="003007C0"/>
    <w:rsid w:val="0030105D"/>
    <w:rsid w:val="003030E9"/>
    <w:rsid w:val="00307543"/>
    <w:rsid w:val="00311A1E"/>
    <w:rsid w:val="00311C2A"/>
    <w:rsid w:val="00312A2A"/>
    <w:rsid w:val="003172DC"/>
    <w:rsid w:val="00321F2C"/>
    <w:rsid w:val="00323975"/>
    <w:rsid w:val="00327188"/>
    <w:rsid w:val="0032735D"/>
    <w:rsid w:val="00330D29"/>
    <w:rsid w:val="003348D7"/>
    <w:rsid w:val="003349D1"/>
    <w:rsid w:val="00334D02"/>
    <w:rsid w:val="00335210"/>
    <w:rsid w:val="00341E48"/>
    <w:rsid w:val="003434EB"/>
    <w:rsid w:val="00343954"/>
    <w:rsid w:val="003450EB"/>
    <w:rsid w:val="00350A6C"/>
    <w:rsid w:val="003538FE"/>
    <w:rsid w:val="00353E77"/>
    <w:rsid w:val="0035462D"/>
    <w:rsid w:val="003550BF"/>
    <w:rsid w:val="00356EC6"/>
    <w:rsid w:val="00356EC9"/>
    <w:rsid w:val="003600D2"/>
    <w:rsid w:val="00361E87"/>
    <w:rsid w:val="00362B8C"/>
    <w:rsid w:val="00365179"/>
    <w:rsid w:val="00365D03"/>
    <w:rsid w:val="003700A1"/>
    <w:rsid w:val="00370768"/>
    <w:rsid w:val="00371BE2"/>
    <w:rsid w:val="00373255"/>
    <w:rsid w:val="0037583E"/>
    <w:rsid w:val="00375A65"/>
    <w:rsid w:val="003801F5"/>
    <w:rsid w:val="0038215B"/>
    <w:rsid w:val="003852FC"/>
    <w:rsid w:val="003A2D99"/>
    <w:rsid w:val="003B0E1B"/>
    <w:rsid w:val="003B1D4A"/>
    <w:rsid w:val="003B3440"/>
    <w:rsid w:val="003B57C3"/>
    <w:rsid w:val="003B61A8"/>
    <w:rsid w:val="003C0B2F"/>
    <w:rsid w:val="003C111E"/>
    <w:rsid w:val="003C3971"/>
    <w:rsid w:val="003C46F0"/>
    <w:rsid w:val="003C6E84"/>
    <w:rsid w:val="003C7BAE"/>
    <w:rsid w:val="003D084B"/>
    <w:rsid w:val="003D2EF4"/>
    <w:rsid w:val="003D427B"/>
    <w:rsid w:val="003D7A58"/>
    <w:rsid w:val="003E078C"/>
    <w:rsid w:val="003E0C96"/>
    <w:rsid w:val="003E3211"/>
    <w:rsid w:val="003E3C8C"/>
    <w:rsid w:val="003E585F"/>
    <w:rsid w:val="003F0926"/>
    <w:rsid w:val="003F17A2"/>
    <w:rsid w:val="00400091"/>
    <w:rsid w:val="004018C1"/>
    <w:rsid w:val="00403BAD"/>
    <w:rsid w:val="004078FE"/>
    <w:rsid w:val="0041145C"/>
    <w:rsid w:val="00414E94"/>
    <w:rsid w:val="00420C88"/>
    <w:rsid w:val="0042200B"/>
    <w:rsid w:val="00422EFF"/>
    <w:rsid w:val="004239C7"/>
    <w:rsid w:val="00424BFB"/>
    <w:rsid w:val="0042688F"/>
    <w:rsid w:val="004270F1"/>
    <w:rsid w:val="00433C56"/>
    <w:rsid w:val="00440383"/>
    <w:rsid w:val="00443711"/>
    <w:rsid w:val="004461D3"/>
    <w:rsid w:val="0045016A"/>
    <w:rsid w:val="00452E0F"/>
    <w:rsid w:val="00453EFF"/>
    <w:rsid w:val="00454289"/>
    <w:rsid w:val="004564EE"/>
    <w:rsid w:val="00460E9A"/>
    <w:rsid w:val="00462C70"/>
    <w:rsid w:val="0046427C"/>
    <w:rsid w:val="004708B1"/>
    <w:rsid w:val="00472D26"/>
    <w:rsid w:val="004776C9"/>
    <w:rsid w:val="00477D23"/>
    <w:rsid w:val="00477D4B"/>
    <w:rsid w:val="00481C53"/>
    <w:rsid w:val="00495878"/>
    <w:rsid w:val="00495992"/>
    <w:rsid w:val="0049783B"/>
    <w:rsid w:val="004A4210"/>
    <w:rsid w:val="004A50DA"/>
    <w:rsid w:val="004A5D7A"/>
    <w:rsid w:val="004A7550"/>
    <w:rsid w:val="004B04BD"/>
    <w:rsid w:val="004B27AE"/>
    <w:rsid w:val="004B372C"/>
    <w:rsid w:val="004B5078"/>
    <w:rsid w:val="004B67BE"/>
    <w:rsid w:val="004B77B6"/>
    <w:rsid w:val="004C43A9"/>
    <w:rsid w:val="004D3578"/>
    <w:rsid w:val="004D3E70"/>
    <w:rsid w:val="004D4B03"/>
    <w:rsid w:val="004D7F34"/>
    <w:rsid w:val="004E0C1D"/>
    <w:rsid w:val="004E213A"/>
    <w:rsid w:val="004E29CC"/>
    <w:rsid w:val="004E319C"/>
    <w:rsid w:val="004F4D5A"/>
    <w:rsid w:val="0050030E"/>
    <w:rsid w:val="00503490"/>
    <w:rsid w:val="00504BE8"/>
    <w:rsid w:val="00506153"/>
    <w:rsid w:val="0051350A"/>
    <w:rsid w:val="00516716"/>
    <w:rsid w:val="00517AEB"/>
    <w:rsid w:val="005225FF"/>
    <w:rsid w:val="00523D09"/>
    <w:rsid w:val="00523E9B"/>
    <w:rsid w:val="00523F49"/>
    <w:rsid w:val="00524A3B"/>
    <w:rsid w:val="005250EA"/>
    <w:rsid w:val="00525622"/>
    <w:rsid w:val="00531F7E"/>
    <w:rsid w:val="005325F5"/>
    <w:rsid w:val="0053326D"/>
    <w:rsid w:val="00534952"/>
    <w:rsid w:val="00537F5D"/>
    <w:rsid w:val="005403AF"/>
    <w:rsid w:val="0054115D"/>
    <w:rsid w:val="0054157D"/>
    <w:rsid w:val="00543714"/>
    <w:rsid w:val="0054374D"/>
    <w:rsid w:val="00543E6C"/>
    <w:rsid w:val="00543F00"/>
    <w:rsid w:val="00546A44"/>
    <w:rsid w:val="00560414"/>
    <w:rsid w:val="00560510"/>
    <w:rsid w:val="005617A2"/>
    <w:rsid w:val="00562810"/>
    <w:rsid w:val="00562B70"/>
    <w:rsid w:val="00565087"/>
    <w:rsid w:val="00567D27"/>
    <w:rsid w:val="00570537"/>
    <w:rsid w:val="005710E9"/>
    <w:rsid w:val="005760A9"/>
    <w:rsid w:val="00580076"/>
    <w:rsid w:val="005806C4"/>
    <w:rsid w:val="00592A9D"/>
    <w:rsid w:val="00594DA2"/>
    <w:rsid w:val="00594E26"/>
    <w:rsid w:val="00596CC1"/>
    <w:rsid w:val="005A0234"/>
    <w:rsid w:val="005A2945"/>
    <w:rsid w:val="005A46BD"/>
    <w:rsid w:val="005A73B9"/>
    <w:rsid w:val="005A7B69"/>
    <w:rsid w:val="005B0AEB"/>
    <w:rsid w:val="005B0C47"/>
    <w:rsid w:val="005B1CC2"/>
    <w:rsid w:val="005B37DE"/>
    <w:rsid w:val="005B392A"/>
    <w:rsid w:val="005B3C73"/>
    <w:rsid w:val="005B44E4"/>
    <w:rsid w:val="005B4A0A"/>
    <w:rsid w:val="005B5629"/>
    <w:rsid w:val="005B7A0B"/>
    <w:rsid w:val="005C2897"/>
    <w:rsid w:val="005C2A0D"/>
    <w:rsid w:val="005C4152"/>
    <w:rsid w:val="005C5BB9"/>
    <w:rsid w:val="005C5C78"/>
    <w:rsid w:val="005C63AB"/>
    <w:rsid w:val="005C7173"/>
    <w:rsid w:val="005D0223"/>
    <w:rsid w:val="005D2E01"/>
    <w:rsid w:val="005D3668"/>
    <w:rsid w:val="005D3CF0"/>
    <w:rsid w:val="005D3EE8"/>
    <w:rsid w:val="005E221B"/>
    <w:rsid w:val="005E3207"/>
    <w:rsid w:val="005E490A"/>
    <w:rsid w:val="005E515B"/>
    <w:rsid w:val="005F0C05"/>
    <w:rsid w:val="005F1C5D"/>
    <w:rsid w:val="005F20B1"/>
    <w:rsid w:val="005F3885"/>
    <w:rsid w:val="005F43E3"/>
    <w:rsid w:val="005F4EC3"/>
    <w:rsid w:val="00610AFE"/>
    <w:rsid w:val="00612061"/>
    <w:rsid w:val="00612A71"/>
    <w:rsid w:val="00614FDF"/>
    <w:rsid w:val="00622A08"/>
    <w:rsid w:val="006238E5"/>
    <w:rsid w:val="0062477B"/>
    <w:rsid w:val="00625621"/>
    <w:rsid w:val="0062745C"/>
    <w:rsid w:val="00627797"/>
    <w:rsid w:val="006324CC"/>
    <w:rsid w:val="006365C6"/>
    <w:rsid w:val="00640BD9"/>
    <w:rsid w:val="00640CC4"/>
    <w:rsid w:val="006437A9"/>
    <w:rsid w:val="006505D5"/>
    <w:rsid w:val="00652641"/>
    <w:rsid w:val="0065328A"/>
    <w:rsid w:val="00655695"/>
    <w:rsid w:val="006639DB"/>
    <w:rsid w:val="00664B68"/>
    <w:rsid w:val="00666429"/>
    <w:rsid w:val="00666E6A"/>
    <w:rsid w:val="00674675"/>
    <w:rsid w:val="0067467C"/>
    <w:rsid w:val="0067493F"/>
    <w:rsid w:val="00674E7D"/>
    <w:rsid w:val="00685612"/>
    <w:rsid w:val="006864F5"/>
    <w:rsid w:val="0069172D"/>
    <w:rsid w:val="0069256B"/>
    <w:rsid w:val="00692DEB"/>
    <w:rsid w:val="006A4672"/>
    <w:rsid w:val="006A49A2"/>
    <w:rsid w:val="006A555D"/>
    <w:rsid w:val="006A5CC7"/>
    <w:rsid w:val="006A6871"/>
    <w:rsid w:val="006A7AB7"/>
    <w:rsid w:val="006A7CC0"/>
    <w:rsid w:val="006B0C05"/>
    <w:rsid w:val="006B18E0"/>
    <w:rsid w:val="006B42B4"/>
    <w:rsid w:val="006D06D1"/>
    <w:rsid w:val="006D1100"/>
    <w:rsid w:val="006D6721"/>
    <w:rsid w:val="006E0239"/>
    <w:rsid w:val="006E072E"/>
    <w:rsid w:val="006E5C86"/>
    <w:rsid w:val="006F00A4"/>
    <w:rsid w:val="006F01F2"/>
    <w:rsid w:val="006F574B"/>
    <w:rsid w:val="00705798"/>
    <w:rsid w:val="007148E4"/>
    <w:rsid w:val="00714AEA"/>
    <w:rsid w:val="00716B96"/>
    <w:rsid w:val="007170B2"/>
    <w:rsid w:val="007320AA"/>
    <w:rsid w:val="00732BF2"/>
    <w:rsid w:val="00734626"/>
    <w:rsid w:val="00734A5B"/>
    <w:rsid w:val="00740B5D"/>
    <w:rsid w:val="0074447B"/>
    <w:rsid w:val="00744E76"/>
    <w:rsid w:val="00747362"/>
    <w:rsid w:val="0075106D"/>
    <w:rsid w:val="00754689"/>
    <w:rsid w:val="00756047"/>
    <w:rsid w:val="007577CB"/>
    <w:rsid w:val="007607C2"/>
    <w:rsid w:val="00762B14"/>
    <w:rsid w:val="0076367C"/>
    <w:rsid w:val="00771315"/>
    <w:rsid w:val="00772BDD"/>
    <w:rsid w:val="00773A61"/>
    <w:rsid w:val="00780C4A"/>
    <w:rsid w:val="00781905"/>
    <w:rsid w:val="00781F0F"/>
    <w:rsid w:val="00783817"/>
    <w:rsid w:val="0078651D"/>
    <w:rsid w:val="00790418"/>
    <w:rsid w:val="00793662"/>
    <w:rsid w:val="00797DF3"/>
    <w:rsid w:val="007A0F21"/>
    <w:rsid w:val="007A2E78"/>
    <w:rsid w:val="007A44B9"/>
    <w:rsid w:val="007A60C3"/>
    <w:rsid w:val="007B0393"/>
    <w:rsid w:val="007B11A1"/>
    <w:rsid w:val="007B4A73"/>
    <w:rsid w:val="007B4B46"/>
    <w:rsid w:val="007B4D2B"/>
    <w:rsid w:val="007B4F97"/>
    <w:rsid w:val="007B5138"/>
    <w:rsid w:val="007B6B06"/>
    <w:rsid w:val="007B70D1"/>
    <w:rsid w:val="007C323A"/>
    <w:rsid w:val="007C4C45"/>
    <w:rsid w:val="007C738A"/>
    <w:rsid w:val="007C7A0C"/>
    <w:rsid w:val="007D623D"/>
    <w:rsid w:val="007E22E7"/>
    <w:rsid w:val="007E3867"/>
    <w:rsid w:val="007E7C65"/>
    <w:rsid w:val="007F0BAE"/>
    <w:rsid w:val="007F2E08"/>
    <w:rsid w:val="007F52D4"/>
    <w:rsid w:val="007F7510"/>
    <w:rsid w:val="008028A4"/>
    <w:rsid w:val="00805820"/>
    <w:rsid w:val="00810D1D"/>
    <w:rsid w:val="008172EA"/>
    <w:rsid w:val="0082489C"/>
    <w:rsid w:val="008253BE"/>
    <w:rsid w:val="00826F97"/>
    <w:rsid w:val="00830BDF"/>
    <w:rsid w:val="008311BE"/>
    <w:rsid w:val="00832EAD"/>
    <w:rsid w:val="00840F59"/>
    <w:rsid w:val="00843454"/>
    <w:rsid w:val="00844C49"/>
    <w:rsid w:val="00850118"/>
    <w:rsid w:val="00854F60"/>
    <w:rsid w:val="00861B28"/>
    <w:rsid w:val="0086597C"/>
    <w:rsid w:val="00867063"/>
    <w:rsid w:val="00872E34"/>
    <w:rsid w:val="008737D2"/>
    <w:rsid w:val="008738B7"/>
    <w:rsid w:val="00876198"/>
    <w:rsid w:val="008768CA"/>
    <w:rsid w:val="008851FF"/>
    <w:rsid w:val="00885A98"/>
    <w:rsid w:val="008877E6"/>
    <w:rsid w:val="00892D59"/>
    <w:rsid w:val="00893329"/>
    <w:rsid w:val="0089765C"/>
    <w:rsid w:val="008A048F"/>
    <w:rsid w:val="008B1454"/>
    <w:rsid w:val="008B1CA1"/>
    <w:rsid w:val="008B48F9"/>
    <w:rsid w:val="008B735F"/>
    <w:rsid w:val="008C0085"/>
    <w:rsid w:val="008C2529"/>
    <w:rsid w:val="008C30B9"/>
    <w:rsid w:val="008C353E"/>
    <w:rsid w:val="008D183F"/>
    <w:rsid w:val="008D1F7F"/>
    <w:rsid w:val="008E0A36"/>
    <w:rsid w:val="008E0D37"/>
    <w:rsid w:val="008E136E"/>
    <w:rsid w:val="008E4752"/>
    <w:rsid w:val="008E5906"/>
    <w:rsid w:val="008E6901"/>
    <w:rsid w:val="008E77BE"/>
    <w:rsid w:val="008F4129"/>
    <w:rsid w:val="008F6912"/>
    <w:rsid w:val="008F6B69"/>
    <w:rsid w:val="008F7341"/>
    <w:rsid w:val="008F7643"/>
    <w:rsid w:val="008F7AAB"/>
    <w:rsid w:val="009021B7"/>
    <w:rsid w:val="0090271F"/>
    <w:rsid w:val="00902E23"/>
    <w:rsid w:val="00903F3D"/>
    <w:rsid w:val="0090598A"/>
    <w:rsid w:val="00907978"/>
    <w:rsid w:val="009109F8"/>
    <w:rsid w:val="0091348E"/>
    <w:rsid w:val="0091352D"/>
    <w:rsid w:val="00917CCB"/>
    <w:rsid w:val="0092113F"/>
    <w:rsid w:val="009228DF"/>
    <w:rsid w:val="00926BA5"/>
    <w:rsid w:val="0092774C"/>
    <w:rsid w:val="00933BA9"/>
    <w:rsid w:val="0093695E"/>
    <w:rsid w:val="00936BC8"/>
    <w:rsid w:val="00942EC2"/>
    <w:rsid w:val="009435A4"/>
    <w:rsid w:val="00944083"/>
    <w:rsid w:val="00944C13"/>
    <w:rsid w:val="0094513B"/>
    <w:rsid w:val="00950B66"/>
    <w:rsid w:val="00956BA2"/>
    <w:rsid w:val="00963B40"/>
    <w:rsid w:val="00963C13"/>
    <w:rsid w:val="00963C68"/>
    <w:rsid w:val="00964B05"/>
    <w:rsid w:val="00966DB0"/>
    <w:rsid w:val="00970338"/>
    <w:rsid w:val="0097190B"/>
    <w:rsid w:val="00972603"/>
    <w:rsid w:val="00974119"/>
    <w:rsid w:val="00974355"/>
    <w:rsid w:val="0097538C"/>
    <w:rsid w:val="00982141"/>
    <w:rsid w:val="00983E36"/>
    <w:rsid w:val="00985679"/>
    <w:rsid w:val="009937B7"/>
    <w:rsid w:val="00996691"/>
    <w:rsid w:val="009A0BEC"/>
    <w:rsid w:val="009A2D2D"/>
    <w:rsid w:val="009A4311"/>
    <w:rsid w:val="009A49FD"/>
    <w:rsid w:val="009A4EAB"/>
    <w:rsid w:val="009A6795"/>
    <w:rsid w:val="009A6EA0"/>
    <w:rsid w:val="009B13F6"/>
    <w:rsid w:val="009B5100"/>
    <w:rsid w:val="009B68F5"/>
    <w:rsid w:val="009C06AF"/>
    <w:rsid w:val="009C3093"/>
    <w:rsid w:val="009C6F9B"/>
    <w:rsid w:val="009C7F8C"/>
    <w:rsid w:val="009D1FC4"/>
    <w:rsid w:val="009E26CD"/>
    <w:rsid w:val="009F24F0"/>
    <w:rsid w:val="009F37B7"/>
    <w:rsid w:val="009F62F9"/>
    <w:rsid w:val="00A00E00"/>
    <w:rsid w:val="00A07AF8"/>
    <w:rsid w:val="00A1009B"/>
    <w:rsid w:val="00A10F02"/>
    <w:rsid w:val="00A12F51"/>
    <w:rsid w:val="00A164B4"/>
    <w:rsid w:val="00A166DD"/>
    <w:rsid w:val="00A2284C"/>
    <w:rsid w:val="00A23F5E"/>
    <w:rsid w:val="00A24617"/>
    <w:rsid w:val="00A257D1"/>
    <w:rsid w:val="00A3365C"/>
    <w:rsid w:val="00A3452A"/>
    <w:rsid w:val="00A3574A"/>
    <w:rsid w:val="00A36586"/>
    <w:rsid w:val="00A402FE"/>
    <w:rsid w:val="00A40E20"/>
    <w:rsid w:val="00A41839"/>
    <w:rsid w:val="00A52E33"/>
    <w:rsid w:val="00A53724"/>
    <w:rsid w:val="00A55007"/>
    <w:rsid w:val="00A5669F"/>
    <w:rsid w:val="00A56A92"/>
    <w:rsid w:val="00A6396C"/>
    <w:rsid w:val="00A63F96"/>
    <w:rsid w:val="00A6421D"/>
    <w:rsid w:val="00A64E4A"/>
    <w:rsid w:val="00A66242"/>
    <w:rsid w:val="00A678D1"/>
    <w:rsid w:val="00A70FDD"/>
    <w:rsid w:val="00A7249D"/>
    <w:rsid w:val="00A731EB"/>
    <w:rsid w:val="00A73AF0"/>
    <w:rsid w:val="00A7421C"/>
    <w:rsid w:val="00A775CB"/>
    <w:rsid w:val="00A8183A"/>
    <w:rsid w:val="00A82346"/>
    <w:rsid w:val="00A831E2"/>
    <w:rsid w:val="00A85831"/>
    <w:rsid w:val="00A85D60"/>
    <w:rsid w:val="00A86966"/>
    <w:rsid w:val="00A940C4"/>
    <w:rsid w:val="00A94298"/>
    <w:rsid w:val="00A95E60"/>
    <w:rsid w:val="00A96B56"/>
    <w:rsid w:val="00AA3B03"/>
    <w:rsid w:val="00AB0B6C"/>
    <w:rsid w:val="00AB4BB2"/>
    <w:rsid w:val="00AB5389"/>
    <w:rsid w:val="00AC115A"/>
    <w:rsid w:val="00AC17A1"/>
    <w:rsid w:val="00AC304C"/>
    <w:rsid w:val="00AC3694"/>
    <w:rsid w:val="00AC3842"/>
    <w:rsid w:val="00AC48D8"/>
    <w:rsid w:val="00AD1152"/>
    <w:rsid w:val="00AD535E"/>
    <w:rsid w:val="00AE0E8E"/>
    <w:rsid w:val="00AE45BE"/>
    <w:rsid w:val="00AE53A9"/>
    <w:rsid w:val="00AF09C5"/>
    <w:rsid w:val="00AF3F7B"/>
    <w:rsid w:val="00B03A86"/>
    <w:rsid w:val="00B05C01"/>
    <w:rsid w:val="00B06E2E"/>
    <w:rsid w:val="00B1250C"/>
    <w:rsid w:val="00B12CAE"/>
    <w:rsid w:val="00B1357D"/>
    <w:rsid w:val="00B13E81"/>
    <w:rsid w:val="00B14246"/>
    <w:rsid w:val="00B15449"/>
    <w:rsid w:val="00B16CF2"/>
    <w:rsid w:val="00B248C7"/>
    <w:rsid w:val="00B24A82"/>
    <w:rsid w:val="00B25062"/>
    <w:rsid w:val="00B305CC"/>
    <w:rsid w:val="00B366F5"/>
    <w:rsid w:val="00B41025"/>
    <w:rsid w:val="00B42A00"/>
    <w:rsid w:val="00B4308E"/>
    <w:rsid w:val="00B476B7"/>
    <w:rsid w:val="00B55FAA"/>
    <w:rsid w:val="00B57386"/>
    <w:rsid w:val="00B632E4"/>
    <w:rsid w:val="00B72981"/>
    <w:rsid w:val="00B76D65"/>
    <w:rsid w:val="00B8011F"/>
    <w:rsid w:val="00B83A50"/>
    <w:rsid w:val="00B83CDD"/>
    <w:rsid w:val="00B85B49"/>
    <w:rsid w:val="00B85FC9"/>
    <w:rsid w:val="00B91CC4"/>
    <w:rsid w:val="00B96072"/>
    <w:rsid w:val="00B96C0C"/>
    <w:rsid w:val="00BA2D9C"/>
    <w:rsid w:val="00BA6830"/>
    <w:rsid w:val="00BA7C2D"/>
    <w:rsid w:val="00BB795F"/>
    <w:rsid w:val="00BC0F7D"/>
    <w:rsid w:val="00BC1BEA"/>
    <w:rsid w:val="00BC57B0"/>
    <w:rsid w:val="00BC7968"/>
    <w:rsid w:val="00BD097F"/>
    <w:rsid w:val="00BD1E88"/>
    <w:rsid w:val="00BD27A4"/>
    <w:rsid w:val="00BD54B2"/>
    <w:rsid w:val="00BD79B5"/>
    <w:rsid w:val="00BE0319"/>
    <w:rsid w:val="00BE06D2"/>
    <w:rsid w:val="00BE18DE"/>
    <w:rsid w:val="00BE230F"/>
    <w:rsid w:val="00BE4219"/>
    <w:rsid w:val="00BE5924"/>
    <w:rsid w:val="00BE7FCF"/>
    <w:rsid w:val="00BF1095"/>
    <w:rsid w:val="00BF1C81"/>
    <w:rsid w:val="00BF4492"/>
    <w:rsid w:val="00BF4959"/>
    <w:rsid w:val="00BF7127"/>
    <w:rsid w:val="00BF77D0"/>
    <w:rsid w:val="00C00B4D"/>
    <w:rsid w:val="00C0387F"/>
    <w:rsid w:val="00C045AA"/>
    <w:rsid w:val="00C152BC"/>
    <w:rsid w:val="00C17A60"/>
    <w:rsid w:val="00C17E05"/>
    <w:rsid w:val="00C20728"/>
    <w:rsid w:val="00C20F3A"/>
    <w:rsid w:val="00C24914"/>
    <w:rsid w:val="00C25227"/>
    <w:rsid w:val="00C27DE0"/>
    <w:rsid w:val="00C27FB1"/>
    <w:rsid w:val="00C316CA"/>
    <w:rsid w:val="00C33079"/>
    <w:rsid w:val="00C34800"/>
    <w:rsid w:val="00C371B3"/>
    <w:rsid w:val="00C37663"/>
    <w:rsid w:val="00C37785"/>
    <w:rsid w:val="00C43EDF"/>
    <w:rsid w:val="00C45231"/>
    <w:rsid w:val="00C460AD"/>
    <w:rsid w:val="00C467B5"/>
    <w:rsid w:val="00C51916"/>
    <w:rsid w:val="00C555BD"/>
    <w:rsid w:val="00C55A91"/>
    <w:rsid w:val="00C6035E"/>
    <w:rsid w:val="00C61586"/>
    <w:rsid w:val="00C62FDA"/>
    <w:rsid w:val="00C70D91"/>
    <w:rsid w:val="00C71453"/>
    <w:rsid w:val="00C72833"/>
    <w:rsid w:val="00C735FC"/>
    <w:rsid w:val="00C75E0F"/>
    <w:rsid w:val="00C83CFD"/>
    <w:rsid w:val="00C84D11"/>
    <w:rsid w:val="00C8583F"/>
    <w:rsid w:val="00C90284"/>
    <w:rsid w:val="00C91A33"/>
    <w:rsid w:val="00C91CC6"/>
    <w:rsid w:val="00C92C8B"/>
    <w:rsid w:val="00C93ECA"/>
    <w:rsid w:val="00C93F40"/>
    <w:rsid w:val="00C961E6"/>
    <w:rsid w:val="00C96843"/>
    <w:rsid w:val="00C978CA"/>
    <w:rsid w:val="00CA3B1D"/>
    <w:rsid w:val="00CA3D0C"/>
    <w:rsid w:val="00CA3D41"/>
    <w:rsid w:val="00CA47BF"/>
    <w:rsid w:val="00CA5AE2"/>
    <w:rsid w:val="00CB380A"/>
    <w:rsid w:val="00CC3F7F"/>
    <w:rsid w:val="00CC64C1"/>
    <w:rsid w:val="00CC65C7"/>
    <w:rsid w:val="00CC6C23"/>
    <w:rsid w:val="00CC7C27"/>
    <w:rsid w:val="00CD110C"/>
    <w:rsid w:val="00CD271F"/>
    <w:rsid w:val="00CD2E52"/>
    <w:rsid w:val="00CD43C0"/>
    <w:rsid w:val="00CE0801"/>
    <w:rsid w:val="00CE2C38"/>
    <w:rsid w:val="00CE45C5"/>
    <w:rsid w:val="00CE7175"/>
    <w:rsid w:val="00CF21D3"/>
    <w:rsid w:val="00CF2731"/>
    <w:rsid w:val="00CF2B28"/>
    <w:rsid w:val="00CF3CF7"/>
    <w:rsid w:val="00CF68F2"/>
    <w:rsid w:val="00D009F2"/>
    <w:rsid w:val="00D00C13"/>
    <w:rsid w:val="00D00FF0"/>
    <w:rsid w:val="00D02856"/>
    <w:rsid w:val="00D02CFA"/>
    <w:rsid w:val="00D0311A"/>
    <w:rsid w:val="00D045E8"/>
    <w:rsid w:val="00D11B3A"/>
    <w:rsid w:val="00D15384"/>
    <w:rsid w:val="00D158CE"/>
    <w:rsid w:val="00D20D2C"/>
    <w:rsid w:val="00D23E17"/>
    <w:rsid w:val="00D24DA2"/>
    <w:rsid w:val="00D2544C"/>
    <w:rsid w:val="00D266C9"/>
    <w:rsid w:val="00D271C6"/>
    <w:rsid w:val="00D30461"/>
    <w:rsid w:val="00D335EA"/>
    <w:rsid w:val="00D359CC"/>
    <w:rsid w:val="00D41181"/>
    <w:rsid w:val="00D41D7F"/>
    <w:rsid w:val="00D4283E"/>
    <w:rsid w:val="00D43A66"/>
    <w:rsid w:val="00D445C5"/>
    <w:rsid w:val="00D450D8"/>
    <w:rsid w:val="00D4682F"/>
    <w:rsid w:val="00D47C2A"/>
    <w:rsid w:val="00D514F6"/>
    <w:rsid w:val="00D52107"/>
    <w:rsid w:val="00D53D11"/>
    <w:rsid w:val="00D541BF"/>
    <w:rsid w:val="00D55AA5"/>
    <w:rsid w:val="00D56778"/>
    <w:rsid w:val="00D5737B"/>
    <w:rsid w:val="00D6059F"/>
    <w:rsid w:val="00D61CF6"/>
    <w:rsid w:val="00D6448A"/>
    <w:rsid w:val="00D65783"/>
    <w:rsid w:val="00D70F20"/>
    <w:rsid w:val="00D72AA8"/>
    <w:rsid w:val="00D738D6"/>
    <w:rsid w:val="00D755EB"/>
    <w:rsid w:val="00D7568E"/>
    <w:rsid w:val="00D86FEB"/>
    <w:rsid w:val="00D87E00"/>
    <w:rsid w:val="00D9134D"/>
    <w:rsid w:val="00D91C79"/>
    <w:rsid w:val="00D92C36"/>
    <w:rsid w:val="00D94568"/>
    <w:rsid w:val="00D94A7B"/>
    <w:rsid w:val="00D9546E"/>
    <w:rsid w:val="00D96451"/>
    <w:rsid w:val="00DA2DBA"/>
    <w:rsid w:val="00DA352D"/>
    <w:rsid w:val="00DA7A03"/>
    <w:rsid w:val="00DB0ACD"/>
    <w:rsid w:val="00DB1818"/>
    <w:rsid w:val="00DB5079"/>
    <w:rsid w:val="00DB5BAB"/>
    <w:rsid w:val="00DB6C91"/>
    <w:rsid w:val="00DC0664"/>
    <w:rsid w:val="00DC309B"/>
    <w:rsid w:val="00DC4131"/>
    <w:rsid w:val="00DC4333"/>
    <w:rsid w:val="00DC4DA2"/>
    <w:rsid w:val="00DC524F"/>
    <w:rsid w:val="00DC5429"/>
    <w:rsid w:val="00DC7E7A"/>
    <w:rsid w:val="00DD2296"/>
    <w:rsid w:val="00DD491D"/>
    <w:rsid w:val="00DD5CFF"/>
    <w:rsid w:val="00DD5EB4"/>
    <w:rsid w:val="00DE0C17"/>
    <w:rsid w:val="00DE43AB"/>
    <w:rsid w:val="00DE66A9"/>
    <w:rsid w:val="00DF0262"/>
    <w:rsid w:val="00DF2B1F"/>
    <w:rsid w:val="00DF2EC7"/>
    <w:rsid w:val="00DF4AD9"/>
    <w:rsid w:val="00DF62CD"/>
    <w:rsid w:val="00DF69B9"/>
    <w:rsid w:val="00DF7D47"/>
    <w:rsid w:val="00E05497"/>
    <w:rsid w:val="00E06B84"/>
    <w:rsid w:val="00E11D5B"/>
    <w:rsid w:val="00E127BB"/>
    <w:rsid w:val="00E129D0"/>
    <w:rsid w:val="00E13370"/>
    <w:rsid w:val="00E15171"/>
    <w:rsid w:val="00E20B05"/>
    <w:rsid w:val="00E333F5"/>
    <w:rsid w:val="00E373EF"/>
    <w:rsid w:val="00E40499"/>
    <w:rsid w:val="00E41C4A"/>
    <w:rsid w:val="00E4227F"/>
    <w:rsid w:val="00E448DE"/>
    <w:rsid w:val="00E50AD4"/>
    <w:rsid w:val="00E576EA"/>
    <w:rsid w:val="00E614A7"/>
    <w:rsid w:val="00E618EE"/>
    <w:rsid w:val="00E62306"/>
    <w:rsid w:val="00E665A6"/>
    <w:rsid w:val="00E72121"/>
    <w:rsid w:val="00E72F53"/>
    <w:rsid w:val="00E75D46"/>
    <w:rsid w:val="00E77645"/>
    <w:rsid w:val="00E811D6"/>
    <w:rsid w:val="00E823B1"/>
    <w:rsid w:val="00E83536"/>
    <w:rsid w:val="00E83C91"/>
    <w:rsid w:val="00E84849"/>
    <w:rsid w:val="00E85016"/>
    <w:rsid w:val="00E85635"/>
    <w:rsid w:val="00E8635A"/>
    <w:rsid w:val="00E9354D"/>
    <w:rsid w:val="00E94F2B"/>
    <w:rsid w:val="00EA0876"/>
    <w:rsid w:val="00EA2E61"/>
    <w:rsid w:val="00EA7C61"/>
    <w:rsid w:val="00EB0546"/>
    <w:rsid w:val="00EB0F28"/>
    <w:rsid w:val="00EB26E3"/>
    <w:rsid w:val="00EB2DC6"/>
    <w:rsid w:val="00EB31CF"/>
    <w:rsid w:val="00EB7108"/>
    <w:rsid w:val="00EC4650"/>
    <w:rsid w:val="00EC4A25"/>
    <w:rsid w:val="00EE00DC"/>
    <w:rsid w:val="00EE15B4"/>
    <w:rsid w:val="00EE235A"/>
    <w:rsid w:val="00EE2AEB"/>
    <w:rsid w:val="00EE2F30"/>
    <w:rsid w:val="00EE3480"/>
    <w:rsid w:val="00EE45D4"/>
    <w:rsid w:val="00EE4EAF"/>
    <w:rsid w:val="00EE602F"/>
    <w:rsid w:val="00EE6BD6"/>
    <w:rsid w:val="00EF1994"/>
    <w:rsid w:val="00EF1FC5"/>
    <w:rsid w:val="00EF4078"/>
    <w:rsid w:val="00EF605D"/>
    <w:rsid w:val="00F00464"/>
    <w:rsid w:val="00F025A2"/>
    <w:rsid w:val="00F03195"/>
    <w:rsid w:val="00F04712"/>
    <w:rsid w:val="00F06951"/>
    <w:rsid w:val="00F17FB9"/>
    <w:rsid w:val="00F22159"/>
    <w:rsid w:val="00F22EC7"/>
    <w:rsid w:val="00F24D82"/>
    <w:rsid w:val="00F264EF"/>
    <w:rsid w:val="00F26CEE"/>
    <w:rsid w:val="00F2759B"/>
    <w:rsid w:val="00F2773F"/>
    <w:rsid w:val="00F3386E"/>
    <w:rsid w:val="00F41FA9"/>
    <w:rsid w:val="00F42068"/>
    <w:rsid w:val="00F4279E"/>
    <w:rsid w:val="00F47B03"/>
    <w:rsid w:val="00F556C7"/>
    <w:rsid w:val="00F576EB"/>
    <w:rsid w:val="00F653B8"/>
    <w:rsid w:val="00F668A7"/>
    <w:rsid w:val="00F66DE7"/>
    <w:rsid w:val="00F7063C"/>
    <w:rsid w:val="00F72BC0"/>
    <w:rsid w:val="00F72F54"/>
    <w:rsid w:val="00F75D5F"/>
    <w:rsid w:val="00F7732D"/>
    <w:rsid w:val="00F812D7"/>
    <w:rsid w:val="00F82CB3"/>
    <w:rsid w:val="00F87CBD"/>
    <w:rsid w:val="00F93780"/>
    <w:rsid w:val="00F940E4"/>
    <w:rsid w:val="00F951DE"/>
    <w:rsid w:val="00F96991"/>
    <w:rsid w:val="00FA1266"/>
    <w:rsid w:val="00FA5947"/>
    <w:rsid w:val="00FA7917"/>
    <w:rsid w:val="00FB05F8"/>
    <w:rsid w:val="00FB0DC4"/>
    <w:rsid w:val="00FB5256"/>
    <w:rsid w:val="00FB5F3B"/>
    <w:rsid w:val="00FB6C83"/>
    <w:rsid w:val="00FC1192"/>
    <w:rsid w:val="00FC68BE"/>
    <w:rsid w:val="00FD7938"/>
    <w:rsid w:val="00FE0439"/>
    <w:rsid w:val="00FE11B9"/>
    <w:rsid w:val="00FE14A1"/>
    <w:rsid w:val="00FE1619"/>
    <w:rsid w:val="00FE181B"/>
    <w:rsid w:val="00FE4075"/>
    <w:rsid w:val="00FF1F52"/>
    <w:rsid w:val="00FF37F5"/>
    <w:rsid w:val="00FF4AA1"/>
    <w:rsid w:val="00FF60A1"/>
    <w:rsid w:val="00FF7ED5"/>
  </w:rsids>
  <m:mathPr>
    <m:mathFont m:val="Cambria Math"/>
    <m:brkBin m:val="before"/>
    <m:brkBinSub m:val="--"/>
    <m:smallFrac m:val="0"/>
    <m:dispDef/>
    <m:lMargin m:val="0"/>
    <m:rMargin m:val="0"/>
    <m:defJc m:val="centerGroup"/>
    <m:wrapIndent m:val="1440"/>
    <m:intLim m:val="subSup"/>
    <m:naryLim m:val="undOvr"/>
  </m:mathPr>
  <w:themeFontLang w:val="sv-S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6124CEC"/>
  <w15:chartTrackingRefBased/>
  <w15:docId w15:val="{15111F23-6222-4CAE-83F6-0F7C6BBE6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annotation text" w:uiPriority="99" w:qFormat="1"/>
    <w:lsdException w:name="header" w:qFormat="1"/>
    <w:lsdException w:name="footer" w:qFormat="1"/>
    <w:lsdException w:name="caption" w:semiHidden="1" w:unhideWhenUsed="1" w:qFormat="1"/>
    <w:lsdException w:name="annotation reference" w:uiPriority="99" w:qFormat="1"/>
    <w:lsdException w:name="Title" w:qFormat="1"/>
    <w:lsdException w:name="Default Paragraph Font" w:uiPriority="1"/>
    <w:lsdException w:name="Body Text" w:uiPriority="99"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character" w:styleId="PlaceholderText">
    <w:name w:val="Placeholder Text"/>
    <w:basedOn w:val="DefaultParagraphFont"/>
    <w:uiPriority w:val="99"/>
    <w:semiHidden/>
    <w:rsid w:val="00A66242"/>
    <w:rPr>
      <w:color w:val="808080"/>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rmal"/>
    <w:pPr>
      <w:keepNext/>
      <w:spacing w:after="0"/>
    </w:pPr>
    <w:rPr>
      <w:rFonts w:ascii="Arial" w:hAnsi="Arial"/>
      <w:sz w:val="18"/>
    </w:rPr>
  </w:style>
  <w:style w:type="paragraph" w:styleId="ListParagraph">
    <w:name w:val="List Paragraph"/>
    <w:basedOn w:val="Normal"/>
    <w:uiPriority w:val="34"/>
    <w:qFormat/>
    <w:rsid w:val="00783817"/>
    <w:pPr>
      <w:ind w:left="720"/>
      <w:contextualSpacing/>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styleId="Caption">
    <w:name w:val="caption"/>
    <w:basedOn w:val="Normal"/>
    <w:next w:val="Normal"/>
    <w:unhideWhenUsed/>
    <w:qFormat/>
    <w:rsid w:val="00276FE0"/>
    <w:pPr>
      <w:spacing w:after="200"/>
    </w:pPr>
    <w:rPr>
      <w:i/>
      <w:iCs/>
      <w:color w:val="44546A" w:themeColor="text2"/>
      <w:sz w:val="18"/>
      <w:szCs w:val="18"/>
    </w:rPr>
  </w:style>
  <w:style w:type="paragraph" w:customStyle="1" w:styleId="FP">
    <w:name w:val="FP"/>
    <w:basedOn w:val="Normal"/>
    <w:pPr>
      <w:spacing w:after="0"/>
    </w:pPr>
  </w:style>
  <w:style w:type="paragraph" w:customStyle="1" w:styleId="NW">
    <w:name w:val="NW"/>
    <w:basedOn w:val="Normal"/>
    <w:pPr>
      <w:spacing w:after="0"/>
    </w:pPr>
  </w:style>
  <w:style w:type="paragraph" w:customStyle="1" w:styleId="EW">
    <w:name w:val="EW"/>
    <w:basedOn w:val="Normal"/>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rmal"/>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TALChar">
    <w:name w:val="TAL Char"/>
    <w:link w:val="TAL"/>
    <w:qFormat/>
    <w:rsid w:val="009B5100"/>
    <w:rPr>
      <w:rFonts w:ascii="Arial" w:hAnsi="Arial"/>
      <w:sz w:val="18"/>
      <w:lang w:val="en-GB" w:eastAsia="en-US"/>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qFormat/>
    <w:rsid w:val="009B13F6"/>
    <w:rPr>
      <w:lang w:val="en-GB" w:eastAsia="en-US"/>
    </w:rPr>
  </w:style>
  <w:style w:type="character" w:customStyle="1" w:styleId="THChar">
    <w:name w:val="TH Char"/>
    <w:link w:val="TH"/>
    <w:qFormat/>
    <w:rsid w:val="000E1DEA"/>
    <w:rPr>
      <w:rFonts w:ascii="Arial" w:hAnsi="Arial"/>
      <w:b/>
      <w:lang w:val="en-GB" w:eastAsia="en-US"/>
    </w:rPr>
  </w:style>
  <w:style w:type="character" w:customStyle="1" w:styleId="TACChar">
    <w:name w:val="TAC Char"/>
    <w:link w:val="TAC"/>
    <w:qFormat/>
    <w:rsid w:val="008B735F"/>
    <w:rPr>
      <w:rFonts w:ascii="Arial" w:hAnsi="Arial"/>
      <w:sz w:val="18"/>
      <w:lang w:val="en-GB" w:eastAsia="en-US"/>
    </w:rPr>
  </w:style>
  <w:style w:type="character" w:customStyle="1" w:styleId="TAHCar">
    <w:name w:val="TAH Car"/>
    <w:link w:val="TAH"/>
    <w:uiPriority w:val="99"/>
    <w:qFormat/>
    <w:rsid w:val="008B735F"/>
    <w:rPr>
      <w:rFonts w:ascii="Arial" w:hAnsi="Arial"/>
      <w:b/>
      <w:sz w:val="18"/>
      <w:lang w:val="en-GB" w:eastAsia="en-US"/>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qFormat/>
    <w:rsid w:val="00567D27"/>
    <w:rPr>
      <w:rFonts w:ascii="Arial" w:hAnsi="Arial"/>
      <w:b/>
      <w:noProof/>
      <w:sz w:val="18"/>
      <w:lang w:val="en-GB" w:eastAsia="ja-JP"/>
    </w:rPr>
  </w:style>
  <w:style w:type="character" w:customStyle="1" w:styleId="FooterChar">
    <w:name w:val="Footer Char"/>
    <w:basedOn w:val="DefaultParagraphFont"/>
    <w:link w:val="Footer"/>
    <w:qFormat/>
    <w:rsid w:val="00567D27"/>
    <w:rPr>
      <w:rFonts w:ascii="Arial" w:hAnsi="Arial"/>
      <w:b/>
      <w:i/>
      <w:noProof/>
      <w:sz w:val="18"/>
      <w:lang w:val="en-GB" w:eastAsia="ja-JP"/>
    </w:rPr>
  </w:style>
  <w:style w:type="character" w:styleId="CommentReference">
    <w:name w:val="annotation reference"/>
    <w:basedOn w:val="DefaultParagraphFont"/>
    <w:uiPriority w:val="99"/>
    <w:qFormat/>
    <w:rsid w:val="009F24F0"/>
    <w:rPr>
      <w:sz w:val="16"/>
      <w:szCs w:val="16"/>
    </w:rPr>
  </w:style>
  <w:style w:type="paragraph" w:styleId="CommentText">
    <w:name w:val="annotation text"/>
    <w:basedOn w:val="Normal"/>
    <w:link w:val="CommentTextChar"/>
    <w:uiPriority w:val="99"/>
    <w:qFormat/>
    <w:rsid w:val="009F24F0"/>
  </w:style>
  <w:style w:type="character" w:customStyle="1" w:styleId="CommentTextChar">
    <w:name w:val="Comment Text Char"/>
    <w:basedOn w:val="DefaultParagraphFont"/>
    <w:link w:val="CommentText"/>
    <w:uiPriority w:val="99"/>
    <w:qFormat/>
    <w:rsid w:val="009F24F0"/>
    <w:rPr>
      <w:lang w:val="en-GB" w:eastAsia="en-US"/>
    </w:rPr>
  </w:style>
  <w:style w:type="paragraph" w:styleId="CommentSubject">
    <w:name w:val="annotation subject"/>
    <w:basedOn w:val="CommentText"/>
    <w:next w:val="CommentText"/>
    <w:link w:val="CommentSubjectChar"/>
    <w:semiHidden/>
    <w:unhideWhenUsed/>
    <w:rsid w:val="009F24F0"/>
    <w:rPr>
      <w:b/>
      <w:bCs/>
    </w:rPr>
  </w:style>
  <w:style w:type="character" w:customStyle="1" w:styleId="CommentSubjectChar">
    <w:name w:val="Comment Subject Char"/>
    <w:basedOn w:val="CommentTextChar"/>
    <w:link w:val="CommentSubject"/>
    <w:semiHidden/>
    <w:rsid w:val="009F24F0"/>
    <w:rPr>
      <w:b/>
      <w:bCs/>
      <w:lang w:val="en-GB" w:eastAsia="en-US"/>
    </w:rPr>
  </w:style>
  <w:style w:type="paragraph" w:customStyle="1" w:styleId="CRCoverPage">
    <w:name w:val="CR Cover Page"/>
    <w:rsid w:val="0054115D"/>
    <w:pPr>
      <w:spacing w:after="120"/>
    </w:pPr>
    <w:rPr>
      <w:rFonts w:ascii="Arial" w:hAnsi="Arial"/>
      <w:lang w:val="en-GB" w:eastAsia="en-US"/>
    </w:rPr>
  </w:style>
  <w:style w:type="character" w:customStyle="1" w:styleId="TALCar">
    <w:name w:val="TAL Car"/>
    <w:locked/>
    <w:rsid w:val="00365D03"/>
    <w:rPr>
      <w:rFonts w:ascii="Arial" w:eastAsiaTheme="minorHAnsi" w:hAnsi="Arial" w:cstheme="minorBidi"/>
      <w:sz w:val="18"/>
      <w:szCs w:val="22"/>
    </w:rPr>
  </w:style>
  <w:style w:type="paragraph" w:customStyle="1" w:styleId="NO">
    <w:name w:val="NO"/>
    <w:basedOn w:val="Normal"/>
    <w:rsid w:val="00885A98"/>
    <w:pPr>
      <w:keepLines/>
      <w:spacing w:after="160" w:line="256" w:lineRule="auto"/>
      <w:ind w:left="1135" w:hanging="851"/>
    </w:pPr>
    <w:rPr>
      <w:rFonts w:asciiTheme="minorHAnsi" w:eastAsiaTheme="minorHAnsi" w:hAnsiTheme="minorHAnsi" w:cstheme="minorBidi"/>
      <w:sz w:val="22"/>
      <w:szCs w:val="22"/>
      <w:lang w:val="en-US"/>
    </w:rPr>
  </w:style>
  <w:style w:type="paragraph" w:customStyle="1" w:styleId="Observation">
    <w:name w:val="Observation"/>
    <w:basedOn w:val="Normal"/>
    <w:qFormat/>
    <w:rsid w:val="00C045AA"/>
    <w:pPr>
      <w:numPr>
        <w:numId w:val="36"/>
      </w:numPr>
      <w:tabs>
        <w:tab w:val="left" w:pos="1701"/>
      </w:tabs>
      <w:overflowPunct w:val="0"/>
      <w:autoSpaceDE w:val="0"/>
      <w:autoSpaceDN w:val="0"/>
      <w:adjustRightInd w:val="0"/>
      <w:spacing w:after="120"/>
      <w:jc w:val="both"/>
      <w:textAlignment w:val="baseline"/>
    </w:pPr>
    <w:rPr>
      <w:rFonts w:ascii="Arial" w:hAnsi="Arial"/>
      <w:b/>
      <w:bCs/>
      <w:lang w:val="en-US" w:eastAsia="ja-JP"/>
    </w:rPr>
  </w:style>
  <w:style w:type="paragraph" w:customStyle="1" w:styleId="Proposal">
    <w:name w:val="Proposal"/>
    <w:basedOn w:val="BodyText"/>
    <w:qFormat/>
    <w:rsid w:val="00E665A6"/>
    <w:pPr>
      <w:numPr>
        <w:numId w:val="25"/>
      </w:numPr>
      <w:tabs>
        <w:tab w:val="left" w:pos="1701"/>
      </w:tabs>
      <w:overflowPunct w:val="0"/>
      <w:autoSpaceDE w:val="0"/>
      <w:autoSpaceDN w:val="0"/>
      <w:adjustRightInd w:val="0"/>
      <w:jc w:val="both"/>
      <w:textAlignment w:val="baseline"/>
    </w:pPr>
    <w:rPr>
      <w:rFonts w:ascii="Arial" w:hAnsi="Arial"/>
      <w:b/>
      <w:bCs/>
      <w:lang w:val="en-US" w:eastAsia="zh-CN"/>
    </w:rPr>
  </w:style>
  <w:style w:type="character" w:customStyle="1" w:styleId="TFChar">
    <w:name w:val="TF Char"/>
    <w:link w:val="TF"/>
    <w:locked/>
    <w:rsid w:val="007E22E7"/>
    <w:rPr>
      <w:rFonts w:ascii="Arial" w:hAnsi="Arial" w:cs="Arial"/>
      <w:b/>
      <w:lang w:eastAsia="en-US"/>
    </w:rPr>
  </w:style>
  <w:style w:type="paragraph" w:customStyle="1" w:styleId="TF">
    <w:name w:val="TF"/>
    <w:basedOn w:val="Normal"/>
    <w:link w:val="TFChar"/>
    <w:qFormat/>
    <w:rsid w:val="007E22E7"/>
    <w:pPr>
      <w:keepLines/>
      <w:spacing w:after="240"/>
      <w:jc w:val="center"/>
    </w:pPr>
    <w:rPr>
      <w:rFonts w:ascii="Arial" w:hAnsi="Arial" w:cs="Arial"/>
      <w:b/>
      <w:lang w:val="sv-SE"/>
    </w:rPr>
  </w:style>
  <w:style w:type="character" w:customStyle="1" w:styleId="TANChar">
    <w:name w:val="TAN Char"/>
    <w:link w:val="TAN"/>
    <w:qFormat/>
    <w:locked/>
    <w:rsid w:val="00D70F20"/>
    <w:rPr>
      <w:rFonts w:ascii="Arial" w:hAnsi="Arial" w:cs="Arial"/>
      <w:sz w:val="18"/>
      <w:lang w:eastAsia="en-US"/>
    </w:rPr>
  </w:style>
  <w:style w:type="paragraph" w:customStyle="1" w:styleId="TAN">
    <w:name w:val="TAN"/>
    <w:basedOn w:val="TAL"/>
    <w:link w:val="TANChar"/>
    <w:qFormat/>
    <w:rsid w:val="00D70F20"/>
    <w:pPr>
      <w:ind w:left="851" w:hanging="851"/>
    </w:pPr>
    <w:rPr>
      <w:rFonts w:cs="Arial"/>
      <w:lang w:val="sv-SE"/>
    </w:rPr>
  </w:style>
  <w:style w:type="paragraph" w:styleId="ListBullet4">
    <w:name w:val="List Bullet 4"/>
    <w:basedOn w:val="ListBullet3"/>
    <w:rsid w:val="00BE7FCF"/>
    <w:pPr>
      <w:numPr>
        <w:numId w:val="30"/>
      </w:numPr>
      <w:overflowPunct w:val="0"/>
      <w:autoSpaceDE w:val="0"/>
      <w:autoSpaceDN w:val="0"/>
      <w:adjustRightInd w:val="0"/>
      <w:spacing w:after="120"/>
      <w:ind w:left="644"/>
      <w:contextualSpacing w:val="0"/>
      <w:jc w:val="both"/>
      <w:textAlignment w:val="baseline"/>
    </w:pPr>
    <w:rPr>
      <w:rFonts w:ascii="Arial" w:hAnsi="Arial"/>
      <w:lang w:val="en-US" w:eastAsia="ja-JP"/>
    </w:rPr>
  </w:style>
  <w:style w:type="paragraph" w:styleId="ListBullet3">
    <w:name w:val="List Bullet 3"/>
    <w:basedOn w:val="Normal"/>
    <w:rsid w:val="00BE7FCF"/>
    <w:pPr>
      <w:tabs>
        <w:tab w:val="num" w:pos="720"/>
      </w:tabs>
      <w:ind w:left="720" w:hanging="720"/>
      <w:contextualSpacing/>
    </w:pPr>
  </w:style>
  <w:style w:type="paragraph" w:customStyle="1" w:styleId="Reference">
    <w:name w:val="Reference"/>
    <w:basedOn w:val="BodyText"/>
    <w:rsid w:val="00D266C9"/>
    <w:pPr>
      <w:numPr>
        <w:numId w:val="34"/>
      </w:numPr>
      <w:overflowPunct w:val="0"/>
      <w:autoSpaceDE w:val="0"/>
      <w:autoSpaceDN w:val="0"/>
      <w:adjustRightInd w:val="0"/>
      <w:jc w:val="both"/>
      <w:textAlignment w:val="baseline"/>
    </w:pPr>
    <w:rPr>
      <w:rFonts w:ascii="Arial" w:hAnsi="Arial"/>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729">
      <w:bodyDiv w:val="1"/>
      <w:marLeft w:val="0"/>
      <w:marRight w:val="0"/>
      <w:marTop w:val="0"/>
      <w:marBottom w:val="0"/>
      <w:divBdr>
        <w:top w:val="none" w:sz="0" w:space="0" w:color="auto"/>
        <w:left w:val="none" w:sz="0" w:space="0" w:color="auto"/>
        <w:bottom w:val="none" w:sz="0" w:space="0" w:color="auto"/>
        <w:right w:val="none" w:sz="0" w:space="0" w:color="auto"/>
      </w:divBdr>
      <w:divsChild>
        <w:div w:id="1313410132">
          <w:marLeft w:val="0"/>
          <w:marRight w:val="0"/>
          <w:marTop w:val="0"/>
          <w:marBottom w:val="0"/>
          <w:divBdr>
            <w:top w:val="none" w:sz="0" w:space="0" w:color="auto"/>
            <w:left w:val="none" w:sz="0" w:space="0" w:color="auto"/>
            <w:bottom w:val="none" w:sz="0" w:space="0" w:color="auto"/>
            <w:right w:val="none" w:sz="0" w:space="0" w:color="auto"/>
          </w:divBdr>
          <w:divsChild>
            <w:div w:id="540634323">
              <w:marLeft w:val="0"/>
              <w:marRight w:val="0"/>
              <w:marTop w:val="0"/>
              <w:marBottom w:val="0"/>
              <w:divBdr>
                <w:top w:val="none" w:sz="0" w:space="0" w:color="auto"/>
                <w:left w:val="none" w:sz="0" w:space="0" w:color="auto"/>
                <w:bottom w:val="none" w:sz="0" w:space="0" w:color="auto"/>
                <w:right w:val="none" w:sz="0" w:space="0" w:color="auto"/>
              </w:divBdr>
            </w:div>
            <w:div w:id="2114324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440773">
      <w:bodyDiv w:val="1"/>
      <w:marLeft w:val="0"/>
      <w:marRight w:val="0"/>
      <w:marTop w:val="0"/>
      <w:marBottom w:val="0"/>
      <w:divBdr>
        <w:top w:val="none" w:sz="0" w:space="0" w:color="auto"/>
        <w:left w:val="none" w:sz="0" w:space="0" w:color="auto"/>
        <w:bottom w:val="none" w:sz="0" w:space="0" w:color="auto"/>
        <w:right w:val="none" w:sz="0" w:space="0" w:color="auto"/>
      </w:divBdr>
    </w:div>
    <w:div w:id="294675517">
      <w:bodyDiv w:val="1"/>
      <w:marLeft w:val="0"/>
      <w:marRight w:val="0"/>
      <w:marTop w:val="0"/>
      <w:marBottom w:val="0"/>
      <w:divBdr>
        <w:top w:val="none" w:sz="0" w:space="0" w:color="auto"/>
        <w:left w:val="none" w:sz="0" w:space="0" w:color="auto"/>
        <w:bottom w:val="none" w:sz="0" w:space="0" w:color="auto"/>
        <w:right w:val="none" w:sz="0" w:space="0" w:color="auto"/>
      </w:divBdr>
    </w:div>
    <w:div w:id="445780935">
      <w:bodyDiv w:val="1"/>
      <w:marLeft w:val="0"/>
      <w:marRight w:val="0"/>
      <w:marTop w:val="0"/>
      <w:marBottom w:val="0"/>
      <w:divBdr>
        <w:top w:val="none" w:sz="0" w:space="0" w:color="auto"/>
        <w:left w:val="none" w:sz="0" w:space="0" w:color="auto"/>
        <w:bottom w:val="none" w:sz="0" w:space="0" w:color="auto"/>
        <w:right w:val="none" w:sz="0" w:space="0" w:color="auto"/>
      </w:divBdr>
    </w:div>
    <w:div w:id="691540071">
      <w:bodyDiv w:val="1"/>
      <w:marLeft w:val="0"/>
      <w:marRight w:val="0"/>
      <w:marTop w:val="0"/>
      <w:marBottom w:val="0"/>
      <w:divBdr>
        <w:top w:val="none" w:sz="0" w:space="0" w:color="auto"/>
        <w:left w:val="none" w:sz="0" w:space="0" w:color="auto"/>
        <w:bottom w:val="none" w:sz="0" w:space="0" w:color="auto"/>
        <w:right w:val="none" w:sz="0" w:space="0" w:color="auto"/>
      </w:divBdr>
    </w:div>
    <w:div w:id="875047503">
      <w:bodyDiv w:val="1"/>
      <w:marLeft w:val="0"/>
      <w:marRight w:val="0"/>
      <w:marTop w:val="0"/>
      <w:marBottom w:val="0"/>
      <w:divBdr>
        <w:top w:val="none" w:sz="0" w:space="0" w:color="auto"/>
        <w:left w:val="none" w:sz="0" w:space="0" w:color="auto"/>
        <w:bottom w:val="none" w:sz="0" w:space="0" w:color="auto"/>
        <w:right w:val="none" w:sz="0" w:space="0" w:color="auto"/>
      </w:divBdr>
    </w:div>
    <w:div w:id="950237031">
      <w:bodyDiv w:val="1"/>
      <w:marLeft w:val="0"/>
      <w:marRight w:val="0"/>
      <w:marTop w:val="0"/>
      <w:marBottom w:val="0"/>
      <w:divBdr>
        <w:top w:val="none" w:sz="0" w:space="0" w:color="auto"/>
        <w:left w:val="none" w:sz="0" w:space="0" w:color="auto"/>
        <w:bottom w:val="none" w:sz="0" w:space="0" w:color="auto"/>
        <w:right w:val="none" w:sz="0" w:space="0" w:color="auto"/>
      </w:divBdr>
      <w:divsChild>
        <w:div w:id="478427596">
          <w:marLeft w:val="547"/>
          <w:marRight w:val="0"/>
          <w:marTop w:val="96"/>
          <w:marBottom w:val="0"/>
          <w:divBdr>
            <w:top w:val="none" w:sz="0" w:space="0" w:color="auto"/>
            <w:left w:val="none" w:sz="0" w:space="0" w:color="auto"/>
            <w:bottom w:val="none" w:sz="0" w:space="0" w:color="auto"/>
            <w:right w:val="none" w:sz="0" w:space="0" w:color="auto"/>
          </w:divBdr>
        </w:div>
        <w:div w:id="907544334">
          <w:marLeft w:val="547"/>
          <w:marRight w:val="0"/>
          <w:marTop w:val="106"/>
          <w:marBottom w:val="0"/>
          <w:divBdr>
            <w:top w:val="none" w:sz="0" w:space="0" w:color="auto"/>
            <w:left w:val="none" w:sz="0" w:space="0" w:color="auto"/>
            <w:bottom w:val="none" w:sz="0" w:space="0" w:color="auto"/>
            <w:right w:val="none" w:sz="0" w:space="0" w:color="auto"/>
          </w:divBdr>
        </w:div>
        <w:div w:id="1570268473">
          <w:marLeft w:val="547"/>
          <w:marRight w:val="0"/>
          <w:marTop w:val="96"/>
          <w:marBottom w:val="0"/>
          <w:divBdr>
            <w:top w:val="none" w:sz="0" w:space="0" w:color="auto"/>
            <w:left w:val="none" w:sz="0" w:space="0" w:color="auto"/>
            <w:bottom w:val="none" w:sz="0" w:space="0" w:color="auto"/>
            <w:right w:val="none" w:sz="0" w:space="0" w:color="auto"/>
          </w:divBdr>
        </w:div>
        <w:div w:id="1597519289">
          <w:marLeft w:val="1166"/>
          <w:marRight w:val="0"/>
          <w:marTop w:val="86"/>
          <w:marBottom w:val="0"/>
          <w:divBdr>
            <w:top w:val="none" w:sz="0" w:space="0" w:color="auto"/>
            <w:left w:val="none" w:sz="0" w:space="0" w:color="auto"/>
            <w:bottom w:val="none" w:sz="0" w:space="0" w:color="auto"/>
            <w:right w:val="none" w:sz="0" w:space="0" w:color="auto"/>
          </w:divBdr>
        </w:div>
      </w:divsChild>
    </w:div>
    <w:div w:id="961688852">
      <w:bodyDiv w:val="1"/>
      <w:marLeft w:val="0"/>
      <w:marRight w:val="0"/>
      <w:marTop w:val="0"/>
      <w:marBottom w:val="0"/>
      <w:divBdr>
        <w:top w:val="none" w:sz="0" w:space="0" w:color="auto"/>
        <w:left w:val="none" w:sz="0" w:space="0" w:color="auto"/>
        <w:bottom w:val="none" w:sz="0" w:space="0" w:color="auto"/>
        <w:right w:val="none" w:sz="0" w:space="0" w:color="auto"/>
      </w:divBdr>
    </w:div>
    <w:div w:id="1051030104">
      <w:bodyDiv w:val="1"/>
      <w:marLeft w:val="0"/>
      <w:marRight w:val="0"/>
      <w:marTop w:val="0"/>
      <w:marBottom w:val="0"/>
      <w:divBdr>
        <w:top w:val="none" w:sz="0" w:space="0" w:color="auto"/>
        <w:left w:val="none" w:sz="0" w:space="0" w:color="auto"/>
        <w:bottom w:val="none" w:sz="0" w:space="0" w:color="auto"/>
        <w:right w:val="none" w:sz="0" w:space="0" w:color="auto"/>
      </w:divBdr>
    </w:div>
    <w:div w:id="1268974494">
      <w:bodyDiv w:val="1"/>
      <w:marLeft w:val="0"/>
      <w:marRight w:val="0"/>
      <w:marTop w:val="0"/>
      <w:marBottom w:val="0"/>
      <w:divBdr>
        <w:top w:val="none" w:sz="0" w:space="0" w:color="auto"/>
        <w:left w:val="none" w:sz="0" w:space="0" w:color="auto"/>
        <w:bottom w:val="none" w:sz="0" w:space="0" w:color="auto"/>
        <w:right w:val="none" w:sz="0" w:space="0" w:color="auto"/>
      </w:divBdr>
    </w:div>
    <w:div w:id="1525900893">
      <w:bodyDiv w:val="1"/>
      <w:marLeft w:val="0"/>
      <w:marRight w:val="0"/>
      <w:marTop w:val="0"/>
      <w:marBottom w:val="0"/>
      <w:divBdr>
        <w:top w:val="none" w:sz="0" w:space="0" w:color="auto"/>
        <w:left w:val="none" w:sz="0" w:space="0" w:color="auto"/>
        <w:bottom w:val="none" w:sz="0" w:space="0" w:color="auto"/>
        <w:right w:val="none" w:sz="0" w:space="0" w:color="auto"/>
      </w:divBdr>
      <w:divsChild>
        <w:div w:id="1243371375">
          <w:marLeft w:val="0"/>
          <w:marRight w:val="0"/>
          <w:marTop w:val="0"/>
          <w:marBottom w:val="0"/>
          <w:divBdr>
            <w:top w:val="none" w:sz="0" w:space="0" w:color="auto"/>
            <w:left w:val="none" w:sz="0" w:space="0" w:color="auto"/>
            <w:bottom w:val="none" w:sz="0" w:space="0" w:color="auto"/>
            <w:right w:val="none" w:sz="0" w:space="0" w:color="auto"/>
          </w:divBdr>
          <w:divsChild>
            <w:div w:id="993141087">
              <w:marLeft w:val="0"/>
              <w:marRight w:val="0"/>
              <w:marTop w:val="0"/>
              <w:marBottom w:val="0"/>
              <w:divBdr>
                <w:top w:val="none" w:sz="0" w:space="0" w:color="auto"/>
                <w:left w:val="none" w:sz="0" w:space="0" w:color="auto"/>
                <w:bottom w:val="none" w:sz="0" w:space="0" w:color="auto"/>
                <w:right w:val="none" w:sz="0" w:space="0" w:color="auto"/>
              </w:divBdr>
            </w:div>
            <w:div w:id="119939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tiff"/><Relationship Id="rId26" Type="http://schemas.openxmlformats.org/officeDocument/2006/relationships/image" Target="media/image15.tiff"/><Relationship Id="rId3" Type="http://schemas.openxmlformats.org/officeDocument/2006/relationships/customXml" Target="../customXml/item3.xml"/><Relationship Id="rId21" Type="http://schemas.openxmlformats.org/officeDocument/2006/relationships/image" Target="media/image10.tif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6.tiff"/><Relationship Id="rId25" Type="http://schemas.openxmlformats.org/officeDocument/2006/relationships/image" Target="media/image14.tiff"/><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tiff"/><Relationship Id="rId20" Type="http://schemas.openxmlformats.org/officeDocument/2006/relationships/image" Target="media/image9.tiff"/><Relationship Id="rId29" Type="http://schemas.openxmlformats.org/officeDocument/2006/relationships/image" Target="media/image1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tiff"/><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tiff"/><Relationship Id="rId23" Type="http://schemas.openxmlformats.org/officeDocument/2006/relationships/image" Target="media/image12.tiff"/><Relationship Id="rId28" Type="http://schemas.openxmlformats.org/officeDocument/2006/relationships/image" Target="media/image17.tif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tiff"/><Relationship Id="rId31" Type="http://schemas.openxmlformats.org/officeDocument/2006/relationships/image" Target="media/image20.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iff"/><Relationship Id="rId22" Type="http://schemas.openxmlformats.org/officeDocument/2006/relationships/image" Target="media/image11.tiff"/><Relationship Id="rId27" Type="http://schemas.openxmlformats.org/officeDocument/2006/relationships/image" Target="media/image16.tiff"/><Relationship Id="rId30" Type="http://schemas.openxmlformats.org/officeDocument/2006/relationships/image" Target="media/image19.tif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DA7F9A-BA8A-4A21-B5DC-8800F2F19EB5}">
  <ds:schemaRefs>
    <ds:schemaRef ds:uri="http://schemas.microsoft.com/sharepoint/v3/contenttype/forms"/>
  </ds:schemaRefs>
</ds:datastoreItem>
</file>

<file path=customXml/itemProps2.xml><?xml version="1.0" encoding="utf-8"?>
<ds:datastoreItem xmlns:ds="http://schemas.openxmlformats.org/officeDocument/2006/customXml" ds:itemID="{EF2C002F-FE46-4CE6-AD59-BEE85208E004}">
  <ds:schemaRefs>
    <ds:schemaRef ds:uri="http://purl.org/dc/terms/"/>
    <ds:schemaRef ds:uri="http://schemas.openxmlformats.org/package/2006/metadata/core-properties"/>
    <ds:schemaRef ds:uri="http://schemas.microsoft.com/office/2006/documentManagement/types"/>
    <ds:schemaRef ds:uri="cf7c53e0-8330-4aac-bdbf-6fe5928d1c77"/>
    <ds:schemaRef ds:uri="ecf15794-1c34-4b37-a3c8-0e782a84561c"/>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EE37013B-63F1-4544-826A-A7A8B70273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CD3BC9-5097-4C8E-9E98-F2D3A9251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TotalTime>
  <Pages>12</Pages>
  <Words>3664</Words>
  <Characters>21516</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3</cp:revision>
  <dcterms:created xsi:type="dcterms:W3CDTF">2020-10-23T13:10:00Z</dcterms:created>
  <dcterms:modified xsi:type="dcterms:W3CDTF">2020-10-23T16:34:00Z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y fmtid="{D5CDD505-2E9C-101B-9397-08002B2CF9AE}" pid="3" name="TaxKeyword">
    <vt:lpwstr>12;#keyword|11111111-1111-1111-1111-111111111111</vt:lpwstr>
  </property>
  <property fmtid="{D5CDD505-2E9C-101B-9397-08002B2CF9AE}" pid="4" name="_dlc_DocIdItemGuid">
    <vt:lpwstr>0059e862-4728-46fa-be21-4806157a0898</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ies>
</file>