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DE098" w14:textId="3461698C" w:rsidR="0074759C" w:rsidRPr="0074759C" w:rsidRDefault="0074759C" w:rsidP="0074759C">
      <w:pPr>
        <w:pStyle w:val="a3"/>
        <w:rPr>
          <w:rFonts w:cs="Arial"/>
          <w:noProof w:val="0"/>
          <w:sz w:val="24"/>
          <w:szCs w:val="24"/>
        </w:rPr>
      </w:pPr>
      <w:r w:rsidRPr="0074759C">
        <w:rPr>
          <w:rFonts w:cs="Arial"/>
          <w:noProof w:val="0"/>
          <w:sz w:val="24"/>
          <w:szCs w:val="24"/>
        </w:rPr>
        <w:t xml:space="preserve">3GPP TSG-RAN WG4 Meeting # 97-e </w:t>
      </w:r>
      <w:r w:rsidRPr="0074759C">
        <w:rPr>
          <w:rFonts w:cs="Arial"/>
          <w:noProof w:val="0"/>
          <w:sz w:val="24"/>
          <w:szCs w:val="24"/>
        </w:rPr>
        <w:tab/>
      </w:r>
      <w:r>
        <w:rPr>
          <w:rFonts w:cs="Arial"/>
          <w:noProof w:val="0"/>
          <w:sz w:val="24"/>
          <w:szCs w:val="24"/>
        </w:rPr>
        <w:t xml:space="preserve">                              </w:t>
      </w:r>
      <w:r w:rsidR="00E95ABE" w:rsidRPr="00E95ABE">
        <w:rPr>
          <w:rFonts w:cs="Arial"/>
          <w:noProof w:val="0"/>
          <w:sz w:val="24"/>
          <w:szCs w:val="24"/>
        </w:rPr>
        <w:t>R4-2015524</w:t>
      </w:r>
      <w:bookmarkStart w:id="0" w:name="_GoBack"/>
      <w:bookmarkEnd w:id="0"/>
    </w:p>
    <w:p w14:paraId="63686C3E" w14:textId="6FBDF405" w:rsidR="00DF0231" w:rsidRPr="00F714A7" w:rsidRDefault="0074759C" w:rsidP="0074759C">
      <w:pPr>
        <w:pStyle w:val="a3"/>
        <w:rPr>
          <w:rFonts w:eastAsia="宋体"/>
          <w:noProof w:val="0"/>
          <w:sz w:val="24"/>
          <w:szCs w:val="24"/>
          <w:lang w:eastAsia="zh-CN"/>
        </w:rPr>
      </w:pPr>
      <w:r w:rsidRPr="0074759C">
        <w:rPr>
          <w:rFonts w:cs="Arial"/>
          <w:noProof w:val="0"/>
          <w:sz w:val="24"/>
          <w:szCs w:val="24"/>
        </w:rPr>
        <w:t>Electronic Meeting, 2-13 Nov., 2020</w:t>
      </w: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0D5D2F3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4759C">
        <w:rPr>
          <w:rFonts w:ascii="Arial" w:hAnsi="Arial"/>
          <w:sz w:val="24"/>
          <w:lang w:val="en-US"/>
        </w:rPr>
        <w:t>7.1.</w:t>
      </w:r>
      <w:r w:rsidR="00917272">
        <w:rPr>
          <w:rFonts w:ascii="Arial" w:hAnsi="Arial"/>
          <w:sz w:val="24"/>
          <w:lang w:val="en-US"/>
        </w:rPr>
        <w:t>6</w:t>
      </w:r>
      <w:r w:rsidR="0074759C">
        <w:rPr>
          <w:rFonts w:ascii="Arial" w:hAnsi="Arial"/>
          <w:sz w:val="24"/>
          <w:lang w:val="en-US"/>
        </w:rPr>
        <w:t>.12</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4F8AC738"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53A4A" w:rsidRPr="00D53A4A">
        <w:rPr>
          <w:rFonts w:ascii="Arial" w:hAnsi="Arial"/>
          <w:sz w:val="24"/>
          <w:lang w:val="en-US"/>
        </w:rPr>
        <w:t xml:space="preserve">Discussion on </w:t>
      </w:r>
      <w:r w:rsidR="00901436" w:rsidRPr="00901436">
        <w:rPr>
          <w:rFonts w:ascii="Arial" w:hAnsi="Arial"/>
          <w:sz w:val="24"/>
          <w:lang w:val="en-US"/>
        </w:rPr>
        <w:t>Timing requirements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10633BC8"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2428D6">
        <w:rPr>
          <w:rFonts w:eastAsiaTheme="minorEastAsia"/>
          <w:lang w:val="en-US" w:eastAsia="zh-CN"/>
        </w:rPr>
        <w:t>6</w:t>
      </w:r>
      <w:r w:rsidR="00F714A7">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E775B2">
        <w:rPr>
          <w:rFonts w:eastAsiaTheme="minorEastAsia"/>
          <w:lang w:val="en-US" w:eastAsia="zh-CN"/>
        </w:rPr>
        <w:t xml:space="preserve"> </w:t>
      </w:r>
      <w:r w:rsidR="00901436">
        <w:rPr>
          <w:rFonts w:eastAsiaTheme="minorEastAsia"/>
          <w:lang w:val="en-US" w:eastAsia="zh-CN"/>
        </w:rPr>
        <w:t>of timing requirements</w:t>
      </w:r>
      <w:r w:rsidR="00D53A4A">
        <w:rPr>
          <w:rFonts w:eastAsiaTheme="minorEastAsia"/>
          <w:lang w:val="en-US" w:eastAsia="zh-CN"/>
        </w:rPr>
        <w:t xml:space="preserve"> in NR-U</w:t>
      </w:r>
      <w:r w:rsidR="00E775B2">
        <w:rPr>
          <w:rFonts w:eastAsiaTheme="minorEastAsia"/>
          <w:lang w:val="en-US" w:eastAsia="zh-CN"/>
        </w:rPr>
        <w:t xml:space="preserve"> were discussed</w:t>
      </w:r>
      <w:r w:rsidR="00D53A4A">
        <w:rPr>
          <w:rFonts w:eastAsiaTheme="minorEastAsia"/>
          <w:lang w:val="en-US" w:eastAsia="zh-CN"/>
        </w:rPr>
        <w:t xml:space="preserve"> with agreements captured in</w:t>
      </w:r>
      <w:r w:rsidR="00FD345B">
        <w:rPr>
          <w:rFonts w:eastAsiaTheme="minorEastAsia"/>
          <w:lang w:val="en-US" w:eastAsia="zh-CN"/>
        </w:rPr>
        <w:t xml:space="preserve"> [1]</w:t>
      </w:r>
      <w:r w:rsidR="00E775B2">
        <w:rPr>
          <w:rFonts w:eastAsiaTheme="minorEastAsia"/>
          <w:lang w:val="en-US" w:eastAsia="zh-CN"/>
        </w:rPr>
        <w:t>. In this paper, we further present our views on the remaining issue</w:t>
      </w:r>
      <w:r w:rsidR="00D53A4A">
        <w:rPr>
          <w:rFonts w:eastAsiaTheme="minorEastAsia"/>
          <w:lang w:val="en-US" w:eastAsia="zh-CN"/>
        </w:rPr>
        <w:t>s</w:t>
      </w:r>
      <w:r w:rsidR="00901436">
        <w:rPr>
          <w:rFonts w:eastAsiaTheme="minorEastAsia"/>
          <w:lang w:val="en-US" w:eastAsia="zh-CN"/>
        </w:rPr>
        <w:t>.</w:t>
      </w:r>
    </w:p>
    <w:p w14:paraId="6D78271B" w14:textId="77777777" w:rsidR="00DF0231" w:rsidRDefault="00DF0231" w:rsidP="00DF0231">
      <w:pPr>
        <w:pStyle w:val="1"/>
        <w:numPr>
          <w:ilvl w:val="0"/>
          <w:numId w:val="1"/>
        </w:numPr>
        <w:rPr>
          <w:lang w:val="en-US"/>
        </w:rPr>
      </w:pPr>
      <w:r w:rsidRPr="002D2977">
        <w:rPr>
          <w:lang w:val="en-US"/>
        </w:rPr>
        <w:t>Discussion</w:t>
      </w:r>
    </w:p>
    <w:p w14:paraId="58863B41" w14:textId="6078A05E" w:rsidR="00D53A4A" w:rsidRDefault="00C42942" w:rsidP="00D53A4A">
      <w:pPr>
        <w:rPr>
          <w:rFonts w:eastAsiaTheme="minorEastAsia"/>
          <w:lang w:val="en-US" w:eastAsia="zh-CN"/>
        </w:rPr>
      </w:pPr>
      <w:r>
        <w:rPr>
          <w:rFonts w:eastAsiaTheme="minorEastAsia"/>
          <w:lang w:val="en-US" w:eastAsia="zh-CN"/>
        </w:rPr>
        <w:t>Based on the discussion in the last RAN4#9</w:t>
      </w:r>
      <w:r w:rsidR="002428D6">
        <w:rPr>
          <w:rFonts w:eastAsiaTheme="minorEastAsia"/>
          <w:lang w:val="en-US" w:eastAsia="zh-CN"/>
        </w:rPr>
        <w:t>6</w:t>
      </w:r>
      <w:r>
        <w:rPr>
          <w:rFonts w:eastAsiaTheme="minorEastAsia"/>
          <w:lang w:val="en-US" w:eastAsia="zh-CN"/>
        </w:rPr>
        <w:t xml:space="preserve">e meeting, </w:t>
      </w:r>
      <w:r w:rsidR="00D53A4A">
        <w:rPr>
          <w:rFonts w:eastAsiaTheme="minorEastAsia"/>
          <w:lang w:val="en-US" w:eastAsia="zh-CN"/>
        </w:rPr>
        <w:t>the agreements and remaining issues are listed as follows:</w:t>
      </w:r>
    </w:p>
    <w:tbl>
      <w:tblPr>
        <w:tblStyle w:val="a7"/>
        <w:tblW w:w="0" w:type="auto"/>
        <w:tblLook w:val="04A0" w:firstRow="1" w:lastRow="0" w:firstColumn="1" w:lastColumn="0" w:noHBand="0" w:noVBand="1"/>
      </w:tblPr>
      <w:tblGrid>
        <w:gridCol w:w="9562"/>
      </w:tblGrid>
      <w:tr w:rsidR="00D53A4A" w14:paraId="7A71782E" w14:textId="77777777" w:rsidTr="00D53A4A">
        <w:tc>
          <w:tcPr>
            <w:tcW w:w="9562" w:type="dxa"/>
          </w:tcPr>
          <w:p w14:paraId="48FE3BD1" w14:textId="77777777" w:rsidR="00901436" w:rsidRPr="00901436" w:rsidRDefault="00901436" w:rsidP="00901436">
            <w:pPr>
              <w:numPr>
                <w:ilvl w:val="0"/>
                <w:numId w:val="22"/>
              </w:numPr>
              <w:spacing w:after="0" w:line="216" w:lineRule="auto"/>
              <w:ind w:left="1080"/>
              <w:contextualSpacing/>
              <w:rPr>
                <w:rFonts w:eastAsia="Times New Roman"/>
                <w:sz w:val="28"/>
                <w:szCs w:val="24"/>
                <w:lang w:val="en-US" w:eastAsia="zh-CN"/>
              </w:rPr>
            </w:pPr>
            <w:r w:rsidRPr="00901436">
              <w:rPr>
                <w:rFonts w:ascii="Calibri" w:eastAsia="+mn-ea" w:hAnsi="Calibri" w:cs="+mn-cs"/>
                <w:b/>
                <w:bCs/>
                <w:color w:val="000000"/>
                <w:kern w:val="24"/>
                <w:sz w:val="28"/>
                <w:szCs w:val="56"/>
                <w:u w:val="single"/>
                <w:lang w:eastAsia="zh-CN"/>
              </w:rPr>
              <w:t xml:space="preserve">UE behaviour when SCell is unavailable </w:t>
            </w:r>
          </w:p>
          <w:p w14:paraId="5C498CFA" w14:textId="77777777" w:rsidR="00901436" w:rsidRPr="00901436" w:rsidRDefault="00901436" w:rsidP="00901436">
            <w:pPr>
              <w:numPr>
                <w:ilvl w:val="1"/>
                <w:numId w:val="22"/>
              </w:numPr>
              <w:spacing w:after="0" w:line="216" w:lineRule="auto"/>
              <w:ind w:left="2520"/>
              <w:contextualSpacing/>
              <w:rPr>
                <w:rFonts w:eastAsia="Times New Roman"/>
                <w:sz w:val="22"/>
                <w:szCs w:val="24"/>
                <w:lang w:val="en-US" w:eastAsia="zh-CN"/>
              </w:rPr>
            </w:pPr>
            <w:r w:rsidRPr="00901436">
              <w:rPr>
                <w:rFonts w:ascii="Calibri" w:eastAsia="+mn-ea" w:hAnsi="Calibri" w:cs="+mn-cs"/>
                <w:color w:val="000000"/>
                <w:kern w:val="24"/>
                <w:sz w:val="22"/>
                <w:szCs w:val="48"/>
                <w:lang w:eastAsia="zh-CN"/>
              </w:rPr>
              <w:t>Clarify in the specification that the UE is not precluded to go back to use PSCell or PCell as reference timing cell, in case the reference timing cell, which is a SCell, is deactivated or becomes unavailable for 160 ms</w:t>
            </w:r>
          </w:p>
          <w:p w14:paraId="0CB23AAD" w14:textId="77777777" w:rsidR="00901436" w:rsidRPr="00901436" w:rsidRDefault="00901436" w:rsidP="00901436">
            <w:pPr>
              <w:numPr>
                <w:ilvl w:val="0"/>
                <w:numId w:val="22"/>
              </w:numPr>
              <w:spacing w:after="0" w:line="216" w:lineRule="auto"/>
              <w:ind w:left="1080"/>
              <w:contextualSpacing/>
              <w:rPr>
                <w:rFonts w:eastAsia="Times New Roman"/>
                <w:sz w:val="28"/>
                <w:szCs w:val="24"/>
                <w:lang w:val="en-US" w:eastAsia="zh-CN"/>
              </w:rPr>
            </w:pPr>
            <w:r w:rsidRPr="00901436">
              <w:rPr>
                <w:rFonts w:ascii="Calibri" w:eastAsia="+mn-ea" w:hAnsi="Calibri" w:cs="+mn-cs"/>
                <w:b/>
                <w:bCs/>
                <w:color w:val="000000"/>
                <w:kern w:val="24"/>
                <w:sz w:val="28"/>
                <w:szCs w:val="56"/>
                <w:u w:val="single"/>
                <w:lang w:eastAsia="zh-CN"/>
              </w:rPr>
              <w:t>Definition of an available reference cell</w:t>
            </w:r>
          </w:p>
          <w:p w14:paraId="2C81A8E2" w14:textId="77777777" w:rsidR="00901436" w:rsidRPr="00901436" w:rsidRDefault="00901436" w:rsidP="00901436">
            <w:pPr>
              <w:numPr>
                <w:ilvl w:val="1"/>
                <w:numId w:val="22"/>
              </w:numPr>
              <w:spacing w:after="0" w:line="216" w:lineRule="auto"/>
              <w:ind w:left="2520"/>
              <w:contextualSpacing/>
              <w:rPr>
                <w:rFonts w:eastAsia="Times New Roman"/>
                <w:sz w:val="22"/>
                <w:szCs w:val="24"/>
                <w:lang w:val="en-US" w:eastAsia="zh-CN"/>
              </w:rPr>
            </w:pPr>
            <w:r w:rsidRPr="00901436">
              <w:rPr>
                <w:rFonts w:ascii="Calibri" w:eastAsia="+mn-ea" w:hAnsi="Calibri" w:cs="+mn-cs"/>
                <w:color w:val="000000"/>
                <w:kern w:val="24"/>
                <w:sz w:val="22"/>
                <w:szCs w:val="48"/>
                <w:lang w:eastAsia="zh-CN"/>
              </w:rPr>
              <w:t>FFS: whether a reference cell is available at the UE provided at least one SSB is available at the UE during the last 160 ms; otherwise it is unavailable at the UE</w:t>
            </w:r>
          </w:p>
          <w:p w14:paraId="5304CE76" w14:textId="4FCA4102" w:rsidR="002428D6" w:rsidRPr="00D53A4A" w:rsidRDefault="002428D6" w:rsidP="00901436">
            <w:pPr>
              <w:overflowPunct w:val="0"/>
              <w:spacing w:after="0"/>
              <w:ind w:left="1440"/>
              <w:rPr>
                <w:rFonts w:ascii="宋体" w:eastAsia="宋体" w:hAnsi="宋体" w:cs="宋体"/>
                <w:sz w:val="22"/>
                <w:szCs w:val="22"/>
                <w:lang w:val="en-US" w:eastAsia="zh-CN"/>
              </w:rPr>
            </w:pPr>
          </w:p>
        </w:tc>
      </w:tr>
    </w:tbl>
    <w:p w14:paraId="352D87A9" w14:textId="77777777" w:rsidR="00D53A4A" w:rsidRDefault="00D53A4A" w:rsidP="00D53A4A">
      <w:pPr>
        <w:rPr>
          <w:rFonts w:eastAsiaTheme="minorEastAsia"/>
          <w:lang w:val="en-US" w:eastAsia="zh-CN"/>
        </w:rPr>
      </w:pPr>
    </w:p>
    <w:p w14:paraId="24BE0853" w14:textId="14A97BF2" w:rsidR="003814AB" w:rsidRDefault="00901436" w:rsidP="00D53A4A">
      <w:pPr>
        <w:rPr>
          <w:rFonts w:eastAsiaTheme="minorEastAsia"/>
          <w:lang w:val="en-US" w:eastAsia="zh-CN"/>
        </w:rPr>
      </w:pPr>
      <w:r>
        <w:rPr>
          <w:rFonts w:eastAsiaTheme="minorEastAsia"/>
          <w:lang w:val="en-US" w:eastAsia="zh-CN"/>
        </w:rPr>
        <w:t>The only remaining issue is about the definition of the available reference cell. The option</w:t>
      </w:r>
      <w:r w:rsidR="00185388">
        <w:rPr>
          <w:rFonts w:eastAsiaTheme="minorEastAsia"/>
          <w:lang w:val="en-US" w:eastAsia="zh-CN"/>
        </w:rPr>
        <w:t xml:space="preserve"> in the WF means UE shall be able to maintain the reference timing provided at least one SSB (candidate SSB position) is available at UE during the last 160ms. Some companies </w:t>
      </w:r>
      <w:r w:rsidR="00AA0C72">
        <w:rPr>
          <w:rFonts w:eastAsiaTheme="minorEastAsia"/>
          <w:lang w:val="en-US" w:eastAsia="zh-CN"/>
        </w:rPr>
        <w:t>oppose</w:t>
      </w:r>
      <w:r w:rsidR="00185388">
        <w:rPr>
          <w:rFonts w:eastAsiaTheme="minorEastAsia"/>
          <w:lang w:val="en-US" w:eastAsia="zh-CN"/>
        </w:rPr>
        <w:t xml:space="preserve"> the option and suggest to reuse the same conclusion for RLM/RRM. </w:t>
      </w:r>
      <w:r w:rsidR="003814AB">
        <w:rPr>
          <w:rFonts w:eastAsiaTheme="minorEastAsia"/>
          <w:lang w:val="en-US" w:eastAsia="zh-CN"/>
        </w:rPr>
        <w:t>So we further provide our views on these two options.</w:t>
      </w:r>
    </w:p>
    <w:p w14:paraId="4D429939" w14:textId="6FCF8213" w:rsidR="003814AB" w:rsidRPr="003814AB" w:rsidRDefault="003814AB" w:rsidP="00D53A4A">
      <w:pPr>
        <w:rPr>
          <w:rFonts w:eastAsiaTheme="minorEastAsia"/>
          <w:lang w:val="en-US" w:eastAsia="zh-CN"/>
        </w:rPr>
      </w:pPr>
      <w:r w:rsidRPr="00837558">
        <w:rPr>
          <w:rFonts w:eastAsiaTheme="minorEastAsia"/>
          <w:b/>
          <w:lang w:val="en-US" w:eastAsia="zh-CN"/>
        </w:rPr>
        <w:t>Option 1:</w:t>
      </w:r>
      <w:r>
        <w:rPr>
          <w:rFonts w:eastAsiaTheme="minorEastAsia"/>
          <w:lang w:val="en-US" w:eastAsia="zh-CN"/>
        </w:rPr>
        <w:t xml:space="preserve"> </w:t>
      </w:r>
      <w:r w:rsidRPr="003814AB">
        <w:rPr>
          <w:rFonts w:eastAsiaTheme="minorEastAsia"/>
          <w:lang w:val="en-US" w:eastAsia="zh-CN"/>
        </w:rPr>
        <w:t>A</w:t>
      </w:r>
      <w:r w:rsidR="00901436" w:rsidRPr="00901436">
        <w:rPr>
          <w:rFonts w:eastAsiaTheme="minorEastAsia"/>
          <w:lang w:val="en-US" w:eastAsia="zh-CN"/>
        </w:rPr>
        <w:t xml:space="preserve"> reference cell is available at the UE provided at least one SSB is available at the UE during the last 160 ms</w:t>
      </w:r>
    </w:p>
    <w:p w14:paraId="06BE1608" w14:textId="455FDF96" w:rsidR="003814AB" w:rsidRDefault="003814AB" w:rsidP="00D53A4A">
      <w:pPr>
        <w:rPr>
          <w:rFonts w:eastAsiaTheme="minorEastAsia"/>
          <w:lang w:val="en-US" w:eastAsia="zh-CN"/>
        </w:rPr>
      </w:pPr>
      <w:r w:rsidRPr="00837558">
        <w:rPr>
          <w:rFonts w:eastAsiaTheme="minorEastAsia"/>
          <w:b/>
          <w:lang w:val="en-US" w:eastAsia="zh-CN"/>
        </w:rPr>
        <w:t>Option 2:</w:t>
      </w:r>
      <w:r w:rsidRPr="003814AB">
        <w:rPr>
          <w:rFonts w:eastAsiaTheme="minorEastAsia"/>
          <w:lang w:val="en-US" w:eastAsia="zh-CN"/>
        </w:rPr>
        <w:t xml:space="preserve"> Reuse the same conclusion for RLM/RRM</w:t>
      </w:r>
    </w:p>
    <w:p w14:paraId="24E4A2FF" w14:textId="27B934F1" w:rsidR="003814AB" w:rsidRPr="006D7955" w:rsidRDefault="00920F6A" w:rsidP="00D53A4A">
      <w:pPr>
        <w:rPr>
          <w:rFonts w:eastAsiaTheme="minorEastAsia"/>
          <w:lang w:eastAsia="zh-CN"/>
        </w:rPr>
      </w:pPr>
      <w:r>
        <w:rPr>
          <w:rFonts w:eastAsiaTheme="minorEastAsia" w:hint="eastAsia"/>
          <w:lang w:val="en-US" w:eastAsia="zh-CN"/>
        </w:rPr>
        <w:t>For</w:t>
      </w:r>
      <w:r>
        <w:rPr>
          <w:rFonts w:eastAsiaTheme="minorEastAsia"/>
          <w:lang w:val="en-US" w:eastAsia="zh-CN"/>
        </w:rPr>
        <w:t xml:space="preserve"> example when </w:t>
      </w:r>
      <w:r>
        <w:rPr>
          <w:rFonts w:cs="Arial"/>
          <w:i/>
          <w:iCs/>
          <w:szCs w:val="18"/>
        </w:rPr>
        <w:t xml:space="preserve">ssb-PositionQCL </w:t>
      </w:r>
      <w:r>
        <w:rPr>
          <w:rFonts w:eastAsiaTheme="minorEastAsia"/>
          <w:lang w:val="en-US" w:eastAsia="zh-CN"/>
        </w:rPr>
        <w:t xml:space="preserve">is equal to 4, </w:t>
      </w:r>
      <w:r w:rsidR="006D7955">
        <w:rPr>
          <w:rFonts w:eastAsiaTheme="minorEastAsia"/>
          <w:lang w:val="en-US" w:eastAsia="zh-CN"/>
        </w:rPr>
        <w:t xml:space="preserve">and the left 4 bits are set to 1 in </w:t>
      </w:r>
      <w:r w:rsidR="006D7955" w:rsidRPr="006D7955">
        <w:rPr>
          <w:rFonts w:eastAsiaTheme="minorEastAsia"/>
          <w:i/>
          <w:lang w:val="en-US" w:eastAsia="zh-CN"/>
        </w:rPr>
        <w:t>ssb-PositionsInBurst</w:t>
      </w:r>
      <w:r w:rsidR="006D7955" w:rsidRPr="006D7955">
        <w:rPr>
          <w:rFonts w:eastAsiaTheme="minorEastAsia"/>
          <w:lang w:val="en-US" w:eastAsia="zh-CN"/>
        </w:rPr>
        <w:t>,</w:t>
      </w:r>
      <w:r w:rsidR="006D7955">
        <w:rPr>
          <w:rFonts w:eastAsiaTheme="minorEastAsia"/>
          <w:lang w:val="en-US" w:eastAsia="zh-CN"/>
        </w:rPr>
        <w:t xml:space="preserve"> </w:t>
      </w:r>
      <w:r>
        <w:rPr>
          <w:rFonts w:eastAsiaTheme="minorEastAsia"/>
          <w:lang w:val="en-US" w:eastAsia="zh-CN"/>
        </w:rPr>
        <w:t>then according to the agreement for RLM/RRM, UE will only monitor {0,4}{1,5}{2,6}{3,7} candidate SSB positions. For option 2, it means the reference cell is available only when at least one of the above SSB</w:t>
      </w:r>
      <w:r w:rsidR="000E730F">
        <w:rPr>
          <w:rFonts w:eastAsiaTheme="minorEastAsia"/>
          <w:lang w:val="en-US" w:eastAsia="zh-CN"/>
        </w:rPr>
        <w:t>s</w:t>
      </w:r>
      <w:r>
        <w:rPr>
          <w:rFonts w:eastAsiaTheme="minorEastAsia"/>
          <w:lang w:val="en-US" w:eastAsia="zh-CN"/>
        </w:rPr>
        <w:t xml:space="preserve"> is available. For option 1, it means the reference cell is available if at least one of all possible positions is available (10 candidate SSB positions for 15 KHz SCS and 20 candidat</w:t>
      </w:r>
      <w:r w:rsidR="006D7955">
        <w:rPr>
          <w:rFonts w:eastAsiaTheme="minorEastAsia"/>
          <w:lang w:val="en-US" w:eastAsia="zh-CN"/>
        </w:rPr>
        <w:t>e SSB positions for 30 KHz SCS), which mean for SSB index 0, it means UE shall monitor {0,4,8} for 15 KHz or {0,4,8,12,16,20} for 30 KHz SCS. The difference of the UE’s behavior between option 1 and option 2 is obvious.</w:t>
      </w:r>
    </w:p>
    <w:p w14:paraId="779ED023" w14:textId="008B079A" w:rsidR="00011988" w:rsidRDefault="00011988" w:rsidP="00D53A4A">
      <w:pPr>
        <w:rPr>
          <w:rFonts w:eastAsiaTheme="minorEastAsia"/>
          <w:lang w:val="en-US" w:eastAsia="zh-CN"/>
        </w:rPr>
      </w:pPr>
      <w:r>
        <w:rPr>
          <w:rFonts w:eastAsiaTheme="minorEastAsia"/>
          <w:lang w:val="en-US" w:eastAsia="zh-CN"/>
        </w:rPr>
        <w:t>Therefore</w:t>
      </w:r>
      <w:r>
        <w:rPr>
          <w:rFonts w:eastAsiaTheme="minorEastAsia" w:hint="eastAsia"/>
          <w:lang w:val="en-US" w:eastAsia="zh-CN"/>
        </w:rPr>
        <w:t>,</w:t>
      </w:r>
      <w:r>
        <w:rPr>
          <w:rFonts w:eastAsiaTheme="minorEastAsia"/>
          <w:lang w:val="en-US" w:eastAsia="zh-CN"/>
        </w:rPr>
        <w:t xml:space="preserve"> it is technically reasonable to reuse the same conclusion from RLM/RRM to define the available cell in the timing requirements.</w:t>
      </w:r>
    </w:p>
    <w:p w14:paraId="7201CDD8" w14:textId="2792E7B8" w:rsidR="00837558" w:rsidRPr="00034287" w:rsidRDefault="00011988" w:rsidP="00D53A4A">
      <w:pPr>
        <w:rPr>
          <w:rFonts w:eastAsiaTheme="minorEastAsia"/>
          <w:b/>
          <w:lang w:val="en-US" w:eastAsia="zh-CN"/>
        </w:rPr>
      </w:pPr>
      <w:r w:rsidRPr="00011988">
        <w:rPr>
          <w:rFonts w:eastAsiaTheme="minorEastAsia"/>
          <w:b/>
          <w:lang w:val="en-US" w:eastAsia="zh-CN"/>
        </w:rPr>
        <w:t>Proposal 1: The available reference cell shall be defined based on the same conclusion for RLM/RRM.</w:t>
      </w:r>
    </w:p>
    <w:p w14:paraId="6FE304D3" w14:textId="1D7585FB" w:rsidR="00DF0231" w:rsidRPr="002D2977" w:rsidRDefault="00520DD2" w:rsidP="00011988">
      <w:pPr>
        <w:pStyle w:val="1"/>
        <w:tabs>
          <w:tab w:val="clear" w:pos="432"/>
        </w:tabs>
        <w:ind w:left="0" w:firstLine="0"/>
        <w:rPr>
          <w:lang w:val="en-US"/>
        </w:rPr>
      </w:pPr>
      <w:r w:rsidRPr="00011988">
        <w:rPr>
          <w:lang w:val="en-US"/>
        </w:rPr>
        <w:t xml:space="preserve"> </w:t>
      </w:r>
      <w:r w:rsidR="00DF0231" w:rsidRPr="002D2977">
        <w:rPr>
          <w:lang w:val="en-US"/>
        </w:rPr>
        <w:t>Conclusions</w:t>
      </w:r>
    </w:p>
    <w:p w14:paraId="4C16A3E6" w14:textId="77777777" w:rsidR="00011988" w:rsidRPr="00011988" w:rsidRDefault="00011988" w:rsidP="00011988">
      <w:pPr>
        <w:rPr>
          <w:rFonts w:eastAsiaTheme="minorEastAsia"/>
          <w:b/>
          <w:lang w:val="en-US" w:eastAsia="zh-CN"/>
        </w:rPr>
      </w:pPr>
      <w:r w:rsidRPr="00011988">
        <w:rPr>
          <w:rFonts w:eastAsiaTheme="minorEastAsia"/>
          <w:b/>
          <w:lang w:val="en-US" w:eastAsia="zh-CN"/>
        </w:rPr>
        <w:t>Proposal 1: The available reference cell shall be defined based on the same conclusion for RLM/RRM.</w:t>
      </w:r>
    </w:p>
    <w:p w14:paraId="6C95B8D1" w14:textId="77777777" w:rsidR="00901436" w:rsidRPr="00B2746E" w:rsidRDefault="00901436" w:rsidP="00C0085C">
      <w:pPr>
        <w:rPr>
          <w:rFonts w:eastAsiaTheme="minorEastAsia" w:cs="v4.2.0"/>
          <w:b/>
          <w:lang w:val="en-US" w:eastAsia="zh-CN"/>
        </w:rPr>
      </w:pP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14945CD2" w14:textId="3A100296" w:rsidR="007D0DF7" w:rsidRDefault="00DF0231">
      <w:r w:rsidRPr="002D2977">
        <w:rPr>
          <w:lang w:val="en-US"/>
        </w:rPr>
        <w:t xml:space="preserve">[1] </w:t>
      </w:r>
      <w:r w:rsidR="00700A0D" w:rsidRPr="00700A0D">
        <w:t xml:space="preserve">R4-2012091 </w:t>
      </w:r>
      <w:r w:rsidRPr="002D2977">
        <w:rPr>
          <w:lang w:val="en-US"/>
        </w:rPr>
        <w:t>“</w:t>
      </w:r>
      <w:r w:rsidR="00700A0D" w:rsidRPr="00700A0D">
        <w:t>WF on NR-U RRM Requirements (Part 2)</w:t>
      </w:r>
      <w:r w:rsidRPr="002D2977">
        <w:rPr>
          <w:lang w:val="en-US"/>
        </w:rPr>
        <w:t>”</w:t>
      </w:r>
      <w:r w:rsidR="0087326D">
        <w:rPr>
          <w:lang w:val="en-US"/>
        </w:rPr>
        <w:t xml:space="preserve">, </w:t>
      </w:r>
      <w:r w:rsidR="00700A0D" w:rsidRPr="00700A0D">
        <w:rPr>
          <w:lang w:val="en-US"/>
        </w:rPr>
        <w:t>MediaTek inc</w:t>
      </w:r>
      <w:r w:rsidR="0087326D" w:rsidRPr="0087326D">
        <w:t>.</w:t>
      </w:r>
    </w:p>
    <w:p w14:paraId="59D748A3" w14:textId="7F77876A" w:rsidR="0059170C" w:rsidRDefault="0059170C"/>
    <w:sectPr w:rsidR="0059170C"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7767A" w14:textId="77777777" w:rsidR="00E53DA2" w:rsidRDefault="00E53DA2">
      <w:pPr>
        <w:spacing w:after="0"/>
      </w:pPr>
      <w:r>
        <w:separator/>
      </w:r>
    </w:p>
  </w:endnote>
  <w:endnote w:type="continuationSeparator" w:id="0">
    <w:p w14:paraId="5EDFD97C" w14:textId="77777777" w:rsidR="00E53DA2" w:rsidRDefault="00E53D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551CD8" w:rsidRDefault="00551CD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551CD8" w:rsidRDefault="00551CD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551CD8" w:rsidRDefault="00551CD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95ABE">
      <w:rPr>
        <w:rStyle w:val="a5"/>
      </w:rPr>
      <w:t>1</w:t>
    </w:r>
    <w:r>
      <w:rPr>
        <w:rStyle w:val="a5"/>
      </w:rPr>
      <w:fldChar w:fldCharType="end"/>
    </w:r>
  </w:p>
  <w:p w14:paraId="4C6D8748" w14:textId="77777777" w:rsidR="00551CD8" w:rsidRDefault="00551CD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A871C" w14:textId="77777777" w:rsidR="00E53DA2" w:rsidRDefault="00E53DA2">
      <w:pPr>
        <w:spacing w:after="0"/>
      </w:pPr>
      <w:r>
        <w:separator/>
      </w:r>
    </w:p>
  </w:footnote>
  <w:footnote w:type="continuationSeparator" w:id="0">
    <w:p w14:paraId="3FD5D5AD" w14:textId="77777777" w:rsidR="00E53DA2" w:rsidRDefault="00E53D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5EA650A"/>
    <w:multiLevelType w:val="hybridMultilevel"/>
    <w:tmpl w:val="FAFAF696"/>
    <w:lvl w:ilvl="0" w:tplc="9CF26680">
      <w:start w:val="1"/>
      <w:numFmt w:val="bullet"/>
      <w:lvlText w:val="•"/>
      <w:lvlJc w:val="left"/>
      <w:pPr>
        <w:tabs>
          <w:tab w:val="num" w:pos="720"/>
        </w:tabs>
        <w:ind w:left="720" w:hanging="360"/>
      </w:pPr>
      <w:rPr>
        <w:rFonts w:ascii="Arial" w:hAnsi="Arial" w:hint="default"/>
      </w:rPr>
    </w:lvl>
    <w:lvl w:ilvl="1" w:tplc="B01CC0E4">
      <w:numFmt w:val="bullet"/>
      <w:lvlText w:val="•"/>
      <w:lvlJc w:val="left"/>
      <w:pPr>
        <w:tabs>
          <w:tab w:val="num" w:pos="1440"/>
        </w:tabs>
        <w:ind w:left="1440" w:hanging="360"/>
      </w:pPr>
      <w:rPr>
        <w:rFonts w:ascii="Arial" w:hAnsi="Arial" w:hint="default"/>
      </w:rPr>
    </w:lvl>
    <w:lvl w:ilvl="2" w:tplc="9D7401C6" w:tentative="1">
      <w:start w:val="1"/>
      <w:numFmt w:val="bullet"/>
      <w:lvlText w:val="•"/>
      <w:lvlJc w:val="left"/>
      <w:pPr>
        <w:tabs>
          <w:tab w:val="num" w:pos="2160"/>
        </w:tabs>
        <w:ind w:left="2160" w:hanging="360"/>
      </w:pPr>
      <w:rPr>
        <w:rFonts w:ascii="Arial" w:hAnsi="Arial" w:hint="default"/>
      </w:rPr>
    </w:lvl>
    <w:lvl w:ilvl="3" w:tplc="72F6CDBE" w:tentative="1">
      <w:start w:val="1"/>
      <w:numFmt w:val="bullet"/>
      <w:lvlText w:val="•"/>
      <w:lvlJc w:val="left"/>
      <w:pPr>
        <w:tabs>
          <w:tab w:val="num" w:pos="2880"/>
        </w:tabs>
        <w:ind w:left="2880" w:hanging="360"/>
      </w:pPr>
      <w:rPr>
        <w:rFonts w:ascii="Arial" w:hAnsi="Arial" w:hint="default"/>
      </w:rPr>
    </w:lvl>
    <w:lvl w:ilvl="4" w:tplc="ADB2F936" w:tentative="1">
      <w:start w:val="1"/>
      <w:numFmt w:val="bullet"/>
      <w:lvlText w:val="•"/>
      <w:lvlJc w:val="left"/>
      <w:pPr>
        <w:tabs>
          <w:tab w:val="num" w:pos="3600"/>
        </w:tabs>
        <w:ind w:left="3600" w:hanging="360"/>
      </w:pPr>
      <w:rPr>
        <w:rFonts w:ascii="Arial" w:hAnsi="Arial" w:hint="default"/>
      </w:rPr>
    </w:lvl>
    <w:lvl w:ilvl="5" w:tplc="1A128656" w:tentative="1">
      <w:start w:val="1"/>
      <w:numFmt w:val="bullet"/>
      <w:lvlText w:val="•"/>
      <w:lvlJc w:val="left"/>
      <w:pPr>
        <w:tabs>
          <w:tab w:val="num" w:pos="4320"/>
        </w:tabs>
        <w:ind w:left="4320" w:hanging="360"/>
      </w:pPr>
      <w:rPr>
        <w:rFonts w:ascii="Arial" w:hAnsi="Arial" w:hint="default"/>
      </w:rPr>
    </w:lvl>
    <w:lvl w:ilvl="6" w:tplc="2946B898" w:tentative="1">
      <w:start w:val="1"/>
      <w:numFmt w:val="bullet"/>
      <w:lvlText w:val="•"/>
      <w:lvlJc w:val="left"/>
      <w:pPr>
        <w:tabs>
          <w:tab w:val="num" w:pos="5040"/>
        </w:tabs>
        <w:ind w:left="5040" w:hanging="360"/>
      </w:pPr>
      <w:rPr>
        <w:rFonts w:ascii="Arial" w:hAnsi="Arial" w:hint="default"/>
      </w:rPr>
    </w:lvl>
    <w:lvl w:ilvl="7" w:tplc="5512F052" w:tentative="1">
      <w:start w:val="1"/>
      <w:numFmt w:val="bullet"/>
      <w:lvlText w:val="•"/>
      <w:lvlJc w:val="left"/>
      <w:pPr>
        <w:tabs>
          <w:tab w:val="num" w:pos="5760"/>
        </w:tabs>
        <w:ind w:left="5760" w:hanging="360"/>
      </w:pPr>
      <w:rPr>
        <w:rFonts w:ascii="Arial" w:hAnsi="Arial" w:hint="default"/>
      </w:rPr>
    </w:lvl>
    <w:lvl w:ilvl="8" w:tplc="0786E8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0"/>
  </w:num>
  <w:num w:numId="3">
    <w:abstractNumId w:val="18"/>
  </w:num>
  <w:num w:numId="4">
    <w:abstractNumId w:val="21"/>
  </w:num>
  <w:num w:numId="5">
    <w:abstractNumId w:val="15"/>
  </w:num>
  <w:num w:numId="6">
    <w:abstractNumId w:val="4"/>
  </w:num>
  <w:num w:numId="7">
    <w:abstractNumId w:val="13"/>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7"/>
  </w:num>
  <w:num w:numId="16">
    <w:abstractNumId w:val="10"/>
  </w:num>
  <w:num w:numId="17">
    <w:abstractNumId w:val="9"/>
  </w:num>
  <w:num w:numId="18">
    <w:abstractNumId w:val="14"/>
  </w:num>
  <w:num w:numId="19">
    <w:abstractNumId w:val="19"/>
  </w:num>
  <w:num w:numId="20">
    <w:abstractNumId w:val="16"/>
  </w:num>
  <w:num w:numId="21">
    <w:abstractNumId w:val="2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988"/>
    <w:rsid w:val="000131D4"/>
    <w:rsid w:val="00034287"/>
    <w:rsid w:val="0004558E"/>
    <w:rsid w:val="00063E08"/>
    <w:rsid w:val="00067B89"/>
    <w:rsid w:val="000A1878"/>
    <w:rsid w:val="000A2ED7"/>
    <w:rsid w:val="000A4BCB"/>
    <w:rsid w:val="000A7A19"/>
    <w:rsid w:val="000C154C"/>
    <w:rsid w:val="000D2930"/>
    <w:rsid w:val="000E0A8A"/>
    <w:rsid w:val="000E2C03"/>
    <w:rsid w:val="000E730F"/>
    <w:rsid w:val="0010016B"/>
    <w:rsid w:val="00100360"/>
    <w:rsid w:val="001270A1"/>
    <w:rsid w:val="00145487"/>
    <w:rsid w:val="00164F56"/>
    <w:rsid w:val="00172199"/>
    <w:rsid w:val="0017747E"/>
    <w:rsid w:val="00185388"/>
    <w:rsid w:val="001E7174"/>
    <w:rsid w:val="001F437B"/>
    <w:rsid w:val="0020033A"/>
    <w:rsid w:val="002221AC"/>
    <w:rsid w:val="00222AF7"/>
    <w:rsid w:val="002328DD"/>
    <w:rsid w:val="002339ED"/>
    <w:rsid w:val="002428D6"/>
    <w:rsid w:val="00245810"/>
    <w:rsid w:val="00254006"/>
    <w:rsid w:val="00254F38"/>
    <w:rsid w:val="002736F0"/>
    <w:rsid w:val="00282D3C"/>
    <w:rsid w:val="00294B79"/>
    <w:rsid w:val="002A5E54"/>
    <w:rsid w:val="002B3EF2"/>
    <w:rsid w:val="002B45C3"/>
    <w:rsid w:val="002E668C"/>
    <w:rsid w:val="002F579F"/>
    <w:rsid w:val="0030638F"/>
    <w:rsid w:val="00311CF9"/>
    <w:rsid w:val="003139FE"/>
    <w:rsid w:val="00336712"/>
    <w:rsid w:val="00336939"/>
    <w:rsid w:val="00356FB6"/>
    <w:rsid w:val="00362718"/>
    <w:rsid w:val="0036592F"/>
    <w:rsid w:val="003664ED"/>
    <w:rsid w:val="003814AB"/>
    <w:rsid w:val="003A5E2B"/>
    <w:rsid w:val="003B681E"/>
    <w:rsid w:val="003C61AB"/>
    <w:rsid w:val="003F0451"/>
    <w:rsid w:val="003F762D"/>
    <w:rsid w:val="00401C1C"/>
    <w:rsid w:val="00406366"/>
    <w:rsid w:val="00430F24"/>
    <w:rsid w:val="00432636"/>
    <w:rsid w:val="00435EBD"/>
    <w:rsid w:val="00451B80"/>
    <w:rsid w:val="00461C12"/>
    <w:rsid w:val="00466D02"/>
    <w:rsid w:val="00477263"/>
    <w:rsid w:val="0049501A"/>
    <w:rsid w:val="004A678E"/>
    <w:rsid w:val="004A7CF2"/>
    <w:rsid w:val="004C4868"/>
    <w:rsid w:val="004D644C"/>
    <w:rsid w:val="004F0167"/>
    <w:rsid w:val="00507437"/>
    <w:rsid w:val="0051050C"/>
    <w:rsid w:val="00520DD2"/>
    <w:rsid w:val="005235DB"/>
    <w:rsid w:val="0052623A"/>
    <w:rsid w:val="00530EB0"/>
    <w:rsid w:val="005343C7"/>
    <w:rsid w:val="005375AA"/>
    <w:rsid w:val="00545EC2"/>
    <w:rsid w:val="0054734A"/>
    <w:rsid w:val="00551CD8"/>
    <w:rsid w:val="005635D9"/>
    <w:rsid w:val="00575302"/>
    <w:rsid w:val="0059170C"/>
    <w:rsid w:val="005A456B"/>
    <w:rsid w:val="005C28A6"/>
    <w:rsid w:val="005E4CCD"/>
    <w:rsid w:val="005F5231"/>
    <w:rsid w:val="00663F0E"/>
    <w:rsid w:val="006A79AC"/>
    <w:rsid w:val="006D43CD"/>
    <w:rsid w:val="006D7955"/>
    <w:rsid w:val="006F27CD"/>
    <w:rsid w:val="00700A0D"/>
    <w:rsid w:val="00701598"/>
    <w:rsid w:val="00702FA5"/>
    <w:rsid w:val="00712608"/>
    <w:rsid w:val="00714064"/>
    <w:rsid w:val="007200C7"/>
    <w:rsid w:val="00723883"/>
    <w:rsid w:val="00732D90"/>
    <w:rsid w:val="00736D84"/>
    <w:rsid w:val="0074759C"/>
    <w:rsid w:val="00757DEF"/>
    <w:rsid w:val="0077159B"/>
    <w:rsid w:val="007902A8"/>
    <w:rsid w:val="007A0C7C"/>
    <w:rsid w:val="007A37DA"/>
    <w:rsid w:val="007B7142"/>
    <w:rsid w:val="007C04D0"/>
    <w:rsid w:val="007D0DF7"/>
    <w:rsid w:val="007D3409"/>
    <w:rsid w:val="007E5F97"/>
    <w:rsid w:val="007E67EC"/>
    <w:rsid w:val="007F2E6A"/>
    <w:rsid w:val="00804945"/>
    <w:rsid w:val="00806052"/>
    <w:rsid w:val="00824571"/>
    <w:rsid w:val="00831BDF"/>
    <w:rsid w:val="00837558"/>
    <w:rsid w:val="008446CE"/>
    <w:rsid w:val="008577CA"/>
    <w:rsid w:val="0087326D"/>
    <w:rsid w:val="00873C1C"/>
    <w:rsid w:val="008766C3"/>
    <w:rsid w:val="00884051"/>
    <w:rsid w:val="0088604D"/>
    <w:rsid w:val="008921D4"/>
    <w:rsid w:val="00892EAE"/>
    <w:rsid w:val="008A1C4E"/>
    <w:rsid w:val="008B4F73"/>
    <w:rsid w:val="008D55C5"/>
    <w:rsid w:val="008E2591"/>
    <w:rsid w:val="00901436"/>
    <w:rsid w:val="00907365"/>
    <w:rsid w:val="00914A03"/>
    <w:rsid w:val="0091568D"/>
    <w:rsid w:val="00915DEA"/>
    <w:rsid w:val="00917272"/>
    <w:rsid w:val="00920F6A"/>
    <w:rsid w:val="009450D8"/>
    <w:rsid w:val="009708D0"/>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1597D"/>
    <w:rsid w:val="00A22790"/>
    <w:rsid w:val="00A26AB0"/>
    <w:rsid w:val="00A33C20"/>
    <w:rsid w:val="00A3402C"/>
    <w:rsid w:val="00A34913"/>
    <w:rsid w:val="00A35F07"/>
    <w:rsid w:val="00A42E3A"/>
    <w:rsid w:val="00A43D41"/>
    <w:rsid w:val="00A82803"/>
    <w:rsid w:val="00A92B06"/>
    <w:rsid w:val="00AA0C72"/>
    <w:rsid w:val="00AB04CE"/>
    <w:rsid w:val="00AC2C97"/>
    <w:rsid w:val="00AD65F4"/>
    <w:rsid w:val="00AD69AA"/>
    <w:rsid w:val="00AE165A"/>
    <w:rsid w:val="00AE6BE0"/>
    <w:rsid w:val="00AF5966"/>
    <w:rsid w:val="00B03811"/>
    <w:rsid w:val="00B10C6E"/>
    <w:rsid w:val="00B23292"/>
    <w:rsid w:val="00B2746E"/>
    <w:rsid w:val="00B343A3"/>
    <w:rsid w:val="00B41E6D"/>
    <w:rsid w:val="00B4226E"/>
    <w:rsid w:val="00B71C35"/>
    <w:rsid w:val="00B73A82"/>
    <w:rsid w:val="00B76F4D"/>
    <w:rsid w:val="00B911CA"/>
    <w:rsid w:val="00BB2A32"/>
    <w:rsid w:val="00BC449A"/>
    <w:rsid w:val="00BC47AB"/>
    <w:rsid w:val="00BD2AB1"/>
    <w:rsid w:val="00BE1FD4"/>
    <w:rsid w:val="00BE677A"/>
    <w:rsid w:val="00BE6A2E"/>
    <w:rsid w:val="00BF00A7"/>
    <w:rsid w:val="00BF33D9"/>
    <w:rsid w:val="00C0085C"/>
    <w:rsid w:val="00C11B10"/>
    <w:rsid w:val="00C166E3"/>
    <w:rsid w:val="00C338CA"/>
    <w:rsid w:val="00C42942"/>
    <w:rsid w:val="00C50A0A"/>
    <w:rsid w:val="00C50D3A"/>
    <w:rsid w:val="00C61374"/>
    <w:rsid w:val="00C638D8"/>
    <w:rsid w:val="00C83525"/>
    <w:rsid w:val="00CA1729"/>
    <w:rsid w:val="00CA1DAE"/>
    <w:rsid w:val="00CA764E"/>
    <w:rsid w:val="00CE0DA0"/>
    <w:rsid w:val="00D14FDC"/>
    <w:rsid w:val="00D24B94"/>
    <w:rsid w:val="00D3643B"/>
    <w:rsid w:val="00D41D2D"/>
    <w:rsid w:val="00D53A4A"/>
    <w:rsid w:val="00D6573D"/>
    <w:rsid w:val="00D65E2F"/>
    <w:rsid w:val="00D82643"/>
    <w:rsid w:val="00DB10D2"/>
    <w:rsid w:val="00DB1DD4"/>
    <w:rsid w:val="00DB61B3"/>
    <w:rsid w:val="00DD1DFF"/>
    <w:rsid w:val="00DF0231"/>
    <w:rsid w:val="00E04C43"/>
    <w:rsid w:val="00E06181"/>
    <w:rsid w:val="00E16D37"/>
    <w:rsid w:val="00E17F78"/>
    <w:rsid w:val="00E22D0F"/>
    <w:rsid w:val="00E53DA2"/>
    <w:rsid w:val="00E5666B"/>
    <w:rsid w:val="00E577DD"/>
    <w:rsid w:val="00E72064"/>
    <w:rsid w:val="00E775B2"/>
    <w:rsid w:val="00E91110"/>
    <w:rsid w:val="00E9184C"/>
    <w:rsid w:val="00E95ABE"/>
    <w:rsid w:val="00EA4E79"/>
    <w:rsid w:val="00EA5149"/>
    <w:rsid w:val="00EB02DF"/>
    <w:rsid w:val="00EE4EEA"/>
    <w:rsid w:val="00EE6F45"/>
    <w:rsid w:val="00EF1F3E"/>
    <w:rsid w:val="00EF66B2"/>
    <w:rsid w:val="00F0497C"/>
    <w:rsid w:val="00F076D1"/>
    <w:rsid w:val="00F10653"/>
    <w:rsid w:val="00F22DF5"/>
    <w:rsid w:val="00F303F4"/>
    <w:rsid w:val="00F413E7"/>
    <w:rsid w:val="00F43475"/>
    <w:rsid w:val="00F559B5"/>
    <w:rsid w:val="00F714A7"/>
    <w:rsid w:val="00FA1D27"/>
    <w:rsid w:val="00FA25AA"/>
    <w:rsid w:val="00FA4943"/>
    <w:rsid w:val="00FC0387"/>
    <w:rsid w:val="00FC0F9D"/>
    <w:rsid w:val="00FC3492"/>
    <w:rsid w:val="00FC3F32"/>
    <w:rsid w:val="00FD345B"/>
    <w:rsid w:val="00FF3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799">
      <w:bodyDiv w:val="1"/>
      <w:marLeft w:val="0"/>
      <w:marRight w:val="0"/>
      <w:marTop w:val="0"/>
      <w:marBottom w:val="0"/>
      <w:divBdr>
        <w:top w:val="none" w:sz="0" w:space="0" w:color="auto"/>
        <w:left w:val="none" w:sz="0" w:space="0" w:color="auto"/>
        <w:bottom w:val="none" w:sz="0" w:space="0" w:color="auto"/>
        <w:right w:val="none" w:sz="0" w:space="0" w:color="auto"/>
      </w:divBdr>
    </w:div>
    <w:div w:id="25064001">
      <w:bodyDiv w:val="1"/>
      <w:marLeft w:val="0"/>
      <w:marRight w:val="0"/>
      <w:marTop w:val="0"/>
      <w:marBottom w:val="0"/>
      <w:divBdr>
        <w:top w:val="none" w:sz="0" w:space="0" w:color="auto"/>
        <w:left w:val="none" w:sz="0" w:space="0" w:color="auto"/>
        <w:bottom w:val="none" w:sz="0" w:space="0" w:color="auto"/>
        <w:right w:val="none" w:sz="0" w:space="0" w:color="auto"/>
      </w:divBdr>
    </w:div>
    <w:div w:id="30614000">
      <w:bodyDiv w:val="1"/>
      <w:marLeft w:val="0"/>
      <w:marRight w:val="0"/>
      <w:marTop w:val="0"/>
      <w:marBottom w:val="0"/>
      <w:divBdr>
        <w:top w:val="none" w:sz="0" w:space="0" w:color="auto"/>
        <w:left w:val="none" w:sz="0" w:space="0" w:color="auto"/>
        <w:bottom w:val="none" w:sz="0" w:space="0" w:color="auto"/>
        <w:right w:val="none" w:sz="0" w:space="0" w:color="auto"/>
      </w:divBdr>
    </w:div>
    <w:div w:id="4417935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12292330">
      <w:bodyDiv w:val="1"/>
      <w:marLeft w:val="0"/>
      <w:marRight w:val="0"/>
      <w:marTop w:val="0"/>
      <w:marBottom w:val="0"/>
      <w:divBdr>
        <w:top w:val="none" w:sz="0" w:space="0" w:color="auto"/>
        <w:left w:val="none" w:sz="0" w:space="0" w:color="auto"/>
        <w:bottom w:val="none" w:sz="0" w:space="0" w:color="auto"/>
        <w:right w:val="none" w:sz="0" w:space="0" w:color="auto"/>
      </w:divBdr>
      <w:divsChild>
        <w:div w:id="218244758">
          <w:marLeft w:val="360"/>
          <w:marRight w:val="0"/>
          <w:marTop w:val="200"/>
          <w:marBottom w:val="0"/>
          <w:divBdr>
            <w:top w:val="none" w:sz="0" w:space="0" w:color="auto"/>
            <w:left w:val="none" w:sz="0" w:space="0" w:color="auto"/>
            <w:bottom w:val="none" w:sz="0" w:space="0" w:color="auto"/>
            <w:right w:val="none" w:sz="0" w:space="0" w:color="auto"/>
          </w:divBdr>
        </w:div>
        <w:div w:id="323246215">
          <w:marLeft w:val="1080"/>
          <w:marRight w:val="0"/>
          <w:marTop w:val="100"/>
          <w:marBottom w:val="0"/>
          <w:divBdr>
            <w:top w:val="none" w:sz="0" w:space="0" w:color="auto"/>
            <w:left w:val="none" w:sz="0" w:space="0" w:color="auto"/>
            <w:bottom w:val="none" w:sz="0" w:space="0" w:color="auto"/>
            <w:right w:val="none" w:sz="0" w:space="0" w:color="auto"/>
          </w:divBdr>
        </w:div>
        <w:div w:id="1904638808">
          <w:marLeft w:val="360"/>
          <w:marRight w:val="0"/>
          <w:marTop w:val="200"/>
          <w:marBottom w:val="0"/>
          <w:divBdr>
            <w:top w:val="none" w:sz="0" w:space="0" w:color="auto"/>
            <w:left w:val="none" w:sz="0" w:space="0" w:color="auto"/>
            <w:bottom w:val="none" w:sz="0" w:space="0" w:color="auto"/>
            <w:right w:val="none" w:sz="0" w:space="0" w:color="auto"/>
          </w:divBdr>
        </w:div>
        <w:div w:id="402147647">
          <w:marLeft w:val="1080"/>
          <w:marRight w:val="0"/>
          <w:marTop w:val="100"/>
          <w:marBottom w:val="0"/>
          <w:divBdr>
            <w:top w:val="none" w:sz="0" w:space="0" w:color="auto"/>
            <w:left w:val="none" w:sz="0" w:space="0" w:color="auto"/>
            <w:bottom w:val="none" w:sz="0" w:space="0" w:color="auto"/>
            <w:right w:val="none" w:sz="0" w:space="0" w:color="auto"/>
          </w:divBdr>
        </w:div>
      </w:divsChild>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69370478">
      <w:bodyDiv w:val="1"/>
      <w:marLeft w:val="0"/>
      <w:marRight w:val="0"/>
      <w:marTop w:val="0"/>
      <w:marBottom w:val="0"/>
      <w:divBdr>
        <w:top w:val="none" w:sz="0" w:space="0" w:color="auto"/>
        <w:left w:val="none" w:sz="0" w:space="0" w:color="auto"/>
        <w:bottom w:val="none" w:sz="0" w:space="0" w:color="auto"/>
        <w:right w:val="none" w:sz="0" w:space="0" w:color="auto"/>
      </w:divBdr>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81943979">
      <w:bodyDiv w:val="1"/>
      <w:marLeft w:val="0"/>
      <w:marRight w:val="0"/>
      <w:marTop w:val="0"/>
      <w:marBottom w:val="0"/>
      <w:divBdr>
        <w:top w:val="none" w:sz="0" w:space="0" w:color="auto"/>
        <w:left w:val="none" w:sz="0" w:space="0" w:color="auto"/>
        <w:bottom w:val="none" w:sz="0" w:space="0" w:color="auto"/>
        <w:right w:val="none" w:sz="0" w:space="0" w:color="auto"/>
      </w:divBdr>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0573099">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21432648">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82980785">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0743563">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42225648">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90853575">
      <w:bodyDiv w:val="1"/>
      <w:marLeft w:val="0"/>
      <w:marRight w:val="0"/>
      <w:marTop w:val="0"/>
      <w:marBottom w:val="0"/>
      <w:divBdr>
        <w:top w:val="none" w:sz="0" w:space="0" w:color="auto"/>
        <w:left w:val="none" w:sz="0" w:space="0" w:color="auto"/>
        <w:bottom w:val="none" w:sz="0" w:space="0" w:color="auto"/>
        <w:right w:val="none" w:sz="0" w:space="0" w:color="auto"/>
      </w:divBdr>
      <w:divsChild>
        <w:div w:id="789670359">
          <w:marLeft w:val="360"/>
          <w:marRight w:val="0"/>
          <w:marTop w:val="200"/>
          <w:marBottom w:val="0"/>
          <w:divBdr>
            <w:top w:val="none" w:sz="0" w:space="0" w:color="auto"/>
            <w:left w:val="none" w:sz="0" w:space="0" w:color="auto"/>
            <w:bottom w:val="none" w:sz="0" w:space="0" w:color="auto"/>
            <w:right w:val="none" w:sz="0" w:space="0" w:color="auto"/>
          </w:divBdr>
        </w:div>
        <w:div w:id="404378865">
          <w:marLeft w:val="1080"/>
          <w:marRight w:val="0"/>
          <w:marTop w:val="100"/>
          <w:marBottom w:val="0"/>
          <w:divBdr>
            <w:top w:val="none" w:sz="0" w:space="0" w:color="auto"/>
            <w:left w:val="none" w:sz="0" w:space="0" w:color="auto"/>
            <w:bottom w:val="none" w:sz="0" w:space="0" w:color="auto"/>
            <w:right w:val="none" w:sz="0" w:space="0" w:color="auto"/>
          </w:divBdr>
        </w:div>
        <w:div w:id="2124886293">
          <w:marLeft w:val="360"/>
          <w:marRight w:val="0"/>
          <w:marTop w:val="200"/>
          <w:marBottom w:val="0"/>
          <w:divBdr>
            <w:top w:val="none" w:sz="0" w:space="0" w:color="auto"/>
            <w:left w:val="none" w:sz="0" w:space="0" w:color="auto"/>
            <w:bottom w:val="none" w:sz="0" w:space="0" w:color="auto"/>
            <w:right w:val="none" w:sz="0" w:space="0" w:color="auto"/>
          </w:divBdr>
        </w:div>
        <w:div w:id="1343243010">
          <w:marLeft w:val="1080"/>
          <w:marRight w:val="0"/>
          <w:marTop w:val="1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7156823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5204486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2364624">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4922</TotalTime>
  <Pages>1</Pages>
  <Words>410</Words>
  <Characters>2339</Characters>
  <Application>Microsoft Office Word</Application>
  <DocSecurity>0</DocSecurity>
  <Lines>19</Lines>
  <Paragraphs>5</Paragraphs>
  <ScaleCrop>false</ScaleCrop>
  <Company>HUAWEI</Company>
  <LinksUpToDate>false</LinksUpToDate>
  <CharactersWithSpaces>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35</cp:revision>
  <dcterms:created xsi:type="dcterms:W3CDTF">2020-06-28T04:14:00Z</dcterms:created>
  <dcterms:modified xsi:type="dcterms:W3CDTF">2020-10-23T11:58:00Z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(3)Lpo91AhbBFkfUgKMcY+ZXelUGlGAE5LIzb+t0kS0P7yZA/QIj3zFLGXuRIOSNdLrTNKz4WAi
lljhe7k1Acyq2LOo0+vf9fM8m1w+SikIxmD4H/UDhgGPxp6k8/hkoD5jV/RdqCzwHktkHaGv
D+1ZwqmQG7o9X3l4Gvp2c40u03tY8W9NjgDe9tsOXygGtFlnjSu6JP9fHDoQbuNPpan/Y8kG
mxA4NOjtdp9xB35wFi</vt:lpwstr>
  </property>
  <property fmtid="{D5CDD505-2E9C-101B-9397-08002B2CF9AE}" pid="3" name="_2015_ms_pID_7253431">
    <vt:lpwstr>JIMyu1b24AQdVJqjrlpqncUo86blXolAw47iS3dCM4KXDAGa0eg7jA
ynbHhHlsfonCz4SsGhV37afbpBRUbf0jXbgG5tw5Cg6h8jlHSfmHgx8e/REMTQXhVKRqFBd/
4kplYEbpsSik3Nm93OiK4E3asNpu/x+TZOqX8CbztvD+K/zi0cRpbHc4BTyCF3Rx72Ao+Xse
ZHCIkA4cHz9QONCWvp9shHAI67+Oz+7B0Hai</vt:lpwstr>
  </property>
  <property fmtid="{D5CDD505-2E9C-101B-9397-08002B2CF9AE}" pid="4" name="_2015_ms_pID_7253432">
    <vt:lpwstr>drUBmAbiV2hX6V4DAjslm7w=</vt:lpwstr>
  </property>
</Properties>
</file>