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B259" w14:textId="77777777" w:rsidR="00B24B1D" w:rsidRDefault="00B24B1D" w:rsidP="00F769B2">
      <w:pPr>
        <w:pStyle w:val="a3"/>
        <w:rPr>
          <w:rFonts w:cs="Arial"/>
          <w:noProof w:val="0"/>
          <w:sz w:val="24"/>
          <w:szCs w:val="24"/>
        </w:rPr>
      </w:pPr>
    </w:p>
    <w:p w14:paraId="1D67BF57" w14:textId="12568B4D" w:rsidR="00F769B2" w:rsidRPr="00F769B2" w:rsidRDefault="00F769B2" w:rsidP="00F769B2">
      <w:pPr>
        <w:pStyle w:val="a3"/>
        <w:rPr>
          <w:rFonts w:cs="Arial"/>
          <w:noProof w:val="0"/>
          <w:sz w:val="24"/>
          <w:szCs w:val="24"/>
        </w:rPr>
      </w:pPr>
      <w:r w:rsidRPr="00F769B2">
        <w:rPr>
          <w:rFonts w:cs="Arial"/>
          <w:noProof w:val="0"/>
          <w:sz w:val="24"/>
          <w:szCs w:val="24"/>
        </w:rPr>
        <w:t xml:space="preserve">3GPP TSG-RAN WG4 Meeting # 97-e </w:t>
      </w:r>
      <w:r w:rsidRPr="00F769B2">
        <w:rPr>
          <w:rFonts w:cs="Arial"/>
          <w:noProof w:val="0"/>
          <w:sz w:val="24"/>
          <w:szCs w:val="24"/>
        </w:rPr>
        <w:tab/>
      </w:r>
      <w:r>
        <w:rPr>
          <w:rFonts w:cs="Arial"/>
          <w:noProof w:val="0"/>
          <w:sz w:val="24"/>
          <w:szCs w:val="24"/>
        </w:rPr>
        <w:t xml:space="preserve">                              </w:t>
      </w:r>
      <w:bookmarkStart w:id="0" w:name="_GoBack"/>
      <w:r w:rsidR="00BB081C" w:rsidRPr="00BB081C">
        <w:rPr>
          <w:rFonts w:cs="Arial"/>
          <w:noProof w:val="0"/>
          <w:sz w:val="24"/>
          <w:szCs w:val="24"/>
        </w:rPr>
        <w:t>R4-2015515</w:t>
      </w:r>
      <w:bookmarkEnd w:id="0"/>
    </w:p>
    <w:p w14:paraId="63686C3E" w14:textId="30242C39" w:rsidR="00DF0231" w:rsidRPr="00F714A7" w:rsidRDefault="00F769B2" w:rsidP="00F769B2">
      <w:pPr>
        <w:pStyle w:val="a3"/>
        <w:rPr>
          <w:rFonts w:eastAsia="宋体"/>
          <w:noProof w:val="0"/>
          <w:sz w:val="24"/>
          <w:szCs w:val="24"/>
          <w:lang w:eastAsia="zh-CN"/>
        </w:rPr>
      </w:pPr>
      <w:r w:rsidRPr="00F769B2">
        <w:rPr>
          <w:rFonts w:cs="Arial"/>
          <w:noProof w:val="0"/>
          <w:sz w:val="24"/>
          <w:szCs w:val="24"/>
        </w:rPr>
        <w:t>Electronic Meeting, 2-13 Nov., 2020</w:t>
      </w: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4ED4157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65E2F">
        <w:rPr>
          <w:rFonts w:ascii="Arial" w:hAnsi="Arial"/>
          <w:sz w:val="24"/>
          <w:lang w:val="en-US"/>
        </w:rPr>
        <w:t>7.1.</w:t>
      </w:r>
      <w:r w:rsidR="00CA30C9">
        <w:rPr>
          <w:rFonts w:ascii="Arial" w:hAnsi="Arial"/>
          <w:sz w:val="24"/>
          <w:lang w:val="en-US"/>
        </w:rPr>
        <w:t>6</w:t>
      </w:r>
      <w:r w:rsidR="00D65E2F">
        <w:rPr>
          <w:rFonts w:ascii="Arial" w:hAnsi="Arial"/>
          <w:sz w:val="24"/>
          <w:lang w:val="en-US"/>
        </w:rPr>
        <w:t>.</w:t>
      </w:r>
      <w:r w:rsidR="00CA30C9">
        <w:rPr>
          <w:rFonts w:ascii="Arial" w:hAnsi="Arial"/>
          <w:sz w:val="24"/>
          <w:lang w:val="en-US"/>
        </w:rPr>
        <w:t>1</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6EB7A88E"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A30C9" w:rsidRPr="00CA30C9">
        <w:rPr>
          <w:rFonts w:ascii="Arial" w:hAnsi="Arial"/>
          <w:sz w:val="24"/>
          <w:lang w:val="en-US"/>
        </w:rPr>
        <w:t>Discussion on monitoring capability in cell detection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29FD33F5"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2428D6">
        <w:rPr>
          <w:rFonts w:eastAsiaTheme="minorEastAsia"/>
          <w:lang w:val="en-US" w:eastAsia="zh-CN"/>
        </w:rPr>
        <w:t>6</w:t>
      </w:r>
      <w:r w:rsidR="00F714A7">
        <w:rPr>
          <w:rFonts w:eastAsiaTheme="minorEastAsia"/>
          <w:lang w:val="en-US" w:eastAsia="zh-CN"/>
        </w:rPr>
        <w:t>e</w:t>
      </w:r>
      <w:r w:rsidR="00DF0231" w:rsidRPr="002D2977">
        <w:rPr>
          <w:rFonts w:eastAsiaTheme="minorEastAsia"/>
          <w:lang w:val="en-US" w:eastAsia="zh-CN"/>
        </w:rPr>
        <w:t xml:space="preserve"> </w:t>
      </w:r>
      <w:r w:rsidR="004222BD">
        <w:rPr>
          <w:rFonts w:eastAsiaTheme="minorEastAsia"/>
          <w:lang w:val="en-US" w:eastAsia="zh-CN"/>
        </w:rPr>
        <w:t>meeting, the issue about the monitoring capability was discussed with the agreements captured in [1]. The issue has been discussed for several meetings about how many candidate SSB positions that a UE shall monitor in measurement and detection period. The remaining issue is about the same capability in the detection stage. We further provide our views on this issue in this paper.</w:t>
      </w:r>
    </w:p>
    <w:p w14:paraId="6D78271B" w14:textId="77777777" w:rsidR="00DF0231" w:rsidRDefault="00DF0231" w:rsidP="00DF0231">
      <w:pPr>
        <w:pStyle w:val="1"/>
        <w:numPr>
          <w:ilvl w:val="0"/>
          <w:numId w:val="1"/>
        </w:numPr>
        <w:rPr>
          <w:lang w:val="en-US"/>
        </w:rPr>
      </w:pPr>
      <w:r w:rsidRPr="002D2977">
        <w:rPr>
          <w:lang w:val="en-US"/>
        </w:rPr>
        <w:t>Discussion</w:t>
      </w:r>
    </w:p>
    <w:p w14:paraId="16CA3D22" w14:textId="4B922814" w:rsidR="00CA30C9" w:rsidRDefault="004222BD" w:rsidP="00D53A4A">
      <w:pPr>
        <w:rPr>
          <w:rFonts w:eastAsiaTheme="minorEastAsia"/>
          <w:lang w:val="en-US" w:eastAsia="zh-CN"/>
        </w:rPr>
      </w:pPr>
      <w:r>
        <w:rPr>
          <w:rFonts w:eastAsiaTheme="minorEastAsia"/>
          <w:lang w:val="en-US" w:eastAsia="zh-CN"/>
        </w:rPr>
        <w:t>The agreements about the SSB monitoring capabilities are as follows:</w:t>
      </w:r>
    </w:p>
    <w:tbl>
      <w:tblPr>
        <w:tblStyle w:val="a7"/>
        <w:tblW w:w="0" w:type="auto"/>
        <w:tblLook w:val="04A0" w:firstRow="1" w:lastRow="0" w:firstColumn="1" w:lastColumn="0" w:noHBand="0" w:noVBand="1"/>
      </w:tblPr>
      <w:tblGrid>
        <w:gridCol w:w="9562"/>
      </w:tblGrid>
      <w:tr w:rsidR="004222BD" w14:paraId="5B674728" w14:textId="77777777" w:rsidTr="004222BD">
        <w:tc>
          <w:tcPr>
            <w:tcW w:w="9562" w:type="dxa"/>
          </w:tcPr>
          <w:p w14:paraId="3FC65025" w14:textId="77777777" w:rsidR="004222BD" w:rsidRPr="004222BD" w:rsidRDefault="004222BD" w:rsidP="004222BD">
            <w:pPr>
              <w:overflowPunct w:val="0"/>
              <w:spacing w:after="0"/>
              <w:rPr>
                <w:rFonts w:eastAsia="Times New Roman"/>
                <w:sz w:val="16"/>
                <w:szCs w:val="24"/>
                <w:lang w:val="en-US" w:eastAsia="zh-CN"/>
              </w:rPr>
            </w:pPr>
            <w:r w:rsidRPr="004222BD">
              <w:rPr>
                <w:rFonts w:ascii="Calibri" w:eastAsia="+mn-ea" w:hAnsi="Calibri" w:cs="+mn-cs"/>
                <w:color w:val="000000"/>
                <w:kern w:val="24"/>
                <w:sz w:val="22"/>
                <w:szCs w:val="36"/>
                <w:lang w:val="en-US" w:eastAsia="zh-CN"/>
              </w:rPr>
              <w:t xml:space="preserve">RAN1 LS response on SSB monitoring capabilities </w:t>
            </w:r>
          </w:p>
          <w:p w14:paraId="35FD78F4" w14:textId="77777777" w:rsidR="004222BD" w:rsidRPr="004222BD" w:rsidRDefault="004222BD" w:rsidP="004222BD">
            <w:pPr>
              <w:overflowPunct w:val="0"/>
              <w:spacing w:after="0"/>
              <w:ind w:left="720"/>
              <w:rPr>
                <w:rFonts w:eastAsia="Times New Roman"/>
                <w:sz w:val="16"/>
                <w:szCs w:val="24"/>
                <w:lang w:val="en-US" w:eastAsia="zh-CN"/>
              </w:rPr>
            </w:pPr>
            <w:r w:rsidRPr="004222BD">
              <w:rPr>
                <w:rFonts w:ascii="Calibri (Body)" w:eastAsia="宋体" w:hAnsi="Calibri (Body)" w:cs="+mn-cs"/>
                <w:color w:val="000000"/>
                <w:kern w:val="24"/>
                <w:sz w:val="22"/>
                <w:szCs w:val="36"/>
                <w:lang w:val="en-US" w:eastAsia="zh-CN"/>
              </w:rPr>
              <w:t>RAN4 assumption on signaling of UE SSB monitoring capabilities</w:t>
            </w:r>
          </w:p>
          <w:p w14:paraId="5815F67D" w14:textId="77777777" w:rsidR="004222BD" w:rsidRPr="004222BD" w:rsidRDefault="004222BD" w:rsidP="004222BD">
            <w:pPr>
              <w:spacing w:after="0"/>
              <w:ind w:left="1440"/>
              <w:rPr>
                <w:rFonts w:eastAsia="Times New Roman"/>
                <w:sz w:val="16"/>
                <w:szCs w:val="24"/>
                <w:lang w:val="en-US" w:eastAsia="zh-CN"/>
              </w:rPr>
            </w:pPr>
            <w:r w:rsidRPr="004222BD">
              <w:rPr>
                <w:rFonts w:ascii="Calibri" w:eastAsia="+mn-ea" w:hAnsi="Calibri" w:cs="+mn-cs"/>
                <w:color w:val="0070C0"/>
                <w:kern w:val="24"/>
                <w:sz w:val="22"/>
                <w:szCs w:val="36"/>
                <w:lang w:eastAsia="zh-CN"/>
              </w:rPr>
              <w:t>In NR-U work, RAN4 assumes that no explicit or signalled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5D9E0F0C" w14:textId="77777777" w:rsidR="004222BD" w:rsidRPr="004222BD" w:rsidRDefault="004222BD" w:rsidP="004222BD">
            <w:pPr>
              <w:spacing w:after="0"/>
              <w:ind w:left="720"/>
              <w:rPr>
                <w:rFonts w:eastAsia="Times New Roman"/>
                <w:sz w:val="16"/>
                <w:szCs w:val="24"/>
                <w:lang w:val="en-US" w:eastAsia="zh-CN"/>
              </w:rPr>
            </w:pPr>
            <w:r w:rsidRPr="004222BD">
              <w:rPr>
                <w:rFonts w:ascii="Calibri" w:eastAsia="+mn-ea" w:hAnsi="Calibri" w:cs="+mn-cs"/>
                <w:color w:val="000000"/>
                <w:kern w:val="24"/>
                <w:sz w:val="22"/>
                <w:szCs w:val="36"/>
                <w:lang w:val="en-US" w:eastAsia="zh-CN"/>
              </w:rPr>
              <w:t>Differentiation between UE in FBE and LBE modes</w:t>
            </w:r>
          </w:p>
          <w:p w14:paraId="13B41FF2" w14:textId="77777777" w:rsidR="004222BD" w:rsidRPr="004222BD" w:rsidRDefault="004222BD" w:rsidP="004222BD">
            <w:pPr>
              <w:spacing w:after="0"/>
              <w:ind w:left="1440"/>
              <w:rPr>
                <w:rFonts w:eastAsia="Times New Roman"/>
                <w:sz w:val="16"/>
                <w:szCs w:val="24"/>
                <w:lang w:val="en-US" w:eastAsia="zh-CN"/>
              </w:rPr>
            </w:pPr>
            <w:r w:rsidRPr="004222BD">
              <w:rPr>
                <w:rFonts w:ascii="Calibri" w:eastAsia="+mn-ea" w:hAnsi="Calibri" w:cs="+mn-cs"/>
                <w:color w:val="0070C0"/>
                <w:kern w:val="24"/>
                <w:sz w:val="22"/>
                <w:szCs w:val="36"/>
                <w:lang w:val="en-US" w:eastAsia="zh-CN"/>
              </w:rPr>
              <w:t>No differentiation between UE in FBE and LBE modes in NR-U RRM Core requirements</w:t>
            </w:r>
          </w:p>
          <w:p w14:paraId="003A3F90" w14:textId="77777777" w:rsidR="004222BD" w:rsidRPr="004222BD" w:rsidRDefault="004222BD" w:rsidP="004222BD">
            <w:pPr>
              <w:spacing w:after="0"/>
              <w:ind w:left="1440"/>
              <w:rPr>
                <w:rFonts w:eastAsia="Times New Roman"/>
                <w:sz w:val="16"/>
                <w:szCs w:val="24"/>
                <w:lang w:val="en-US" w:eastAsia="zh-CN"/>
              </w:rPr>
            </w:pPr>
            <w:r w:rsidRPr="004222BD">
              <w:rPr>
                <w:rFonts w:ascii="Calibri" w:eastAsia="+mn-ea" w:hAnsi="Calibri" w:cs="+mn-cs"/>
                <w:color w:val="0070C0"/>
                <w:kern w:val="24"/>
                <w:sz w:val="22"/>
                <w:szCs w:val="36"/>
                <w:lang w:val="en-US" w:eastAsia="zh-CN"/>
              </w:rPr>
              <w:t>Different test case will be defined for UE in FBE and LBE modes in NR-U RRM Performance requirements</w:t>
            </w:r>
          </w:p>
          <w:p w14:paraId="55A53713" w14:textId="77777777" w:rsidR="004222BD" w:rsidRPr="004222BD" w:rsidRDefault="004222BD" w:rsidP="004222BD">
            <w:pPr>
              <w:spacing w:after="0"/>
              <w:ind w:left="720"/>
              <w:rPr>
                <w:rFonts w:eastAsia="Times New Roman"/>
                <w:sz w:val="16"/>
                <w:szCs w:val="24"/>
                <w:lang w:val="en-US" w:eastAsia="zh-CN"/>
              </w:rPr>
            </w:pPr>
            <w:r w:rsidRPr="004222BD">
              <w:rPr>
                <w:rFonts w:ascii="Calibri" w:eastAsia="+mn-ea" w:hAnsi="Calibri" w:cs="+mn-cs"/>
                <w:color w:val="000000"/>
                <w:kern w:val="24"/>
                <w:sz w:val="22"/>
                <w:szCs w:val="36"/>
                <w:lang w:val="en-US" w:eastAsia="zh-CN"/>
              </w:rPr>
              <w:t>Parameter Q</w:t>
            </w:r>
          </w:p>
          <w:p w14:paraId="3E3EC3D9" w14:textId="77777777" w:rsidR="004222BD" w:rsidRPr="004222BD" w:rsidRDefault="004222BD" w:rsidP="004222BD">
            <w:pPr>
              <w:spacing w:after="0"/>
              <w:ind w:left="1440"/>
              <w:rPr>
                <w:rFonts w:eastAsia="Times New Roman"/>
                <w:sz w:val="16"/>
                <w:szCs w:val="24"/>
                <w:lang w:val="en-US" w:eastAsia="zh-CN"/>
              </w:rPr>
            </w:pPr>
            <w:r w:rsidRPr="004222BD">
              <w:rPr>
                <w:rFonts w:ascii="Calibri" w:eastAsia="+mn-ea" w:hAnsi="Calibri" w:cs="+mn-cs"/>
                <w:color w:val="000000"/>
                <w:kern w:val="24"/>
                <w:sz w:val="22"/>
                <w:szCs w:val="36"/>
                <w:lang w:eastAsia="zh-CN"/>
              </w:rPr>
              <w:t>Do not further discuss the case when a UE is not provided with the parameter Q (this case does not exist, according to RAN1)</w:t>
            </w:r>
          </w:p>
          <w:p w14:paraId="0DFFE2CD" w14:textId="77777777" w:rsidR="0046167F" w:rsidRPr="0046167F" w:rsidRDefault="0046167F" w:rsidP="0046167F">
            <w:pPr>
              <w:overflowPunct w:val="0"/>
              <w:spacing w:after="0"/>
              <w:rPr>
                <w:rFonts w:eastAsia="Times New Roman"/>
                <w:sz w:val="16"/>
                <w:szCs w:val="24"/>
                <w:lang w:val="en-US" w:eastAsia="zh-CN"/>
              </w:rPr>
            </w:pPr>
            <w:r w:rsidRPr="0046167F">
              <w:rPr>
                <w:rFonts w:ascii="Calibri" w:eastAsia="+mn-ea" w:hAnsi="Calibri" w:cs="+mn-cs"/>
                <w:color w:val="000000"/>
                <w:kern w:val="24"/>
                <w:sz w:val="22"/>
                <w:szCs w:val="36"/>
                <w:lang w:val="en-US" w:eastAsia="zh-CN"/>
              </w:rPr>
              <w:t>RAN1 LS response on SSB monitoring capabilities (cont.)</w:t>
            </w:r>
          </w:p>
          <w:p w14:paraId="2CAC94A3" w14:textId="77777777" w:rsidR="0046167F" w:rsidRPr="0046167F" w:rsidRDefault="0046167F" w:rsidP="0046167F">
            <w:pPr>
              <w:overflowPunct w:val="0"/>
              <w:spacing w:after="0"/>
              <w:ind w:left="720"/>
              <w:rPr>
                <w:rFonts w:eastAsia="Times New Roman"/>
                <w:sz w:val="16"/>
                <w:szCs w:val="24"/>
                <w:lang w:val="en-US" w:eastAsia="zh-CN"/>
              </w:rPr>
            </w:pPr>
            <w:r w:rsidRPr="0046167F">
              <w:rPr>
                <w:rFonts w:ascii="Calibri (Body)" w:eastAsia="宋体" w:hAnsi="Calibri (Body)" w:cs="+mn-cs"/>
                <w:color w:val="000000"/>
                <w:kern w:val="24"/>
                <w:sz w:val="22"/>
                <w:szCs w:val="36"/>
                <w:lang w:val="en-US" w:eastAsia="zh-CN"/>
              </w:rPr>
              <w:t>Whether to capture the number of candidate SSB positions in NR-U core requirements</w:t>
            </w:r>
          </w:p>
          <w:p w14:paraId="73CEF399" w14:textId="77777777" w:rsidR="0046167F" w:rsidRPr="0046167F" w:rsidRDefault="0046167F" w:rsidP="0046167F">
            <w:pPr>
              <w:spacing w:after="0"/>
              <w:ind w:left="1440"/>
              <w:rPr>
                <w:rFonts w:eastAsia="Times New Roman"/>
                <w:sz w:val="16"/>
                <w:szCs w:val="24"/>
                <w:lang w:val="en-US" w:eastAsia="zh-CN"/>
              </w:rPr>
            </w:pPr>
            <w:r w:rsidRPr="0046167F">
              <w:rPr>
                <w:rFonts w:ascii="Calibri" w:eastAsia="+mn-ea" w:hAnsi="Calibri" w:cs="+mn-cs"/>
                <w:color w:val="0070C0"/>
                <w:kern w:val="24"/>
                <w:sz w:val="22"/>
                <w:szCs w:val="36"/>
                <w:lang w:eastAsia="zh-CN"/>
              </w:rPr>
              <w:t xml:space="preserve">RRM core requirements are defined under assumption what UE monitors the first 2 successive </w:t>
            </w:r>
            <w:proofErr w:type="spellStart"/>
            <w:r w:rsidRPr="0046167F">
              <w:rPr>
                <w:rFonts w:ascii="Calibri" w:eastAsia="+mn-ea" w:hAnsi="Calibri" w:cs="+mn-cs"/>
                <w:color w:val="0070C0"/>
                <w:kern w:val="24"/>
                <w:sz w:val="22"/>
                <w:szCs w:val="36"/>
                <w:lang w:eastAsia="zh-CN"/>
              </w:rPr>
              <w:t>QCL’ed</w:t>
            </w:r>
            <w:proofErr w:type="spellEnd"/>
            <w:r w:rsidRPr="0046167F">
              <w:rPr>
                <w:rFonts w:ascii="Calibri" w:eastAsia="+mn-ea" w:hAnsi="Calibri" w:cs="+mn-cs"/>
                <w:color w:val="0070C0"/>
                <w:kern w:val="24"/>
                <w:sz w:val="22"/>
                <w:szCs w:val="36"/>
                <w:lang w:eastAsia="zh-CN"/>
              </w:rPr>
              <w:t xml:space="preserve"> candidate SSB positions (i.e. N1 = N2 = 2)</w:t>
            </w:r>
          </w:p>
          <w:p w14:paraId="6564323C" w14:textId="77777777" w:rsidR="0046167F" w:rsidRPr="0046167F" w:rsidRDefault="0046167F" w:rsidP="0046167F">
            <w:pPr>
              <w:spacing w:after="0"/>
              <w:ind w:left="2160"/>
              <w:rPr>
                <w:rFonts w:eastAsia="Times New Roman"/>
                <w:sz w:val="16"/>
                <w:szCs w:val="24"/>
                <w:lang w:val="en-US" w:eastAsia="zh-CN"/>
              </w:rPr>
            </w:pPr>
            <w:r w:rsidRPr="0046167F">
              <w:rPr>
                <w:rFonts w:ascii="Calibri" w:eastAsia="+mn-ea" w:hAnsi="Calibri" w:cs="+mn-cs"/>
                <w:color w:val="0070C0"/>
                <w:kern w:val="24"/>
                <w:sz w:val="22"/>
                <w:szCs w:val="36"/>
                <w:lang w:eastAsia="zh-CN"/>
              </w:rPr>
              <w:t>FFS if same values apply for cell detection</w:t>
            </w:r>
          </w:p>
          <w:p w14:paraId="4FE8192A" w14:textId="77777777" w:rsidR="0046167F" w:rsidRPr="0046167F" w:rsidRDefault="0046167F" w:rsidP="0046167F">
            <w:pPr>
              <w:spacing w:after="0"/>
              <w:ind w:left="2880"/>
              <w:rPr>
                <w:rFonts w:eastAsia="Times New Roman"/>
                <w:sz w:val="16"/>
                <w:szCs w:val="24"/>
                <w:lang w:val="en-US" w:eastAsia="zh-CN"/>
              </w:rPr>
            </w:pPr>
            <w:r w:rsidRPr="0046167F">
              <w:rPr>
                <w:rFonts w:ascii="Calibri" w:eastAsia="+mn-ea" w:hAnsi="Calibri" w:cs="+mn-cs"/>
                <w:color w:val="0070C0"/>
                <w:kern w:val="24"/>
                <w:sz w:val="22"/>
                <w:szCs w:val="36"/>
                <w:lang w:eastAsia="zh-CN"/>
              </w:rPr>
              <w:t>Option 1: For cell detection the requirements are defined under assumption that UE monitors at least 1 candidate SSB position in one SSB block burst</w:t>
            </w:r>
          </w:p>
          <w:p w14:paraId="161A3348" w14:textId="77777777" w:rsidR="0046167F" w:rsidRPr="0046167F" w:rsidRDefault="0046167F" w:rsidP="0046167F">
            <w:pPr>
              <w:spacing w:after="0"/>
              <w:ind w:left="2880"/>
              <w:rPr>
                <w:rFonts w:eastAsia="Times New Roman"/>
                <w:sz w:val="16"/>
                <w:szCs w:val="24"/>
                <w:lang w:val="en-US" w:eastAsia="zh-CN"/>
              </w:rPr>
            </w:pPr>
            <w:r w:rsidRPr="0046167F">
              <w:rPr>
                <w:rFonts w:ascii="Calibri" w:eastAsia="+mn-ea" w:hAnsi="Calibri" w:cs="+mn-cs"/>
                <w:color w:val="0070C0"/>
                <w:kern w:val="24"/>
                <w:sz w:val="22"/>
                <w:szCs w:val="36"/>
                <w:lang w:eastAsia="zh-CN"/>
              </w:rPr>
              <w:t>Option 2: Same value applies as for other RRM measurements</w:t>
            </w:r>
          </w:p>
          <w:p w14:paraId="062E0E87" w14:textId="77777777" w:rsidR="0046167F" w:rsidRPr="0046167F" w:rsidRDefault="0046167F" w:rsidP="0046167F">
            <w:pPr>
              <w:spacing w:after="0"/>
              <w:ind w:left="2160"/>
              <w:rPr>
                <w:rFonts w:eastAsia="Times New Roman"/>
                <w:sz w:val="16"/>
                <w:szCs w:val="24"/>
                <w:lang w:val="en-US" w:eastAsia="zh-CN"/>
              </w:rPr>
            </w:pPr>
            <w:r w:rsidRPr="0046167F">
              <w:rPr>
                <w:rFonts w:ascii="Calibri" w:eastAsia="+mn-ea" w:hAnsi="Calibri" w:cs="+mn-cs"/>
                <w:color w:val="0070C0"/>
                <w:kern w:val="24"/>
                <w:sz w:val="22"/>
                <w:szCs w:val="36"/>
                <w:lang w:eastAsia="zh-CN"/>
              </w:rPr>
              <w:t>The total number of candidate SSBs indexes and number of cell UE shall monitor remains unchanged</w:t>
            </w:r>
          </w:p>
          <w:p w14:paraId="2F2FE4BF" w14:textId="77777777" w:rsidR="004222BD" w:rsidRDefault="004222BD" w:rsidP="0046167F">
            <w:pPr>
              <w:spacing w:after="0"/>
              <w:ind w:left="1440"/>
              <w:rPr>
                <w:rFonts w:eastAsiaTheme="minorEastAsia"/>
                <w:lang w:val="en-US" w:eastAsia="zh-CN"/>
              </w:rPr>
            </w:pPr>
          </w:p>
        </w:tc>
      </w:tr>
    </w:tbl>
    <w:p w14:paraId="411859C3" w14:textId="62A3F4C4" w:rsidR="004222BD" w:rsidRDefault="004222BD" w:rsidP="00D53A4A">
      <w:pPr>
        <w:rPr>
          <w:rFonts w:eastAsiaTheme="minorEastAsia"/>
          <w:lang w:val="en-US" w:eastAsia="zh-CN"/>
        </w:rPr>
      </w:pPr>
    </w:p>
    <w:p w14:paraId="1EA31D62" w14:textId="5174F249" w:rsidR="009D3067" w:rsidRDefault="004222BD" w:rsidP="004222BD">
      <w:pPr>
        <w:rPr>
          <w:rFonts w:eastAsiaTheme="minorEastAsia"/>
          <w:lang w:val="en-US" w:eastAsia="zh-CN"/>
        </w:rPr>
      </w:pPr>
      <w:r>
        <w:rPr>
          <w:rFonts w:eastAsiaTheme="minorEastAsia"/>
          <w:lang w:val="en-US" w:eastAsia="zh-CN"/>
        </w:rPr>
        <w:t xml:space="preserve">The remaining issue </w:t>
      </w:r>
      <w:r w:rsidR="00586403">
        <w:rPr>
          <w:rFonts w:eastAsiaTheme="minorEastAsia"/>
          <w:lang w:val="en-US" w:eastAsia="zh-CN"/>
        </w:rPr>
        <w:t>is about the monitoring capability in the detection stage. It could be observed in the exiting requirements that multiple samples are needed in the detection stage (i.e. 5 samples in L3 intra-frequency measurement)</w:t>
      </w:r>
      <w:r w:rsidR="003E29F2">
        <w:rPr>
          <w:rFonts w:eastAsiaTheme="minorEastAsia"/>
          <w:lang w:val="en-US" w:eastAsia="zh-CN"/>
        </w:rPr>
        <w:t xml:space="preserve">, which means jointly detection among multiple SMTCs may be needed. </w:t>
      </w:r>
      <w:r w:rsidR="00DA25AE">
        <w:rPr>
          <w:rFonts w:eastAsiaTheme="minorEastAsia"/>
          <w:lang w:val="en-US" w:eastAsia="zh-CN"/>
        </w:rPr>
        <w:t xml:space="preserve">As shown in the example in Fig. 1, </w:t>
      </w:r>
      <w:proofErr w:type="spellStart"/>
      <w:r w:rsidR="00DA25AE">
        <w:rPr>
          <w:rFonts w:eastAsiaTheme="minorEastAsia"/>
          <w:lang w:val="en-US" w:eastAsia="zh-CN"/>
        </w:rPr>
        <w:t>gNB</w:t>
      </w:r>
      <w:proofErr w:type="spellEnd"/>
      <w:r w:rsidR="00DA25AE">
        <w:rPr>
          <w:rFonts w:eastAsiaTheme="minorEastAsia"/>
          <w:lang w:val="en-US" w:eastAsia="zh-CN"/>
        </w:rPr>
        <w:t xml:space="preserve"> may transmit different candidate SSB positions with same SSB index in different SMTCs.</w:t>
      </w:r>
      <w:r w:rsidR="009D3067">
        <w:rPr>
          <w:rFonts w:eastAsiaTheme="minorEastAsia"/>
          <w:lang w:val="en-US" w:eastAsia="zh-CN"/>
        </w:rPr>
        <w:t xml:space="preserve"> The transmitted candidate SSB positions in multiple SMTC is (4 – 0 – 4 – 0 – 4)</w:t>
      </w:r>
      <w:r w:rsidR="00B13479">
        <w:rPr>
          <w:rFonts w:eastAsiaTheme="minorEastAsia"/>
          <w:lang w:val="en-US" w:eastAsia="zh-CN"/>
        </w:rPr>
        <w:t xml:space="preserve">. In the detection stage, the UE has no idea where the </w:t>
      </w:r>
      <w:r w:rsidR="00B13479">
        <w:rPr>
          <w:rFonts w:eastAsiaTheme="minorEastAsia"/>
          <w:lang w:val="en-US" w:eastAsia="zh-CN"/>
        </w:rPr>
        <w:lastRenderedPageBreak/>
        <w:t>SSB is located, so if jointly detection is considered, UE may have to try all the possible pattern</w:t>
      </w:r>
      <w:r w:rsidR="00D84CD8">
        <w:rPr>
          <w:rFonts w:eastAsiaTheme="minorEastAsia"/>
          <w:lang w:val="en-US" w:eastAsia="zh-CN"/>
        </w:rPr>
        <w:t>s</w:t>
      </w:r>
      <w:r w:rsidR="00B13479">
        <w:rPr>
          <w:rFonts w:eastAsiaTheme="minorEastAsia"/>
          <w:lang w:val="en-US" w:eastAsia="zh-CN"/>
        </w:rPr>
        <w:t xml:space="preserve"> to find the SSB if adopting the same capability for RRM measurement (first 2 successive candidate SSB positions). For example 0 - 0 – 0 -0 -0 / 0 -0 -0 -0 -4 .etc. Compared with the exiting requirement in licensed band where UE may only consider the same position in different SMTC, it will greatly increase the complexity and memory efforts from UE’s implementation perspective. So it is reasonable that </w:t>
      </w:r>
      <w:r w:rsidR="0046167F">
        <w:rPr>
          <w:rFonts w:eastAsiaTheme="minorEastAsia"/>
          <w:lang w:val="en-US" w:eastAsia="zh-CN"/>
        </w:rPr>
        <w:t xml:space="preserve">for </w:t>
      </w:r>
      <w:r w:rsidR="0046167F" w:rsidRPr="0046167F">
        <w:rPr>
          <w:rFonts w:eastAsiaTheme="minorEastAsia"/>
          <w:lang w:val="en-US" w:eastAsia="zh-CN"/>
        </w:rPr>
        <w:t>cell detection the requirements are defined under assumption that UE monitors at least 1 candidate SSB position in one SSB block burst</w:t>
      </w:r>
      <w:r w:rsidR="0046167F">
        <w:rPr>
          <w:rFonts w:eastAsiaTheme="minorEastAsia"/>
          <w:lang w:val="en-US" w:eastAsia="zh-CN"/>
        </w:rPr>
        <w:t>.</w:t>
      </w:r>
    </w:p>
    <w:p w14:paraId="72AAEC99" w14:textId="14A3B46B" w:rsidR="009D3067" w:rsidRDefault="009D3067" w:rsidP="004222BD">
      <w:pPr>
        <w:rPr>
          <w:rFonts w:eastAsiaTheme="minorEastAsia"/>
          <w:lang w:val="en-US" w:eastAsia="zh-CN"/>
        </w:rPr>
      </w:pPr>
      <w:r>
        <w:rPr>
          <w:noProof/>
          <w:lang w:val="en-US" w:eastAsia="zh-CN"/>
        </w:rPr>
        <w:drawing>
          <wp:inline distT="0" distB="0" distL="0" distR="0" wp14:anchorId="674D25BD" wp14:editId="6B2C18EC">
            <wp:extent cx="6078220" cy="13582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078220" cy="1358265"/>
                    </a:xfrm>
                    <a:prstGeom prst="rect">
                      <a:avLst/>
                    </a:prstGeom>
                  </pic:spPr>
                </pic:pic>
              </a:graphicData>
            </a:graphic>
          </wp:inline>
        </w:drawing>
      </w:r>
    </w:p>
    <w:p w14:paraId="15C514AA" w14:textId="058E123C" w:rsidR="009D3067" w:rsidRPr="00055EC7" w:rsidRDefault="009D3067" w:rsidP="0046167F">
      <w:pPr>
        <w:tabs>
          <w:tab w:val="left" w:pos="6480"/>
        </w:tabs>
        <w:rPr>
          <w:rFonts w:eastAsiaTheme="minorEastAsia"/>
          <w:b/>
          <w:lang w:val="en-US" w:eastAsia="zh-CN"/>
        </w:rPr>
      </w:pPr>
      <w:r w:rsidRPr="00055EC7">
        <w:rPr>
          <w:rFonts w:eastAsiaTheme="minorEastAsia"/>
          <w:b/>
          <w:lang w:val="en-US" w:eastAsia="zh-CN"/>
        </w:rPr>
        <w:t>Fig</w:t>
      </w:r>
      <w:r w:rsidRPr="00055EC7">
        <w:rPr>
          <w:rFonts w:eastAsiaTheme="minorEastAsia" w:hint="eastAsia"/>
          <w:b/>
          <w:lang w:val="en-US" w:eastAsia="zh-CN"/>
        </w:rPr>
        <w:t>.</w:t>
      </w:r>
      <w:r w:rsidRPr="00055EC7">
        <w:rPr>
          <w:rFonts w:eastAsiaTheme="minorEastAsia"/>
          <w:b/>
          <w:lang w:val="en-US" w:eastAsia="zh-CN"/>
        </w:rPr>
        <w:t xml:space="preserve"> 1 Available QCL-</w:t>
      </w:r>
      <w:proofErr w:type="spellStart"/>
      <w:r w:rsidRPr="00055EC7">
        <w:rPr>
          <w:rFonts w:eastAsiaTheme="minorEastAsia"/>
          <w:b/>
          <w:lang w:val="en-US" w:eastAsia="zh-CN"/>
        </w:rPr>
        <w:t>ed</w:t>
      </w:r>
      <w:proofErr w:type="spellEnd"/>
      <w:r w:rsidRPr="00055EC7">
        <w:rPr>
          <w:rFonts w:eastAsiaTheme="minorEastAsia"/>
          <w:b/>
          <w:lang w:val="en-US" w:eastAsia="zh-CN"/>
        </w:rPr>
        <w:t xml:space="preserve"> SSB positions in multiple SMTC with Q = 4.  </w:t>
      </w:r>
      <w:r w:rsidR="0046167F" w:rsidRPr="00055EC7">
        <w:rPr>
          <w:rFonts w:eastAsiaTheme="minorEastAsia"/>
          <w:b/>
          <w:lang w:val="en-US" w:eastAsia="zh-CN"/>
        </w:rPr>
        <w:tab/>
      </w:r>
    </w:p>
    <w:p w14:paraId="6B641DEA" w14:textId="065DCDE5" w:rsidR="0046167F" w:rsidRPr="00D84CD8" w:rsidRDefault="0046167F" w:rsidP="0046167F">
      <w:pPr>
        <w:rPr>
          <w:rFonts w:eastAsiaTheme="minorEastAsia"/>
          <w:b/>
          <w:lang w:val="en-US" w:eastAsia="zh-CN"/>
        </w:rPr>
      </w:pPr>
      <w:r w:rsidRPr="00D84CD8">
        <w:rPr>
          <w:rFonts w:eastAsiaTheme="minorEastAsia"/>
          <w:b/>
          <w:lang w:val="en-US" w:eastAsia="zh-CN"/>
        </w:rPr>
        <w:t>Proposal 1: For cell detection the requirements are defined under assumption that UE monitors at least 1 candidate SSB position in one SSB block burst.</w:t>
      </w:r>
    </w:p>
    <w:p w14:paraId="5178BD67" w14:textId="50166DFC" w:rsidR="00641D57" w:rsidRDefault="00641D57" w:rsidP="0046167F">
      <w:pPr>
        <w:tabs>
          <w:tab w:val="left" w:pos="6480"/>
        </w:tabs>
        <w:rPr>
          <w:rFonts w:eastAsiaTheme="minorEastAsia"/>
          <w:lang w:val="en-US" w:eastAsia="zh-CN"/>
        </w:rPr>
      </w:pPr>
      <w:r>
        <w:rPr>
          <w:rFonts w:eastAsiaTheme="minorEastAsia"/>
          <w:lang w:val="en-US" w:eastAsia="zh-CN"/>
        </w:rPr>
        <w:t xml:space="preserve">According to the agreements reached in the last meeting, UE is required to monitor the first two successive candidate SSB positions in measurement period. However, it is still not clear how </w:t>
      </w:r>
      <w:r w:rsidR="00E72FBB">
        <w:rPr>
          <w:rFonts w:eastAsiaTheme="minorEastAsia"/>
          <w:lang w:val="en-US" w:eastAsia="zh-CN"/>
        </w:rPr>
        <w:t xml:space="preserve">to </w:t>
      </w:r>
      <w:r>
        <w:rPr>
          <w:rFonts w:eastAsiaTheme="minorEastAsia"/>
          <w:lang w:val="en-US" w:eastAsia="zh-CN"/>
        </w:rPr>
        <w:t xml:space="preserve">locate these two candidate SSB positions. </w:t>
      </w:r>
    </w:p>
    <w:p w14:paraId="365E350E" w14:textId="07862F92" w:rsidR="0046167F" w:rsidRDefault="00641D57" w:rsidP="0046167F">
      <w:pPr>
        <w:tabs>
          <w:tab w:val="left" w:pos="6480"/>
        </w:tabs>
        <w:rPr>
          <w:rFonts w:eastAsiaTheme="minorEastAsia"/>
          <w:lang w:val="en-US" w:eastAsia="zh-CN"/>
        </w:rPr>
      </w:pPr>
      <w:r>
        <w:rPr>
          <w:rFonts w:eastAsiaTheme="minorEastAsia"/>
          <w:lang w:val="en-US" w:eastAsia="zh-CN"/>
        </w:rPr>
        <w:t xml:space="preserve">For example, if UE is not required to identify the SSB index (i.e. </w:t>
      </w:r>
      <w:proofErr w:type="spellStart"/>
      <w:r w:rsidRPr="006C4641">
        <w:t>T</w:t>
      </w:r>
      <w:r w:rsidRPr="006C4641">
        <w:rPr>
          <w:vertAlign w:val="subscript"/>
        </w:rPr>
        <w:t>identify_intra_without_index_CCA</w:t>
      </w:r>
      <w:proofErr w:type="spellEnd"/>
      <w:r>
        <w:rPr>
          <w:rFonts w:eastAsiaTheme="minorEastAsia"/>
          <w:lang w:val="en-US" w:eastAsia="zh-CN"/>
        </w:rPr>
        <w:t xml:space="preserve">), after the PSS/SSS detection, UE may be able to find an available SSB. As shown in Fig. 2, after detection procedure, the candidate SSB positions #4 is detected, but UE has no idea what the </w:t>
      </w:r>
      <w:r w:rsidR="000148AC">
        <w:rPr>
          <w:rFonts w:eastAsiaTheme="minorEastAsia"/>
          <w:lang w:val="en-US" w:eastAsia="zh-CN"/>
        </w:rPr>
        <w:t>SSB index is, so UE may only keep measuring the same position and the next QCL-</w:t>
      </w:r>
      <w:proofErr w:type="spellStart"/>
      <w:r w:rsidR="000148AC">
        <w:rPr>
          <w:rFonts w:eastAsiaTheme="minorEastAsia"/>
          <w:lang w:val="en-US" w:eastAsia="zh-CN"/>
        </w:rPr>
        <w:t>ed</w:t>
      </w:r>
      <w:proofErr w:type="spellEnd"/>
      <w:r w:rsidR="000148AC">
        <w:rPr>
          <w:rFonts w:eastAsiaTheme="minorEastAsia"/>
          <w:lang w:val="en-US" w:eastAsia="zh-CN"/>
        </w:rPr>
        <w:t xml:space="preserve"> position (#8). So UE may not be able to measure #0 and #4. If the detected SSB position is #8, UE may keep measuring #8 and </w:t>
      </w:r>
      <w:r w:rsidR="00055EC7">
        <w:rPr>
          <w:rFonts w:eastAsiaTheme="minorEastAsia"/>
          <w:lang w:val="en-US" w:eastAsia="zh-CN"/>
        </w:rPr>
        <w:t xml:space="preserve">a position which is not even </w:t>
      </w:r>
      <w:r w:rsidR="000148AC">
        <w:rPr>
          <w:rFonts w:eastAsiaTheme="minorEastAsia"/>
          <w:lang w:val="en-US" w:eastAsia="zh-CN"/>
        </w:rPr>
        <w:t xml:space="preserve">an invalid </w:t>
      </w:r>
      <w:r w:rsidR="00055EC7">
        <w:rPr>
          <w:rFonts w:eastAsiaTheme="minorEastAsia"/>
          <w:lang w:val="en-US" w:eastAsia="zh-CN"/>
        </w:rPr>
        <w:t>one</w:t>
      </w:r>
      <w:r w:rsidR="000148AC">
        <w:rPr>
          <w:rFonts w:eastAsiaTheme="minorEastAsia"/>
          <w:lang w:val="en-US" w:eastAsia="zh-CN"/>
        </w:rPr>
        <w:t xml:space="preserve">. </w:t>
      </w:r>
    </w:p>
    <w:p w14:paraId="272FF192" w14:textId="36E47202" w:rsidR="00641D57" w:rsidRDefault="00641D57" w:rsidP="0046167F">
      <w:pPr>
        <w:tabs>
          <w:tab w:val="left" w:pos="6480"/>
        </w:tabs>
        <w:rPr>
          <w:rFonts w:eastAsiaTheme="minorEastAsia"/>
          <w:lang w:val="en-US" w:eastAsia="zh-CN"/>
        </w:rPr>
      </w:pPr>
      <w:r>
        <w:rPr>
          <w:noProof/>
          <w:lang w:val="en-US" w:eastAsia="zh-CN"/>
        </w:rPr>
        <w:drawing>
          <wp:inline distT="0" distB="0" distL="0" distR="0" wp14:anchorId="74F68C97" wp14:editId="317C8334">
            <wp:extent cx="4543425" cy="9715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3425" cy="971550"/>
                    </a:xfrm>
                    <a:prstGeom prst="rect">
                      <a:avLst/>
                    </a:prstGeom>
                  </pic:spPr>
                </pic:pic>
              </a:graphicData>
            </a:graphic>
          </wp:inline>
        </w:drawing>
      </w:r>
    </w:p>
    <w:p w14:paraId="7566C4A4" w14:textId="10C22F98" w:rsidR="00641D57" w:rsidRPr="00055EC7" w:rsidRDefault="00641D57" w:rsidP="0046167F">
      <w:pPr>
        <w:tabs>
          <w:tab w:val="left" w:pos="6480"/>
        </w:tabs>
        <w:rPr>
          <w:rFonts w:eastAsiaTheme="minorEastAsia"/>
          <w:b/>
          <w:lang w:val="en-US" w:eastAsia="zh-CN"/>
        </w:rPr>
      </w:pPr>
      <w:r w:rsidRPr="00055EC7">
        <w:rPr>
          <w:rFonts w:eastAsiaTheme="minorEastAsia"/>
          <w:b/>
          <w:lang w:val="en-US" w:eastAsia="zh-CN"/>
        </w:rPr>
        <w:t>Fig. 2 SCS = 15 KHz with Q = 4.</w:t>
      </w:r>
    </w:p>
    <w:p w14:paraId="1F4D8A8D" w14:textId="1B80D8C5" w:rsidR="000148AC" w:rsidRDefault="000148AC" w:rsidP="0046167F">
      <w:pPr>
        <w:tabs>
          <w:tab w:val="left" w:pos="6480"/>
        </w:tabs>
      </w:pPr>
      <w:r>
        <w:rPr>
          <w:rFonts w:eastAsiaTheme="minorEastAsia"/>
          <w:lang w:val="en-US" w:eastAsia="zh-CN"/>
        </w:rPr>
        <w:t xml:space="preserve">If UE is required to identify the SSB index, </w:t>
      </w:r>
      <w:r w:rsidR="00055EC7">
        <w:rPr>
          <w:rFonts w:eastAsiaTheme="minorEastAsia"/>
          <w:lang w:val="en-US" w:eastAsia="zh-CN"/>
        </w:rPr>
        <w:t xml:space="preserve">per previous agreements, the PBCH reading time is not considered as UE may only need to report the SSB index. It means UE may only be able to get the </w:t>
      </w:r>
      <w:r w:rsidR="00055EC7">
        <w:t>3 LSB bits from the index of the DMRS sequence. In the example given in Fig.2</w:t>
      </w:r>
      <w:r w:rsidR="009F1D56">
        <w:t xml:space="preserve">, UE could only know that the detected SSB is one of the candidate SSB position from </w:t>
      </w:r>
      <w:r w:rsidR="009F1D56" w:rsidRPr="009F1D56">
        <w:rPr>
          <w:rFonts w:eastAsiaTheme="minorEastAsia"/>
          <w:lang w:val="en-US" w:eastAsia="zh-CN"/>
        </w:rPr>
        <w:t>{#0, #4, #8}</w:t>
      </w:r>
      <w:r w:rsidR="009F1D56">
        <w:t xml:space="preserve">, but it has no idea </w:t>
      </w:r>
      <w:r w:rsidR="00055EC7">
        <w:t>whether the detected SSB is position #0 or position #8 when the 1</w:t>
      </w:r>
      <w:r w:rsidR="009F1D56">
        <w:t xml:space="preserve"> </w:t>
      </w:r>
      <w:r w:rsidR="00055EC7">
        <w:t xml:space="preserve">MSB bit could only be derived from the PBCH payload. </w:t>
      </w:r>
    </w:p>
    <w:p w14:paraId="427D3A2C" w14:textId="77777777" w:rsidR="00E72FBB" w:rsidRDefault="00055EC7" w:rsidP="0046167F">
      <w:pPr>
        <w:tabs>
          <w:tab w:val="left" w:pos="6480"/>
        </w:tabs>
      </w:pPr>
      <w:r>
        <w:t>Thus, based on the analysis above, the monitoring capability of measurement shall be clarified</w:t>
      </w:r>
      <w:r w:rsidR="00E72FBB">
        <w:t>.</w:t>
      </w:r>
    </w:p>
    <w:p w14:paraId="3FC21FAF" w14:textId="7877C4BE" w:rsidR="00055EC7" w:rsidRPr="00E72FBB" w:rsidRDefault="00E72FBB" w:rsidP="0046167F">
      <w:pPr>
        <w:tabs>
          <w:tab w:val="left" w:pos="6480"/>
        </w:tabs>
        <w:rPr>
          <w:rFonts w:eastAsiaTheme="minorEastAsia"/>
          <w:b/>
          <w:lang w:val="en-US" w:eastAsia="zh-CN"/>
        </w:rPr>
      </w:pPr>
      <w:r w:rsidRPr="00E72FBB">
        <w:rPr>
          <w:b/>
        </w:rPr>
        <w:t xml:space="preserve">Proposal 2: </w:t>
      </w:r>
      <w:r w:rsidR="00055EC7" w:rsidRPr="00E72FBB">
        <w:rPr>
          <w:b/>
        </w:rPr>
        <w:t xml:space="preserve"> </w:t>
      </w:r>
      <w:r w:rsidRPr="00E72FBB">
        <w:rPr>
          <w:b/>
        </w:rPr>
        <w:t xml:space="preserve">The exact candidate SSB positions that UE is required to monitor shall be further clarified. </w:t>
      </w:r>
    </w:p>
    <w:p w14:paraId="6FE304D3" w14:textId="17D2A366" w:rsidR="00DF0231" w:rsidRPr="002D2977" w:rsidRDefault="00DF0231" w:rsidP="00011988">
      <w:pPr>
        <w:pStyle w:val="1"/>
        <w:tabs>
          <w:tab w:val="clear" w:pos="432"/>
        </w:tabs>
        <w:ind w:left="0" w:firstLine="0"/>
        <w:rPr>
          <w:lang w:val="en-US"/>
        </w:rPr>
      </w:pPr>
      <w:r w:rsidRPr="002D2977">
        <w:rPr>
          <w:lang w:val="en-US"/>
        </w:rPr>
        <w:t>Conclusions</w:t>
      </w:r>
    </w:p>
    <w:p w14:paraId="21C22116" w14:textId="77777777" w:rsidR="00E72FBB" w:rsidRPr="00D84CD8" w:rsidRDefault="00E72FBB" w:rsidP="00E72FBB">
      <w:pPr>
        <w:rPr>
          <w:rFonts w:eastAsiaTheme="minorEastAsia"/>
          <w:b/>
          <w:lang w:val="en-US" w:eastAsia="zh-CN"/>
        </w:rPr>
      </w:pPr>
      <w:r w:rsidRPr="00D84CD8">
        <w:rPr>
          <w:rFonts w:eastAsiaTheme="minorEastAsia"/>
          <w:b/>
          <w:lang w:val="en-US" w:eastAsia="zh-CN"/>
        </w:rPr>
        <w:t>Proposal 1: For cell detection the requirements are defined under assumption that UE monitors at least 1 candidate SSB position in one SSB block burst.</w:t>
      </w:r>
    </w:p>
    <w:p w14:paraId="41DBB168" w14:textId="05445592" w:rsidR="00E72FBB" w:rsidRPr="00AD133A" w:rsidRDefault="00E72FBB" w:rsidP="00E72FBB">
      <w:pPr>
        <w:tabs>
          <w:tab w:val="left" w:pos="6480"/>
        </w:tabs>
        <w:rPr>
          <w:rFonts w:eastAsiaTheme="minorEastAsia"/>
          <w:b/>
          <w:lang w:val="en-US" w:eastAsia="zh-CN"/>
        </w:rPr>
      </w:pPr>
      <w:r w:rsidRPr="00E72FBB">
        <w:rPr>
          <w:b/>
        </w:rPr>
        <w:t xml:space="preserve">Proposal 2:  The exact candidate SSB positions that UE is required to monitor shall be further clarified. </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14945CD2" w14:textId="01AE394E" w:rsidR="007D0DF7" w:rsidRDefault="00DF0231">
      <w:r w:rsidRPr="002D2977">
        <w:rPr>
          <w:lang w:val="en-US"/>
        </w:rPr>
        <w:t xml:space="preserve">[1] </w:t>
      </w:r>
      <w:r w:rsidR="00434A39" w:rsidRPr="00434A39">
        <w:t>R4-20122</w:t>
      </w:r>
      <w:r w:rsidR="00330FFF">
        <w:t>49</w:t>
      </w:r>
      <w:r w:rsidR="00434A39">
        <w:t xml:space="preserve"> </w:t>
      </w:r>
      <w:r w:rsidR="00330FFF" w:rsidRPr="00330FFF">
        <w:t>WF on NR-U RRM (Part 1)</w:t>
      </w:r>
      <w:r w:rsidR="00434A39">
        <w:t xml:space="preserve">, </w:t>
      </w:r>
      <w:r w:rsidR="00330FFF">
        <w:t>Ericsson.</w:t>
      </w:r>
    </w:p>
    <w:p w14:paraId="7CC1FCD1" w14:textId="77777777" w:rsidR="006538C6" w:rsidRPr="00330FFF" w:rsidRDefault="006538C6"/>
    <w:sectPr w:rsidR="006538C6" w:rsidRPr="00330FFF"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3889A" w14:textId="77777777" w:rsidR="003D0357" w:rsidRDefault="003D0357">
      <w:pPr>
        <w:spacing w:after="0"/>
      </w:pPr>
      <w:r>
        <w:separator/>
      </w:r>
    </w:p>
  </w:endnote>
  <w:endnote w:type="continuationSeparator" w:id="0">
    <w:p w14:paraId="5B077A8F" w14:textId="77777777" w:rsidR="003D0357" w:rsidRDefault="003D0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Bod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B13479" w:rsidRDefault="00B134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B13479" w:rsidRDefault="00B134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B13479" w:rsidRDefault="00B134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B081C">
      <w:rPr>
        <w:rStyle w:val="a5"/>
      </w:rPr>
      <w:t>3</w:t>
    </w:r>
    <w:r>
      <w:rPr>
        <w:rStyle w:val="a5"/>
      </w:rPr>
      <w:fldChar w:fldCharType="end"/>
    </w:r>
  </w:p>
  <w:p w14:paraId="4C6D8748" w14:textId="77777777" w:rsidR="00B13479" w:rsidRDefault="00B134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DCF9F" w14:textId="77777777" w:rsidR="003D0357" w:rsidRDefault="003D0357">
      <w:pPr>
        <w:spacing w:after="0"/>
      </w:pPr>
      <w:r>
        <w:separator/>
      </w:r>
    </w:p>
  </w:footnote>
  <w:footnote w:type="continuationSeparator" w:id="0">
    <w:p w14:paraId="1BC560A2" w14:textId="77777777" w:rsidR="003D0357" w:rsidRDefault="003D03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71470D"/>
    <w:multiLevelType w:val="hybridMultilevel"/>
    <w:tmpl w:val="E3BEA3EE"/>
    <w:lvl w:ilvl="0" w:tplc="6EDA1FF0">
      <w:start w:val="1"/>
      <w:numFmt w:val="bullet"/>
      <w:lvlText w:val="•"/>
      <w:lvlJc w:val="left"/>
      <w:pPr>
        <w:tabs>
          <w:tab w:val="num" w:pos="720"/>
        </w:tabs>
        <w:ind w:left="720" w:hanging="360"/>
      </w:pPr>
      <w:rPr>
        <w:rFonts w:ascii="Arial" w:hAnsi="Arial" w:hint="default"/>
      </w:rPr>
    </w:lvl>
    <w:lvl w:ilvl="1" w:tplc="B7DE34E6">
      <w:numFmt w:val="bullet"/>
      <w:lvlText w:val="•"/>
      <w:lvlJc w:val="left"/>
      <w:pPr>
        <w:tabs>
          <w:tab w:val="num" w:pos="1440"/>
        </w:tabs>
        <w:ind w:left="1440" w:hanging="360"/>
      </w:pPr>
      <w:rPr>
        <w:rFonts w:ascii="Arial" w:hAnsi="Arial" w:hint="default"/>
      </w:rPr>
    </w:lvl>
    <w:lvl w:ilvl="2" w:tplc="D4A2080C" w:tentative="1">
      <w:start w:val="1"/>
      <w:numFmt w:val="bullet"/>
      <w:lvlText w:val="•"/>
      <w:lvlJc w:val="left"/>
      <w:pPr>
        <w:tabs>
          <w:tab w:val="num" w:pos="2160"/>
        </w:tabs>
        <w:ind w:left="2160" w:hanging="360"/>
      </w:pPr>
      <w:rPr>
        <w:rFonts w:ascii="Arial" w:hAnsi="Arial" w:hint="default"/>
      </w:rPr>
    </w:lvl>
    <w:lvl w:ilvl="3" w:tplc="19B8F22C" w:tentative="1">
      <w:start w:val="1"/>
      <w:numFmt w:val="bullet"/>
      <w:lvlText w:val="•"/>
      <w:lvlJc w:val="left"/>
      <w:pPr>
        <w:tabs>
          <w:tab w:val="num" w:pos="2880"/>
        </w:tabs>
        <w:ind w:left="2880" w:hanging="360"/>
      </w:pPr>
      <w:rPr>
        <w:rFonts w:ascii="Arial" w:hAnsi="Arial" w:hint="default"/>
      </w:rPr>
    </w:lvl>
    <w:lvl w:ilvl="4" w:tplc="2094534A" w:tentative="1">
      <w:start w:val="1"/>
      <w:numFmt w:val="bullet"/>
      <w:lvlText w:val="•"/>
      <w:lvlJc w:val="left"/>
      <w:pPr>
        <w:tabs>
          <w:tab w:val="num" w:pos="3600"/>
        </w:tabs>
        <w:ind w:left="3600" w:hanging="360"/>
      </w:pPr>
      <w:rPr>
        <w:rFonts w:ascii="Arial" w:hAnsi="Arial" w:hint="default"/>
      </w:rPr>
    </w:lvl>
    <w:lvl w:ilvl="5" w:tplc="CB5E65AC" w:tentative="1">
      <w:start w:val="1"/>
      <w:numFmt w:val="bullet"/>
      <w:lvlText w:val="•"/>
      <w:lvlJc w:val="left"/>
      <w:pPr>
        <w:tabs>
          <w:tab w:val="num" w:pos="4320"/>
        </w:tabs>
        <w:ind w:left="4320" w:hanging="360"/>
      </w:pPr>
      <w:rPr>
        <w:rFonts w:ascii="Arial" w:hAnsi="Arial" w:hint="default"/>
      </w:rPr>
    </w:lvl>
    <w:lvl w:ilvl="6" w:tplc="F62A30B4" w:tentative="1">
      <w:start w:val="1"/>
      <w:numFmt w:val="bullet"/>
      <w:lvlText w:val="•"/>
      <w:lvlJc w:val="left"/>
      <w:pPr>
        <w:tabs>
          <w:tab w:val="num" w:pos="5040"/>
        </w:tabs>
        <w:ind w:left="5040" w:hanging="360"/>
      </w:pPr>
      <w:rPr>
        <w:rFonts w:ascii="Arial" w:hAnsi="Arial" w:hint="default"/>
      </w:rPr>
    </w:lvl>
    <w:lvl w:ilvl="7" w:tplc="D23CC394" w:tentative="1">
      <w:start w:val="1"/>
      <w:numFmt w:val="bullet"/>
      <w:lvlText w:val="•"/>
      <w:lvlJc w:val="left"/>
      <w:pPr>
        <w:tabs>
          <w:tab w:val="num" w:pos="5760"/>
        </w:tabs>
        <w:ind w:left="5760" w:hanging="360"/>
      </w:pPr>
      <w:rPr>
        <w:rFonts w:ascii="Arial" w:hAnsi="Arial" w:hint="default"/>
      </w:rPr>
    </w:lvl>
    <w:lvl w:ilvl="8" w:tplc="BDB8C9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3762A"/>
    <w:multiLevelType w:val="hybridMultilevel"/>
    <w:tmpl w:val="DF86D208"/>
    <w:lvl w:ilvl="0" w:tplc="02DC1B46">
      <w:start w:val="1"/>
      <w:numFmt w:val="bullet"/>
      <w:lvlText w:val="•"/>
      <w:lvlJc w:val="left"/>
      <w:pPr>
        <w:tabs>
          <w:tab w:val="num" w:pos="720"/>
        </w:tabs>
        <w:ind w:left="720" w:hanging="360"/>
      </w:pPr>
      <w:rPr>
        <w:rFonts w:ascii="Arial" w:hAnsi="Arial" w:hint="default"/>
      </w:rPr>
    </w:lvl>
    <w:lvl w:ilvl="1" w:tplc="D3FCE3DC">
      <w:numFmt w:val="bullet"/>
      <w:lvlText w:val="•"/>
      <w:lvlJc w:val="left"/>
      <w:pPr>
        <w:tabs>
          <w:tab w:val="num" w:pos="1440"/>
        </w:tabs>
        <w:ind w:left="1440" w:hanging="360"/>
      </w:pPr>
      <w:rPr>
        <w:rFonts w:ascii="Arial" w:hAnsi="Arial" w:hint="default"/>
      </w:rPr>
    </w:lvl>
    <w:lvl w:ilvl="2" w:tplc="25080E66" w:tentative="1">
      <w:start w:val="1"/>
      <w:numFmt w:val="bullet"/>
      <w:lvlText w:val="•"/>
      <w:lvlJc w:val="left"/>
      <w:pPr>
        <w:tabs>
          <w:tab w:val="num" w:pos="2160"/>
        </w:tabs>
        <w:ind w:left="2160" w:hanging="360"/>
      </w:pPr>
      <w:rPr>
        <w:rFonts w:ascii="Arial" w:hAnsi="Arial" w:hint="default"/>
      </w:rPr>
    </w:lvl>
    <w:lvl w:ilvl="3" w:tplc="9EDE237A" w:tentative="1">
      <w:start w:val="1"/>
      <w:numFmt w:val="bullet"/>
      <w:lvlText w:val="•"/>
      <w:lvlJc w:val="left"/>
      <w:pPr>
        <w:tabs>
          <w:tab w:val="num" w:pos="2880"/>
        </w:tabs>
        <w:ind w:left="2880" w:hanging="360"/>
      </w:pPr>
      <w:rPr>
        <w:rFonts w:ascii="Arial" w:hAnsi="Arial" w:hint="default"/>
      </w:rPr>
    </w:lvl>
    <w:lvl w:ilvl="4" w:tplc="4E52287E" w:tentative="1">
      <w:start w:val="1"/>
      <w:numFmt w:val="bullet"/>
      <w:lvlText w:val="•"/>
      <w:lvlJc w:val="left"/>
      <w:pPr>
        <w:tabs>
          <w:tab w:val="num" w:pos="3600"/>
        </w:tabs>
        <w:ind w:left="3600" w:hanging="360"/>
      </w:pPr>
      <w:rPr>
        <w:rFonts w:ascii="Arial" w:hAnsi="Arial" w:hint="default"/>
      </w:rPr>
    </w:lvl>
    <w:lvl w:ilvl="5" w:tplc="BD38B6D6" w:tentative="1">
      <w:start w:val="1"/>
      <w:numFmt w:val="bullet"/>
      <w:lvlText w:val="•"/>
      <w:lvlJc w:val="left"/>
      <w:pPr>
        <w:tabs>
          <w:tab w:val="num" w:pos="4320"/>
        </w:tabs>
        <w:ind w:left="4320" w:hanging="360"/>
      </w:pPr>
      <w:rPr>
        <w:rFonts w:ascii="Arial" w:hAnsi="Arial" w:hint="default"/>
      </w:rPr>
    </w:lvl>
    <w:lvl w:ilvl="6" w:tplc="C9D8191A" w:tentative="1">
      <w:start w:val="1"/>
      <w:numFmt w:val="bullet"/>
      <w:lvlText w:val="•"/>
      <w:lvlJc w:val="left"/>
      <w:pPr>
        <w:tabs>
          <w:tab w:val="num" w:pos="5040"/>
        </w:tabs>
        <w:ind w:left="5040" w:hanging="360"/>
      </w:pPr>
      <w:rPr>
        <w:rFonts w:ascii="Arial" w:hAnsi="Arial" w:hint="default"/>
      </w:rPr>
    </w:lvl>
    <w:lvl w:ilvl="7" w:tplc="73F86FF6" w:tentative="1">
      <w:start w:val="1"/>
      <w:numFmt w:val="bullet"/>
      <w:lvlText w:val="•"/>
      <w:lvlJc w:val="left"/>
      <w:pPr>
        <w:tabs>
          <w:tab w:val="num" w:pos="5760"/>
        </w:tabs>
        <w:ind w:left="5760" w:hanging="360"/>
      </w:pPr>
      <w:rPr>
        <w:rFonts w:ascii="Arial" w:hAnsi="Arial" w:hint="default"/>
      </w:rPr>
    </w:lvl>
    <w:lvl w:ilvl="8" w:tplc="C73A93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A650A"/>
    <w:multiLevelType w:val="hybridMultilevel"/>
    <w:tmpl w:val="FAFAF696"/>
    <w:lvl w:ilvl="0" w:tplc="9CF26680">
      <w:start w:val="1"/>
      <w:numFmt w:val="bullet"/>
      <w:lvlText w:val="•"/>
      <w:lvlJc w:val="left"/>
      <w:pPr>
        <w:tabs>
          <w:tab w:val="num" w:pos="720"/>
        </w:tabs>
        <w:ind w:left="720" w:hanging="360"/>
      </w:pPr>
      <w:rPr>
        <w:rFonts w:ascii="Arial" w:hAnsi="Arial" w:hint="default"/>
      </w:rPr>
    </w:lvl>
    <w:lvl w:ilvl="1" w:tplc="B01CC0E4">
      <w:numFmt w:val="bullet"/>
      <w:lvlText w:val="•"/>
      <w:lvlJc w:val="left"/>
      <w:pPr>
        <w:tabs>
          <w:tab w:val="num" w:pos="1440"/>
        </w:tabs>
        <w:ind w:left="1440" w:hanging="360"/>
      </w:pPr>
      <w:rPr>
        <w:rFonts w:ascii="Arial" w:hAnsi="Arial" w:hint="default"/>
      </w:rPr>
    </w:lvl>
    <w:lvl w:ilvl="2" w:tplc="9D7401C6" w:tentative="1">
      <w:start w:val="1"/>
      <w:numFmt w:val="bullet"/>
      <w:lvlText w:val="•"/>
      <w:lvlJc w:val="left"/>
      <w:pPr>
        <w:tabs>
          <w:tab w:val="num" w:pos="2160"/>
        </w:tabs>
        <w:ind w:left="2160" w:hanging="360"/>
      </w:pPr>
      <w:rPr>
        <w:rFonts w:ascii="Arial" w:hAnsi="Arial" w:hint="default"/>
      </w:rPr>
    </w:lvl>
    <w:lvl w:ilvl="3" w:tplc="72F6CDBE" w:tentative="1">
      <w:start w:val="1"/>
      <w:numFmt w:val="bullet"/>
      <w:lvlText w:val="•"/>
      <w:lvlJc w:val="left"/>
      <w:pPr>
        <w:tabs>
          <w:tab w:val="num" w:pos="2880"/>
        </w:tabs>
        <w:ind w:left="2880" w:hanging="360"/>
      </w:pPr>
      <w:rPr>
        <w:rFonts w:ascii="Arial" w:hAnsi="Arial" w:hint="default"/>
      </w:rPr>
    </w:lvl>
    <w:lvl w:ilvl="4" w:tplc="ADB2F936" w:tentative="1">
      <w:start w:val="1"/>
      <w:numFmt w:val="bullet"/>
      <w:lvlText w:val="•"/>
      <w:lvlJc w:val="left"/>
      <w:pPr>
        <w:tabs>
          <w:tab w:val="num" w:pos="3600"/>
        </w:tabs>
        <w:ind w:left="3600" w:hanging="360"/>
      </w:pPr>
      <w:rPr>
        <w:rFonts w:ascii="Arial" w:hAnsi="Arial" w:hint="default"/>
      </w:rPr>
    </w:lvl>
    <w:lvl w:ilvl="5" w:tplc="1A128656" w:tentative="1">
      <w:start w:val="1"/>
      <w:numFmt w:val="bullet"/>
      <w:lvlText w:val="•"/>
      <w:lvlJc w:val="left"/>
      <w:pPr>
        <w:tabs>
          <w:tab w:val="num" w:pos="4320"/>
        </w:tabs>
        <w:ind w:left="4320" w:hanging="360"/>
      </w:pPr>
      <w:rPr>
        <w:rFonts w:ascii="Arial" w:hAnsi="Arial" w:hint="default"/>
      </w:rPr>
    </w:lvl>
    <w:lvl w:ilvl="6" w:tplc="2946B898" w:tentative="1">
      <w:start w:val="1"/>
      <w:numFmt w:val="bullet"/>
      <w:lvlText w:val="•"/>
      <w:lvlJc w:val="left"/>
      <w:pPr>
        <w:tabs>
          <w:tab w:val="num" w:pos="5040"/>
        </w:tabs>
        <w:ind w:left="5040" w:hanging="360"/>
      </w:pPr>
      <w:rPr>
        <w:rFonts w:ascii="Arial" w:hAnsi="Arial" w:hint="default"/>
      </w:rPr>
    </w:lvl>
    <w:lvl w:ilvl="7" w:tplc="5512F052" w:tentative="1">
      <w:start w:val="1"/>
      <w:numFmt w:val="bullet"/>
      <w:lvlText w:val="•"/>
      <w:lvlJc w:val="left"/>
      <w:pPr>
        <w:tabs>
          <w:tab w:val="num" w:pos="5760"/>
        </w:tabs>
        <w:ind w:left="5760" w:hanging="360"/>
      </w:pPr>
      <w:rPr>
        <w:rFonts w:ascii="Arial" w:hAnsi="Arial" w:hint="default"/>
      </w:rPr>
    </w:lvl>
    <w:lvl w:ilvl="8" w:tplc="0786E8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3"/>
  </w:num>
  <w:num w:numId="2">
    <w:abstractNumId w:val="0"/>
  </w:num>
  <w:num w:numId="3">
    <w:abstractNumId w:val="20"/>
  </w:num>
  <w:num w:numId="4">
    <w:abstractNumId w:val="23"/>
  </w:num>
  <w:num w:numId="5">
    <w:abstractNumId w:val="17"/>
  </w:num>
  <w:num w:numId="6">
    <w:abstractNumId w:val="5"/>
  </w:num>
  <w:num w:numId="7">
    <w:abstractNumId w:val="15"/>
  </w:num>
  <w:num w:numId="8">
    <w:abstractNumId w:val="1"/>
  </w:num>
  <w:num w:numId="9">
    <w:abstractNumId w:val="4"/>
  </w:num>
  <w:num w:numId="10">
    <w:abstractNumId w:val="3"/>
  </w:num>
  <w:num w:numId="11">
    <w:abstractNumId w:val="8"/>
  </w:num>
  <w:num w:numId="12">
    <w:abstractNumId w:val="10"/>
  </w:num>
  <w:num w:numId="13">
    <w:abstractNumId w:val="9"/>
  </w:num>
  <w:num w:numId="14">
    <w:abstractNumId w:val="7"/>
  </w:num>
  <w:num w:numId="15">
    <w:abstractNumId w:val="19"/>
  </w:num>
  <w:num w:numId="16">
    <w:abstractNumId w:val="12"/>
  </w:num>
  <w:num w:numId="17">
    <w:abstractNumId w:val="11"/>
  </w:num>
  <w:num w:numId="18">
    <w:abstractNumId w:val="16"/>
  </w:num>
  <w:num w:numId="19">
    <w:abstractNumId w:val="21"/>
  </w:num>
  <w:num w:numId="20">
    <w:abstractNumId w:val="18"/>
  </w:num>
  <w:num w:numId="21">
    <w:abstractNumId w:val="22"/>
  </w:num>
  <w:num w:numId="22">
    <w:abstractNumId w:val="14"/>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988"/>
    <w:rsid w:val="000131D4"/>
    <w:rsid w:val="000148AC"/>
    <w:rsid w:val="0004558E"/>
    <w:rsid w:val="00055EC7"/>
    <w:rsid w:val="00063E08"/>
    <w:rsid w:val="00067B89"/>
    <w:rsid w:val="00084DBE"/>
    <w:rsid w:val="000A1878"/>
    <w:rsid w:val="000A2ED7"/>
    <w:rsid w:val="000A4BCB"/>
    <w:rsid w:val="000A7A19"/>
    <w:rsid w:val="000C154C"/>
    <w:rsid w:val="000D2930"/>
    <w:rsid w:val="000E0A8A"/>
    <w:rsid w:val="000E1B28"/>
    <w:rsid w:val="000E2C03"/>
    <w:rsid w:val="000E730F"/>
    <w:rsid w:val="0010016B"/>
    <w:rsid w:val="00100360"/>
    <w:rsid w:val="00110D97"/>
    <w:rsid w:val="001270A1"/>
    <w:rsid w:val="00130AFC"/>
    <w:rsid w:val="00145487"/>
    <w:rsid w:val="00164F56"/>
    <w:rsid w:val="00172199"/>
    <w:rsid w:val="0017747E"/>
    <w:rsid w:val="00185388"/>
    <w:rsid w:val="001D1232"/>
    <w:rsid w:val="001E7174"/>
    <w:rsid w:val="001F437B"/>
    <w:rsid w:val="0020033A"/>
    <w:rsid w:val="0021307E"/>
    <w:rsid w:val="002221AC"/>
    <w:rsid w:val="00222AF7"/>
    <w:rsid w:val="002328DD"/>
    <w:rsid w:val="002339ED"/>
    <w:rsid w:val="002428D6"/>
    <w:rsid w:val="00245810"/>
    <w:rsid w:val="00254006"/>
    <w:rsid w:val="00254F38"/>
    <w:rsid w:val="002736F0"/>
    <w:rsid w:val="00282D3C"/>
    <w:rsid w:val="00294B79"/>
    <w:rsid w:val="002A5E54"/>
    <w:rsid w:val="002A6E27"/>
    <w:rsid w:val="002B3EF2"/>
    <w:rsid w:val="002B45C3"/>
    <w:rsid w:val="002E668C"/>
    <w:rsid w:val="002F579F"/>
    <w:rsid w:val="0030638F"/>
    <w:rsid w:val="00311CF9"/>
    <w:rsid w:val="003139FE"/>
    <w:rsid w:val="003200DC"/>
    <w:rsid w:val="00330FFF"/>
    <w:rsid w:val="00336712"/>
    <w:rsid w:val="00336939"/>
    <w:rsid w:val="00356FB6"/>
    <w:rsid w:val="00362718"/>
    <w:rsid w:val="0036592F"/>
    <w:rsid w:val="003664ED"/>
    <w:rsid w:val="0037134C"/>
    <w:rsid w:val="00380F24"/>
    <w:rsid w:val="003814AB"/>
    <w:rsid w:val="003A5E2B"/>
    <w:rsid w:val="003B681E"/>
    <w:rsid w:val="003C61AB"/>
    <w:rsid w:val="003D0357"/>
    <w:rsid w:val="003E29F2"/>
    <w:rsid w:val="003F0451"/>
    <w:rsid w:val="003F762D"/>
    <w:rsid w:val="00401C1C"/>
    <w:rsid w:val="00406366"/>
    <w:rsid w:val="004222BD"/>
    <w:rsid w:val="00430F24"/>
    <w:rsid w:val="00432636"/>
    <w:rsid w:val="00434A39"/>
    <w:rsid w:val="00435EBD"/>
    <w:rsid w:val="00451B80"/>
    <w:rsid w:val="0046167F"/>
    <w:rsid w:val="00461C12"/>
    <w:rsid w:val="00466D02"/>
    <w:rsid w:val="00477263"/>
    <w:rsid w:val="0049501A"/>
    <w:rsid w:val="004A678E"/>
    <w:rsid w:val="004A7CF2"/>
    <w:rsid w:val="004C4868"/>
    <w:rsid w:val="004D644C"/>
    <w:rsid w:val="004F0167"/>
    <w:rsid w:val="00507437"/>
    <w:rsid w:val="0051050C"/>
    <w:rsid w:val="00520DD2"/>
    <w:rsid w:val="005235DB"/>
    <w:rsid w:val="0052623A"/>
    <w:rsid w:val="00530EB0"/>
    <w:rsid w:val="005375AA"/>
    <w:rsid w:val="00545EC2"/>
    <w:rsid w:val="0054734A"/>
    <w:rsid w:val="00551CD8"/>
    <w:rsid w:val="00575302"/>
    <w:rsid w:val="00586403"/>
    <w:rsid w:val="0059170C"/>
    <w:rsid w:val="005A456B"/>
    <w:rsid w:val="005B1B84"/>
    <w:rsid w:val="005C28A6"/>
    <w:rsid w:val="005E4CCD"/>
    <w:rsid w:val="005F5231"/>
    <w:rsid w:val="00641D57"/>
    <w:rsid w:val="006538C6"/>
    <w:rsid w:val="00663F0E"/>
    <w:rsid w:val="00675965"/>
    <w:rsid w:val="00677190"/>
    <w:rsid w:val="006A14CC"/>
    <w:rsid w:val="006A79AC"/>
    <w:rsid w:val="006D43CD"/>
    <w:rsid w:val="006F27CD"/>
    <w:rsid w:val="00700A0D"/>
    <w:rsid w:val="00701598"/>
    <w:rsid w:val="00702FA5"/>
    <w:rsid w:val="00712608"/>
    <w:rsid w:val="00714064"/>
    <w:rsid w:val="007200C7"/>
    <w:rsid w:val="00723883"/>
    <w:rsid w:val="00732D90"/>
    <w:rsid w:val="00736D84"/>
    <w:rsid w:val="00757DEF"/>
    <w:rsid w:val="0077159B"/>
    <w:rsid w:val="007902A8"/>
    <w:rsid w:val="0079721F"/>
    <w:rsid w:val="007A0C7C"/>
    <w:rsid w:val="007A37DA"/>
    <w:rsid w:val="007B7142"/>
    <w:rsid w:val="007C04D0"/>
    <w:rsid w:val="007D0DF7"/>
    <w:rsid w:val="007D3409"/>
    <w:rsid w:val="007E5F97"/>
    <w:rsid w:val="007E67EC"/>
    <w:rsid w:val="007F2E6A"/>
    <w:rsid w:val="00804945"/>
    <w:rsid w:val="00806052"/>
    <w:rsid w:val="00824571"/>
    <w:rsid w:val="00837558"/>
    <w:rsid w:val="008446CE"/>
    <w:rsid w:val="008577CA"/>
    <w:rsid w:val="0087326D"/>
    <w:rsid w:val="00873C1C"/>
    <w:rsid w:val="008766C3"/>
    <w:rsid w:val="00884051"/>
    <w:rsid w:val="0088604D"/>
    <w:rsid w:val="0089002D"/>
    <w:rsid w:val="008921D4"/>
    <w:rsid w:val="00892EAE"/>
    <w:rsid w:val="008A1C4E"/>
    <w:rsid w:val="008B4F73"/>
    <w:rsid w:val="008C0738"/>
    <w:rsid w:val="008D55C5"/>
    <w:rsid w:val="008E2591"/>
    <w:rsid w:val="00901436"/>
    <w:rsid w:val="00907365"/>
    <w:rsid w:val="00914A03"/>
    <w:rsid w:val="0091568D"/>
    <w:rsid w:val="00915DEA"/>
    <w:rsid w:val="00920F6A"/>
    <w:rsid w:val="0092204F"/>
    <w:rsid w:val="009450D8"/>
    <w:rsid w:val="009708D0"/>
    <w:rsid w:val="0099102E"/>
    <w:rsid w:val="009968CF"/>
    <w:rsid w:val="009A5118"/>
    <w:rsid w:val="009B226D"/>
    <w:rsid w:val="009C4B04"/>
    <w:rsid w:val="009C4E39"/>
    <w:rsid w:val="009C7D5E"/>
    <w:rsid w:val="009D03C6"/>
    <w:rsid w:val="009D12F7"/>
    <w:rsid w:val="009D2942"/>
    <w:rsid w:val="009D3067"/>
    <w:rsid w:val="009D4189"/>
    <w:rsid w:val="009E3626"/>
    <w:rsid w:val="009E3A88"/>
    <w:rsid w:val="009E6763"/>
    <w:rsid w:val="009E6DC8"/>
    <w:rsid w:val="009F1D56"/>
    <w:rsid w:val="00A1597D"/>
    <w:rsid w:val="00A22790"/>
    <w:rsid w:val="00A26AB0"/>
    <w:rsid w:val="00A33C20"/>
    <w:rsid w:val="00A3402C"/>
    <w:rsid w:val="00A34913"/>
    <w:rsid w:val="00A35F07"/>
    <w:rsid w:val="00A42E3A"/>
    <w:rsid w:val="00A43D41"/>
    <w:rsid w:val="00A56C1D"/>
    <w:rsid w:val="00A82803"/>
    <w:rsid w:val="00A92B06"/>
    <w:rsid w:val="00A934D2"/>
    <w:rsid w:val="00AB04CE"/>
    <w:rsid w:val="00AC2C97"/>
    <w:rsid w:val="00AD133A"/>
    <w:rsid w:val="00AD65F4"/>
    <w:rsid w:val="00AD69AA"/>
    <w:rsid w:val="00AE165A"/>
    <w:rsid w:val="00AE6BE0"/>
    <w:rsid w:val="00AF5966"/>
    <w:rsid w:val="00B03811"/>
    <w:rsid w:val="00B10C6E"/>
    <w:rsid w:val="00B13479"/>
    <w:rsid w:val="00B23292"/>
    <w:rsid w:val="00B24B1D"/>
    <w:rsid w:val="00B2746E"/>
    <w:rsid w:val="00B31866"/>
    <w:rsid w:val="00B343A3"/>
    <w:rsid w:val="00B37597"/>
    <w:rsid w:val="00B41E6D"/>
    <w:rsid w:val="00B71C35"/>
    <w:rsid w:val="00B73A82"/>
    <w:rsid w:val="00B76F4D"/>
    <w:rsid w:val="00B911CA"/>
    <w:rsid w:val="00BB081C"/>
    <w:rsid w:val="00BB2A32"/>
    <w:rsid w:val="00BC449A"/>
    <w:rsid w:val="00BC47AB"/>
    <w:rsid w:val="00BD2AB1"/>
    <w:rsid w:val="00BE1FD4"/>
    <w:rsid w:val="00BE677A"/>
    <w:rsid w:val="00BE6A2E"/>
    <w:rsid w:val="00BF00A7"/>
    <w:rsid w:val="00BF33D9"/>
    <w:rsid w:val="00C0085C"/>
    <w:rsid w:val="00C11B10"/>
    <w:rsid w:val="00C166E3"/>
    <w:rsid w:val="00C338CA"/>
    <w:rsid w:val="00C42942"/>
    <w:rsid w:val="00C50A0A"/>
    <w:rsid w:val="00C50D3A"/>
    <w:rsid w:val="00C61374"/>
    <w:rsid w:val="00C638D8"/>
    <w:rsid w:val="00C73AE0"/>
    <w:rsid w:val="00C83525"/>
    <w:rsid w:val="00CA1729"/>
    <w:rsid w:val="00CA1DAE"/>
    <w:rsid w:val="00CA30C9"/>
    <w:rsid w:val="00CA659B"/>
    <w:rsid w:val="00CA764E"/>
    <w:rsid w:val="00CE0DA0"/>
    <w:rsid w:val="00D14FDC"/>
    <w:rsid w:val="00D24B94"/>
    <w:rsid w:val="00D3643B"/>
    <w:rsid w:val="00D36E74"/>
    <w:rsid w:val="00D41D2D"/>
    <w:rsid w:val="00D53A4A"/>
    <w:rsid w:val="00D65E2F"/>
    <w:rsid w:val="00D82643"/>
    <w:rsid w:val="00D84CD8"/>
    <w:rsid w:val="00DA25AE"/>
    <w:rsid w:val="00DB10D2"/>
    <w:rsid w:val="00DB1DD4"/>
    <w:rsid w:val="00DB61B3"/>
    <w:rsid w:val="00DD1DFF"/>
    <w:rsid w:val="00DE5557"/>
    <w:rsid w:val="00DF0231"/>
    <w:rsid w:val="00E04C43"/>
    <w:rsid w:val="00E06181"/>
    <w:rsid w:val="00E16D37"/>
    <w:rsid w:val="00E17F78"/>
    <w:rsid w:val="00E22D0F"/>
    <w:rsid w:val="00E5666B"/>
    <w:rsid w:val="00E577DD"/>
    <w:rsid w:val="00E72064"/>
    <w:rsid w:val="00E72FBB"/>
    <w:rsid w:val="00E775B2"/>
    <w:rsid w:val="00E91110"/>
    <w:rsid w:val="00E9184C"/>
    <w:rsid w:val="00E97466"/>
    <w:rsid w:val="00EA4E79"/>
    <w:rsid w:val="00EA5149"/>
    <w:rsid w:val="00EB02DF"/>
    <w:rsid w:val="00EE4EEA"/>
    <w:rsid w:val="00EE6F45"/>
    <w:rsid w:val="00EF1F3E"/>
    <w:rsid w:val="00EF66B2"/>
    <w:rsid w:val="00F0497C"/>
    <w:rsid w:val="00F076D1"/>
    <w:rsid w:val="00F10653"/>
    <w:rsid w:val="00F225E5"/>
    <w:rsid w:val="00F22DF5"/>
    <w:rsid w:val="00F303F4"/>
    <w:rsid w:val="00F413E7"/>
    <w:rsid w:val="00F423C9"/>
    <w:rsid w:val="00F43475"/>
    <w:rsid w:val="00F559B5"/>
    <w:rsid w:val="00F56808"/>
    <w:rsid w:val="00F714A7"/>
    <w:rsid w:val="00F769B2"/>
    <w:rsid w:val="00FA1D27"/>
    <w:rsid w:val="00FA25AA"/>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799">
      <w:bodyDiv w:val="1"/>
      <w:marLeft w:val="0"/>
      <w:marRight w:val="0"/>
      <w:marTop w:val="0"/>
      <w:marBottom w:val="0"/>
      <w:divBdr>
        <w:top w:val="none" w:sz="0" w:space="0" w:color="auto"/>
        <w:left w:val="none" w:sz="0" w:space="0" w:color="auto"/>
        <w:bottom w:val="none" w:sz="0" w:space="0" w:color="auto"/>
        <w:right w:val="none" w:sz="0" w:space="0" w:color="auto"/>
      </w:divBdr>
    </w:div>
    <w:div w:id="30614000">
      <w:bodyDiv w:val="1"/>
      <w:marLeft w:val="0"/>
      <w:marRight w:val="0"/>
      <w:marTop w:val="0"/>
      <w:marBottom w:val="0"/>
      <w:divBdr>
        <w:top w:val="none" w:sz="0" w:space="0" w:color="auto"/>
        <w:left w:val="none" w:sz="0" w:space="0" w:color="auto"/>
        <w:bottom w:val="none" w:sz="0" w:space="0" w:color="auto"/>
        <w:right w:val="none" w:sz="0" w:space="0" w:color="auto"/>
      </w:divBdr>
    </w:div>
    <w:div w:id="4417935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12292330">
      <w:bodyDiv w:val="1"/>
      <w:marLeft w:val="0"/>
      <w:marRight w:val="0"/>
      <w:marTop w:val="0"/>
      <w:marBottom w:val="0"/>
      <w:divBdr>
        <w:top w:val="none" w:sz="0" w:space="0" w:color="auto"/>
        <w:left w:val="none" w:sz="0" w:space="0" w:color="auto"/>
        <w:bottom w:val="none" w:sz="0" w:space="0" w:color="auto"/>
        <w:right w:val="none" w:sz="0" w:space="0" w:color="auto"/>
      </w:divBdr>
      <w:divsChild>
        <w:div w:id="218244758">
          <w:marLeft w:val="360"/>
          <w:marRight w:val="0"/>
          <w:marTop w:val="200"/>
          <w:marBottom w:val="0"/>
          <w:divBdr>
            <w:top w:val="none" w:sz="0" w:space="0" w:color="auto"/>
            <w:left w:val="none" w:sz="0" w:space="0" w:color="auto"/>
            <w:bottom w:val="none" w:sz="0" w:space="0" w:color="auto"/>
            <w:right w:val="none" w:sz="0" w:space="0" w:color="auto"/>
          </w:divBdr>
        </w:div>
        <w:div w:id="323246215">
          <w:marLeft w:val="1080"/>
          <w:marRight w:val="0"/>
          <w:marTop w:val="100"/>
          <w:marBottom w:val="0"/>
          <w:divBdr>
            <w:top w:val="none" w:sz="0" w:space="0" w:color="auto"/>
            <w:left w:val="none" w:sz="0" w:space="0" w:color="auto"/>
            <w:bottom w:val="none" w:sz="0" w:space="0" w:color="auto"/>
            <w:right w:val="none" w:sz="0" w:space="0" w:color="auto"/>
          </w:divBdr>
        </w:div>
        <w:div w:id="1904638808">
          <w:marLeft w:val="360"/>
          <w:marRight w:val="0"/>
          <w:marTop w:val="200"/>
          <w:marBottom w:val="0"/>
          <w:divBdr>
            <w:top w:val="none" w:sz="0" w:space="0" w:color="auto"/>
            <w:left w:val="none" w:sz="0" w:space="0" w:color="auto"/>
            <w:bottom w:val="none" w:sz="0" w:space="0" w:color="auto"/>
            <w:right w:val="none" w:sz="0" w:space="0" w:color="auto"/>
          </w:divBdr>
        </w:div>
        <w:div w:id="402147647">
          <w:marLeft w:val="1080"/>
          <w:marRight w:val="0"/>
          <w:marTop w:val="100"/>
          <w:marBottom w:val="0"/>
          <w:divBdr>
            <w:top w:val="none" w:sz="0" w:space="0" w:color="auto"/>
            <w:left w:val="none" w:sz="0" w:space="0" w:color="auto"/>
            <w:bottom w:val="none" w:sz="0" w:space="0" w:color="auto"/>
            <w:right w:val="none" w:sz="0" w:space="0" w:color="auto"/>
          </w:divBdr>
        </w:div>
      </w:divsChild>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54611284">
      <w:bodyDiv w:val="1"/>
      <w:marLeft w:val="0"/>
      <w:marRight w:val="0"/>
      <w:marTop w:val="0"/>
      <w:marBottom w:val="0"/>
      <w:divBdr>
        <w:top w:val="none" w:sz="0" w:space="0" w:color="auto"/>
        <w:left w:val="none" w:sz="0" w:space="0" w:color="auto"/>
        <w:bottom w:val="none" w:sz="0" w:space="0" w:color="auto"/>
        <w:right w:val="none" w:sz="0" w:space="0" w:color="auto"/>
      </w:divBdr>
    </w:div>
    <w:div w:id="169370478">
      <w:bodyDiv w:val="1"/>
      <w:marLeft w:val="0"/>
      <w:marRight w:val="0"/>
      <w:marTop w:val="0"/>
      <w:marBottom w:val="0"/>
      <w:divBdr>
        <w:top w:val="none" w:sz="0" w:space="0" w:color="auto"/>
        <w:left w:val="none" w:sz="0" w:space="0" w:color="auto"/>
        <w:bottom w:val="none" w:sz="0" w:space="0" w:color="auto"/>
        <w:right w:val="none" w:sz="0" w:space="0" w:color="auto"/>
      </w:divBdr>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81943979">
      <w:bodyDiv w:val="1"/>
      <w:marLeft w:val="0"/>
      <w:marRight w:val="0"/>
      <w:marTop w:val="0"/>
      <w:marBottom w:val="0"/>
      <w:divBdr>
        <w:top w:val="none" w:sz="0" w:space="0" w:color="auto"/>
        <w:left w:val="none" w:sz="0" w:space="0" w:color="auto"/>
        <w:bottom w:val="none" w:sz="0" w:space="0" w:color="auto"/>
        <w:right w:val="none" w:sz="0" w:space="0" w:color="auto"/>
      </w:divBdr>
    </w:div>
    <w:div w:id="406223289">
      <w:bodyDiv w:val="1"/>
      <w:marLeft w:val="0"/>
      <w:marRight w:val="0"/>
      <w:marTop w:val="0"/>
      <w:marBottom w:val="0"/>
      <w:divBdr>
        <w:top w:val="none" w:sz="0" w:space="0" w:color="auto"/>
        <w:left w:val="none" w:sz="0" w:space="0" w:color="auto"/>
        <w:bottom w:val="none" w:sz="0" w:space="0" w:color="auto"/>
        <w:right w:val="none" w:sz="0" w:space="0" w:color="auto"/>
      </w:divBdr>
      <w:divsChild>
        <w:div w:id="1475247787">
          <w:marLeft w:val="360"/>
          <w:marRight w:val="0"/>
          <w:marTop w:val="200"/>
          <w:marBottom w:val="0"/>
          <w:divBdr>
            <w:top w:val="none" w:sz="0" w:space="0" w:color="auto"/>
            <w:left w:val="none" w:sz="0" w:space="0" w:color="auto"/>
            <w:bottom w:val="none" w:sz="0" w:space="0" w:color="auto"/>
            <w:right w:val="none" w:sz="0" w:space="0" w:color="auto"/>
          </w:divBdr>
        </w:div>
      </w:divsChild>
    </w:div>
    <w:div w:id="408962674">
      <w:bodyDiv w:val="1"/>
      <w:marLeft w:val="0"/>
      <w:marRight w:val="0"/>
      <w:marTop w:val="0"/>
      <w:marBottom w:val="0"/>
      <w:divBdr>
        <w:top w:val="none" w:sz="0" w:space="0" w:color="auto"/>
        <w:left w:val="none" w:sz="0" w:space="0" w:color="auto"/>
        <w:bottom w:val="none" w:sz="0" w:space="0" w:color="auto"/>
        <w:right w:val="none" w:sz="0" w:space="0" w:color="auto"/>
      </w:divBdr>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36089940">
      <w:bodyDiv w:val="1"/>
      <w:marLeft w:val="0"/>
      <w:marRight w:val="0"/>
      <w:marTop w:val="0"/>
      <w:marBottom w:val="0"/>
      <w:divBdr>
        <w:top w:val="none" w:sz="0" w:space="0" w:color="auto"/>
        <w:left w:val="none" w:sz="0" w:space="0" w:color="auto"/>
        <w:bottom w:val="none" w:sz="0" w:space="0" w:color="auto"/>
        <w:right w:val="none" w:sz="0" w:space="0" w:color="auto"/>
      </w:divBdr>
      <w:divsChild>
        <w:div w:id="106657237">
          <w:marLeft w:val="1080"/>
          <w:marRight w:val="0"/>
          <w:marTop w:val="10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578563260">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65741903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0573099">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21432648">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82980785">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0743563">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2225648">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8586137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90853575">
      <w:bodyDiv w:val="1"/>
      <w:marLeft w:val="0"/>
      <w:marRight w:val="0"/>
      <w:marTop w:val="0"/>
      <w:marBottom w:val="0"/>
      <w:divBdr>
        <w:top w:val="none" w:sz="0" w:space="0" w:color="auto"/>
        <w:left w:val="none" w:sz="0" w:space="0" w:color="auto"/>
        <w:bottom w:val="none" w:sz="0" w:space="0" w:color="auto"/>
        <w:right w:val="none" w:sz="0" w:space="0" w:color="auto"/>
      </w:divBdr>
      <w:divsChild>
        <w:div w:id="789670359">
          <w:marLeft w:val="360"/>
          <w:marRight w:val="0"/>
          <w:marTop w:val="200"/>
          <w:marBottom w:val="0"/>
          <w:divBdr>
            <w:top w:val="none" w:sz="0" w:space="0" w:color="auto"/>
            <w:left w:val="none" w:sz="0" w:space="0" w:color="auto"/>
            <w:bottom w:val="none" w:sz="0" w:space="0" w:color="auto"/>
            <w:right w:val="none" w:sz="0" w:space="0" w:color="auto"/>
          </w:divBdr>
        </w:div>
        <w:div w:id="404378865">
          <w:marLeft w:val="1080"/>
          <w:marRight w:val="0"/>
          <w:marTop w:val="100"/>
          <w:marBottom w:val="0"/>
          <w:divBdr>
            <w:top w:val="none" w:sz="0" w:space="0" w:color="auto"/>
            <w:left w:val="none" w:sz="0" w:space="0" w:color="auto"/>
            <w:bottom w:val="none" w:sz="0" w:space="0" w:color="auto"/>
            <w:right w:val="none" w:sz="0" w:space="0" w:color="auto"/>
          </w:divBdr>
        </w:div>
        <w:div w:id="2124886293">
          <w:marLeft w:val="360"/>
          <w:marRight w:val="0"/>
          <w:marTop w:val="200"/>
          <w:marBottom w:val="0"/>
          <w:divBdr>
            <w:top w:val="none" w:sz="0" w:space="0" w:color="auto"/>
            <w:left w:val="none" w:sz="0" w:space="0" w:color="auto"/>
            <w:bottom w:val="none" w:sz="0" w:space="0" w:color="auto"/>
            <w:right w:val="none" w:sz="0" w:space="0" w:color="auto"/>
          </w:divBdr>
        </w:div>
        <w:div w:id="1343243010">
          <w:marLeft w:val="1080"/>
          <w:marRight w:val="0"/>
          <w:marTop w:val="1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05157736">
      <w:bodyDiv w:val="1"/>
      <w:marLeft w:val="0"/>
      <w:marRight w:val="0"/>
      <w:marTop w:val="0"/>
      <w:marBottom w:val="0"/>
      <w:divBdr>
        <w:top w:val="none" w:sz="0" w:space="0" w:color="auto"/>
        <w:left w:val="none" w:sz="0" w:space="0" w:color="auto"/>
        <w:bottom w:val="none" w:sz="0" w:space="0" w:color="auto"/>
        <w:right w:val="none" w:sz="0" w:space="0" w:color="auto"/>
      </w:divBdr>
    </w:div>
    <w:div w:id="1312059434">
      <w:bodyDiv w:val="1"/>
      <w:marLeft w:val="0"/>
      <w:marRight w:val="0"/>
      <w:marTop w:val="0"/>
      <w:marBottom w:val="0"/>
      <w:divBdr>
        <w:top w:val="none" w:sz="0" w:space="0" w:color="auto"/>
        <w:left w:val="none" w:sz="0" w:space="0" w:color="auto"/>
        <w:bottom w:val="none" w:sz="0" w:space="0" w:color="auto"/>
        <w:right w:val="none" w:sz="0" w:space="0" w:color="auto"/>
      </w:divBdr>
    </w:div>
    <w:div w:id="137156823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04486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33752418">
      <w:bodyDiv w:val="1"/>
      <w:marLeft w:val="0"/>
      <w:marRight w:val="0"/>
      <w:marTop w:val="0"/>
      <w:marBottom w:val="0"/>
      <w:divBdr>
        <w:top w:val="none" w:sz="0" w:space="0" w:color="auto"/>
        <w:left w:val="none" w:sz="0" w:space="0" w:color="auto"/>
        <w:bottom w:val="none" w:sz="0" w:space="0" w:color="auto"/>
        <w:right w:val="none" w:sz="0" w:space="0" w:color="auto"/>
      </w:divBdr>
      <w:divsChild>
        <w:div w:id="2055277474">
          <w:marLeft w:val="360"/>
          <w:marRight w:val="0"/>
          <w:marTop w:val="2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231867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67406142">
      <w:bodyDiv w:val="1"/>
      <w:marLeft w:val="0"/>
      <w:marRight w:val="0"/>
      <w:marTop w:val="0"/>
      <w:marBottom w:val="0"/>
      <w:divBdr>
        <w:top w:val="none" w:sz="0" w:space="0" w:color="auto"/>
        <w:left w:val="none" w:sz="0" w:space="0" w:color="auto"/>
        <w:bottom w:val="none" w:sz="0" w:space="0" w:color="auto"/>
        <w:right w:val="none" w:sz="0" w:space="0" w:color="auto"/>
      </w:divBdr>
      <w:divsChild>
        <w:div w:id="1299913981">
          <w:marLeft w:val="360"/>
          <w:marRight w:val="0"/>
          <w:marTop w:val="200"/>
          <w:marBottom w:val="0"/>
          <w:divBdr>
            <w:top w:val="none" w:sz="0" w:space="0" w:color="auto"/>
            <w:left w:val="none" w:sz="0" w:space="0" w:color="auto"/>
            <w:bottom w:val="none" w:sz="0" w:space="0" w:color="auto"/>
            <w:right w:val="none" w:sz="0" w:space="0" w:color="auto"/>
          </w:divBdr>
        </w:div>
        <w:div w:id="1855460887">
          <w:marLeft w:val="1080"/>
          <w:marRight w:val="0"/>
          <w:marTop w:val="100"/>
          <w:marBottom w:val="0"/>
          <w:divBdr>
            <w:top w:val="none" w:sz="0" w:space="0" w:color="auto"/>
            <w:left w:val="none" w:sz="0" w:space="0" w:color="auto"/>
            <w:bottom w:val="none" w:sz="0" w:space="0" w:color="auto"/>
            <w:right w:val="none" w:sz="0" w:space="0" w:color="auto"/>
          </w:divBdr>
        </w:div>
        <w:div w:id="2004159571">
          <w:marLeft w:val="360"/>
          <w:marRight w:val="0"/>
          <w:marTop w:val="200"/>
          <w:marBottom w:val="0"/>
          <w:divBdr>
            <w:top w:val="none" w:sz="0" w:space="0" w:color="auto"/>
            <w:left w:val="none" w:sz="0" w:space="0" w:color="auto"/>
            <w:bottom w:val="none" w:sz="0" w:space="0" w:color="auto"/>
            <w:right w:val="none" w:sz="0" w:space="0" w:color="auto"/>
          </w:divBdr>
        </w:div>
        <w:div w:id="1853568063">
          <w:marLeft w:val="360"/>
          <w:marRight w:val="0"/>
          <w:marTop w:val="200"/>
          <w:marBottom w:val="0"/>
          <w:divBdr>
            <w:top w:val="none" w:sz="0" w:space="0" w:color="auto"/>
            <w:left w:val="none" w:sz="0" w:space="0" w:color="auto"/>
            <w:bottom w:val="none" w:sz="0" w:space="0" w:color="auto"/>
            <w:right w:val="none" w:sz="0" w:space="0" w:color="auto"/>
          </w:divBdr>
        </w:div>
      </w:divsChild>
    </w:div>
    <w:div w:id="1887912788">
      <w:bodyDiv w:val="1"/>
      <w:marLeft w:val="0"/>
      <w:marRight w:val="0"/>
      <w:marTop w:val="0"/>
      <w:marBottom w:val="0"/>
      <w:divBdr>
        <w:top w:val="none" w:sz="0" w:space="0" w:color="auto"/>
        <w:left w:val="none" w:sz="0" w:space="0" w:color="auto"/>
        <w:bottom w:val="none" w:sz="0" w:space="0" w:color="auto"/>
        <w:right w:val="none" w:sz="0" w:space="0" w:color="auto"/>
      </w:divBdr>
      <w:divsChild>
        <w:div w:id="1414283688">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3339575">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4964701">
      <w:bodyDiv w:val="1"/>
      <w:marLeft w:val="0"/>
      <w:marRight w:val="0"/>
      <w:marTop w:val="0"/>
      <w:marBottom w:val="0"/>
      <w:divBdr>
        <w:top w:val="none" w:sz="0" w:space="0" w:color="auto"/>
        <w:left w:val="none" w:sz="0" w:space="0" w:color="auto"/>
        <w:bottom w:val="none" w:sz="0" w:space="0" w:color="auto"/>
        <w:right w:val="none" w:sz="0" w:space="0" w:color="auto"/>
      </w:divBdr>
    </w:div>
    <w:div w:id="19923646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12041773">
      <w:bodyDiv w:val="1"/>
      <w:marLeft w:val="0"/>
      <w:marRight w:val="0"/>
      <w:marTop w:val="0"/>
      <w:marBottom w:val="0"/>
      <w:divBdr>
        <w:top w:val="none" w:sz="0" w:space="0" w:color="auto"/>
        <w:left w:val="none" w:sz="0" w:space="0" w:color="auto"/>
        <w:bottom w:val="none" w:sz="0" w:space="0" w:color="auto"/>
        <w:right w:val="none" w:sz="0" w:space="0" w:color="auto"/>
      </w:divBdr>
      <w:divsChild>
        <w:div w:id="1656685875">
          <w:marLeft w:val="360"/>
          <w:marRight w:val="0"/>
          <w:marTop w:val="200"/>
          <w:marBottom w:val="0"/>
          <w:divBdr>
            <w:top w:val="none" w:sz="0" w:space="0" w:color="auto"/>
            <w:left w:val="none" w:sz="0" w:space="0" w:color="auto"/>
            <w:bottom w:val="none" w:sz="0" w:space="0" w:color="auto"/>
            <w:right w:val="none" w:sz="0" w:space="0" w:color="auto"/>
          </w:divBdr>
        </w:div>
        <w:div w:id="645551970">
          <w:marLeft w:val="1080"/>
          <w:marRight w:val="0"/>
          <w:marTop w:val="100"/>
          <w:marBottom w:val="0"/>
          <w:divBdr>
            <w:top w:val="none" w:sz="0" w:space="0" w:color="auto"/>
            <w:left w:val="none" w:sz="0" w:space="0" w:color="auto"/>
            <w:bottom w:val="none" w:sz="0" w:space="0" w:color="auto"/>
            <w:right w:val="none" w:sz="0" w:space="0" w:color="auto"/>
          </w:divBdr>
        </w:div>
      </w:divsChild>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5303</TotalTime>
  <Pages>3</Pages>
  <Words>817</Words>
  <Characters>4658</Characters>
  <Application>Microsoft Office Word</Application>
  <DocSecurity>0</DocSecurity>
  <Lines>38</Lines>
  <Paragraphs>10</Paragraphs>
  <ScaleCrop>false</ScaleCrop>
  <Company>HUAWEI</Company>
  <LinksUpToDate>false</LinksUpToDate>
  <CharactersWithSpaces>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46</cp:revision>
  <dcterms:created xsi:type="dcterms:W3CDTF">2020-06-28T04:14:00Z</dcterms:created>
  <dcterms:modified xsi:type="dcterms:W3CDTF">2020-10-23T11:51:00Z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(3)4623EhpiTmLtEClcd92tCmOgPN7SRJpQaN4AFFvswTTmSBB03hwBv/b4G1Y4aLMueWEDmvyX
ZWez+4JcNeSW4wLwVKF1OO4kXY/SyIVtxA5THSYyyREV0buwVgs+AdqORbOdKd1x1UbTerZq
F3vRydoWoZRSZ/n6NrtZa/rL3Mq8ZxjcSGOZjsj+7KZSRxDN6l+/t5ErjzptUucp56ZWnkv1
VzpJ3Hov9JmM9Nxrck</vt:lpwstr>
  </property>
  <property fmtid="{D5CDD505-2E9C-101B-9397-08002B2CF9AE}" pid="3" name="_2015_ms_pID_7253431">
    <vt:lpwstr>7d//cTXtIcpq8fhldQomK5DivNUDc0SBUGLk+fqjMSe5mrF3sUVS+0
qUPBQyN8KXc8Xa9bspLaD5HWiKBjVXJRQ/8gQBUmae0DHY7M5q2XpL8JAgb2H97FNIKjhSgI
3sqMW/WdkNXv/Ji1b2Khq3V1951ohKmXbuEWNOjthGz6iocCs4BC8FH/ekCxMEJrmQicWHEs
TsF4yUjbU80D+aBZObk4i6wii+6FmfDo2CxD</vt:lpwstr>
  </property>
  <property fmtid="{D5CDD505-2E9C-101B-9397-08002B2CF9AE}" pid="4" name="_2015_ms_pID_7253432">
    <vt:lpwstr>wHDk6XzgkMBed6KDa4BjXcg=</vt:lpwstr>
  </property>
</Properties>
</file>