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5B0629" w14:textId="69ADFD4D"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F77A5">
        <w:rPr>
          <w:b/>
          <w:noProof/>
          <w:sz w:val="24"/>
        </w:rPr>
        <w:t>9</w:t>
      </w:r>
      <w:r w:rsidR="00B80170">
        <w:rPr>
          <w:b/>
          <w:noProof/>
          <w:sz w:val="24"/>
        </w:rPr>
        <w:t>7</w:t>
      </w:r>
      <w:r w:rsidR="00FA5152">
        <w:rPr>
          <w:b/>
          <w:noProof/>
          <w:sz w:val="24"/>
        </w:rPr>
        <w:t>-e</w:t>
      </w:r>
      <w:r w:rsidR="00DC5180" w:rsidRPr="0033027D">
        <w:rPr>
          <w:b/>
          <w:noProof/>
          <w:sz w:val="24"/>
        </w:rPr>
        <w:tab/>
      </w:r>
      <w:r w:rsidR="00FA5152" w:rsidRPr="00FA5152">
        <w:rPr>
          <w:b/>
          <w:noProof/>
          <w:sz w:val="24"/>
        </w:rPr>
        <w:t>R4-20</w:t>
      </w:r>
      <w:r w:rsidR="0016151C">
        <w:rPr>
          <w:b/>
          <w:noProof/>
          <w:sz w:val="24"/>
        </w:rPr>
        <w:t>14724</w:t>
      </w:r>
    </w:p>
    <w:p w14:paraId="63C63B34" w14:textId="34D88B7E" w:rsidR="001512D7" w:rsidRPr="00566BC5" w:rsidRDefault="00796075" w:rsidP="00566BC5">
      <w:pPr>
        <w:pStyle w:val="CRCoverPage"/>
        <w:outlineLvl w:val="0"/>
        <w:rPr>
          <w:b/>
          <w:noProof/>
          <w:sz w:val="24"/>
        </w:rPr>
      </w:pPr>
      <w:r>
        <w:rPr>
          <w:rFonts w:eastAsia="宋体"/>
          <w:b/>
          <w:sz w:val="24"/>
          <w:szCs w:val="24"/>
          <w:lang w:eastAsia="zh-CN"/>
        </w:rPr>
        <w:t xml:space="preserve">Electronic Meeting, </w:t>
      </w:r>
      <w:r w:rsidR="00B80170">
        <w:rPr>
          <w:rFonts w:eastAsia="宋体"/>
          <w:b/>
          <w:sz w:val="24"/>
          <w:szCs w:val="24"/>
          <w:lang w:eastAsia="zh-CN"/>
        </w:rPr>
        <w:t>2-13 Nov.</w:t>
      </w:r>
      <w:r w:rsidR="00566BC5" w:rsidRPr="00554399">
        <w:rPr>
          <w:rFonts w:eastAsia="宋体"/>
          <w:b/>
          <w:sz w:val="24"/>
          <w:szCs w:val="24"/>
          <w:lang w:eastAsia="zh-CN"/>
        </w:rPr>
        <w:t>, 202</w:t>
      </w:r>
      <w:r w:rsidR="00566BC5">
        <w:rPr>
          <w:rFonts w:eastAsia="宋体"/>
          <w:b/>
          <w:sz w:val="24"/>
          <w:szCs w:val="24"/>
          <w:lang w:eastAsia="zh-CN"/>
        </w:rPr>
        <w:t>0</w:t>
      </w:r>
      <w:r w:rsidR="00766B19">
        <w:rPr>
          <w:rFonts w:cs="Arial"/>
          <w:b/>
          <w:sz w:val="24"/>
        </w:rPr>
        <w:br/>
      </w:r>
    </w:p>
    <w:p w14:paraId="46DA2A95" w14:textId="2B2CDB99"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796075" w:rsidRPr="00796075">
        <w:rPr>
          <w:rFonts w:ascii="Arial" w:hAnsi="Arial" w:cs="Arial"/>
          <w:b/>
        </w:rPr>
        <w:t xml:space="preserve">Discussion on </w:t>
      </w:r>
      <w:r w:rsidR="00B80170">
        <w:rPr>
          <w:rFonts w:ascii="Arial" w:hAnsi="Arial" w:cs="Arial"/>
          <w:b/>
        </w:rPr>
        <w:t xml:space="preserve">Rel-17 </w:t>
      </w:r>
      <w:r w:rsidR="00796075" w:rsidRPr="00796075">
        <w:rPr>
          <w:rFonts w:ascii="Arial" w:hAnsi="Arial" w:cs="Arial"/>
          <w:b/>
        </w:rPr>
        <w:t>FR2 inter-band CA</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37DCF50F"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176BE7">
        <w:rPr>
          <w:rFonts w:ascii="Arial" w:hAnsi="Arial" w:cs="Arial"/>
          <w:b/>
        </w:rPr>
        <w:t>12.3.2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0723CC00" w14:textId="4A249DC6" w:rsidR="00FB2CAD" w:rsidRPr="00916F8E" w:rsidRDefault="00B94E4F" w:rsidP="008F13B3">
      <w:pPr>
        <w:rPr>
          <w:lang w:eastAsia="zh-CN"/>
        </w:rPr>
      </w:pPr>
      <w:r>
        <w:rPr>
          <w:rFonts w:hint="eastAsia"/>
          <w:lang w:eastAsia="zh-CN"/>
        </w:rPr>
        <w:t>Inter</w:t>
      </w:r>
      <w:r>
        <w:rPr>
          <w:lang w:eastAsia="zh-CN"/>
        </w:rPr>
        <w:t>-band CA is main objective of Rel-17 FR2 RF WI</w:t>
      </w:r>
      <w:r w:rsidR="00376FE4">
        <w:rPr>
          <w:lang w:eastAsia="zh-CN"/>
        </w:rPr>
        <w:t>.</w:t>
      </w:r>
      <w:r>
        <w:rPr>
          <w:lang w:eastAsia="zh-CN"/>
        </w:rPr>
        <w:t xml:space="preserve"> In Rel-16, only IBM requirements for </w:t>
      </w:r>
      <w:r w:rsidR="00110F74">
        <w:rPr>
          <w:lang w:eastAsia="zh-CN"/>
        </w:rPr>
        <w:t xml:space="preserve">DL </w:t>
      </w:r>
      <w:r>
        <w:rPr>
          <w:lang w:eastAsia="zh-CN"/>
        </w:rPr>
        <w:t>CA configuration between different frequenc</w:t>
      </w:r>
      <w:r w:rsidR="00A02917">
        <w:rPr>
          <w:lang w:eastAsia="zh-CN"/>
        </w:rPr>
        <w:t xml:space="preserve">y groups, i.e. </w:t>
      </w:r>
      <w:r w:rsidR="00A02917" w:rsidRPr="00A02917">
        <w:rPr>
          <w:lang w:eastAsia="zh-CN"/>
        </w:rPr>
        <w:t>CA_n260-n261</w:t>
      </w:r>
      <w:r w:rsidR="00A02917">
        <w:rPr>
          <w:lang w:eastAsia="zh-CN"/>
        </w:rPr>
        <w:t xml:space="preserve">, </w:t>
      </w:r>
      <w:r w:rsidR="00110F74">
        <w:rPr>
          <w:lang w:eastAsia="zh-CN"/>
        </w:rPr>
        <w:t>have been</w:t>
      </w:r>
      <w:r w:rsidR="00A02917">
        <w:rPr>
          <w:lang w:eastAsia="zh-CN"/>
        </w:rPr>
        <w:t xml:space="preserve"> specified. CBM requirements for </w:t>
      </w:r>
      <w:r w:rsidR="00110F74">
        <w:rPr>
          <w:lang w:eastAsia="zh-CN"/>
        </w:rPr>
        <w:t xml:space="preserve">DL </w:t>
      </w:r>
      <w:r w:rsidR="00A02917">
        <w:rPr>
          <w:lang w:eastAsia="zh-CN"/>
        </w:rPr>
        <w:t xml:space="preserve">CA configurations with same frequency group are </w:t>
      </w:r>
      <w:r w:rsidR="00ED1F03">
        <w:rPr>
          <w:lang w:eastAsia="zh-CN"/>
        </w:rPr>
        <w:t>postponed</w:t>
      </w:r>
      <w:r w:rsidR="00A02917">
        <w:rPr>
          <w:lang w:eastAsia="zh-CN"/>
        </w:rPr>
        <w:t xml:space="preserve"> to be specified in Rel-17 due to some controversial issues and limited time. </w:t>
      </w:r>
      <w:r w:rsidR="008B016A">
        <w:rPr>
          <w:lang w:eastAsia="zh-CN"/>
        </w:rPr>
        <w:t xml:space="preserve">There are two kinds of CA configurations: inter-band CA with same frequency group (e.g. 28+28GHz) and inter-band CA between different frequency groups (e.g. 28+39GHz). </w:t>
      </w:r>
      <w:r w:rsidR="00A12371">
        <w:rPr>
          <w:lang w:eastAsia="zh-CN"/>
        </w:rPr>
        <w:t xml:space="preserve">A framework is expected on </w:t>
      </w:r>
      <w:r w:rsidR="008B016A">
        <w:rPr>
          <w:lang w:eastAsia="zh-CN"/>
        </w:rPr>
        <w:t>how to apply IBM or CBM t</w:t>
      </w:r>
      <w:r w:rsidR="00A12371">
        <w:rPr>
          <w:lang w:eastAsia="zh-CN"/>
        </w:rPr>
        <w:t>o a particular CA configuration, which is a fundamental problem for both DL CA and UL CA. In this contribution, we share our overall view</w:t>
      </w:r>
      <w:r w:rsidR="00E32D01">
        <w:rPr>
          <w:lang w:eastAsia="zh-CN"/>
        </w:rPr>
        <w:t>s</w:t>
      </w:r>
      <w:r w:rsidR="00A12371">
        <w:rPr>
          <w:lang w:eastAsia="zh-CN"/>
        </w:rPr>
        <w:t xml:space="preserve"> on Rel-17 FR2 inter-band CA including discussion of applicability of CBM and IBM, CBM requirements for DL CA with same frequency group, and IBM requirements for UL CA between different frequency groups.</w:t>
      </w:r>
    </w:p>
    <w:p w14:paraId="65A85401" w14:textId="697A8A6E" w:rsidR="00962566" w:rsidRDefault="000A567D" w:rsidP="00E33B8C">
      <w:pPr>
        <w:pStyle w:val="1"/>
      </w:pPr>
      <w:r>
        <w:t xml:space="preserve">2. </w:t>
      </w:r>
      <w:r>
        <w:tab/>
      </w:r>
      <w:r w:rsidR="002A1C01">
        <w:t>Discussion</w:t>
      </w:r>
    </w:p>
    <w:p w14:paraId="32C553EE" w14:textId="70D14ADB" w:rsidR="001F7D2F" w:rsidRPr="007C4CA8" w:rsidRDefault="001F7D2F" w:rsidP="001F7D2F">
      <w:pPr>
        <w:pStyle w:val="2"/>
      </w:pPr>
      <w:r>
        <w:t>2.1</w:t>
      </w:r>
      <w:r>
        <w:tab/>
      </w:r>
      <w:r w:rsidR="00110F74">
        <w:t>applicability of</w:t>
      </w:r>
      <w:r>
        <w:t xml:space="preserve"> CBM and IBM</w:t>
      </w:r>
    </w:p>
    <w:p w14:paraId="5731A8C0" w14:textId="230FD354" w:rsidR="001F7D2F" w:rsidRDefault="00ED39CE" w:rsidP="001F7D2F">
      <w:r>
        <w:t xml:space="preserve">According to the WID [1] of Rel-17 FR2 RF work item, </w:t>
      </w:r>
      <w:r w:rsidR="009C0B67">
        <w:t xml:space="preserve">a method </w:t>
      </w:r>
      <w:r w:rsidR="00B772D6">
        <w:t>needs</w:t>
      </w:r>
      <w:r w:rsidR="009C0B67">
        <w:t xml:space="preserve"> to be agreed on how to apply CBM/IBM to a particular CA configuration:</w:t>
      </w:r>
    </w:p>
    <w:p w14:paraId="24B1D3E9" w14:textId="2BF45D7F" w:rsidR="00847E91" w:rsidRPr="009C0B67" w:rsidRDefault="009C0B67" w:rsidP="009C0B67">
      <w:pPr>
        <w:pStyle w:val="af3"/>
        <w:numPr>
          <w:ilvl w:val="0"/>
          <w:numId w:val="29"/>
        </w:numPr>
        <w:ind w:firstLineChars="0"/>
        <w:rPr>
          <w:i/>
          <w:lang w:val="en-US"/>
        </w:rPr>
      </w:pPr>
      <w:r w:rsidRPr="009C0B67">
        <w:rPr>
          <w:i/>
          <w:lang w:val="en-US"/>
        </w:rPr>
        <w:t xml:space="preserve">Agree a method how applicable CBM/IBM information is captured into specification for a particular CA configuration. Agree how it is decided whether a certain CA configuration is assuming CBM or IBM based requirements (for-example is applicability based on operator request or some general rule or are all CA configurations applicable for both CBM and IBM). </w:t>
      </w:r>
      <w:r w:rsidR="0087296A" w:rsidRPr="009C0B67">
        <w:rPr>
          <w:i/>
          <w:lang w:val="en-US"/>
        </w:rPr>
        <w:t xml:space="preserve"> </w:t>
      </w:r>
    </w:p>
    <w:p w14:paraId="733BEBFE" w14:textId="79C596A2" w:rsidR="00AC0742" w:rsidRDefault="00FE1C35" w:rsidP="001F7D2F">
      <w:pPr>
        <w:rPr>
          <w:lang w:val="en-US" w:eastAsia="zh-CN"/>
        </w:rPr>
      </w:pPr>
      <w:r>
        <w:rPr>
          <w:lang w:val="en-US" w:eastAsia="zh-CN"/>
        </w:rPr>
        <w:t>Though it is an objective of DL CA, actually it is also an unavoidable problem for UL CA</w:t>
      </w:r>
      <w:r w:rsidR="003D15E3">
        <w:rPr>
          <w:lang w:val="en-US" w:eastAsia="zh-CN"/>
        </w:rPr>
        <w:t>.</w:t>
      </w:r>
      <w:r w:rsidR="00740D11">
        <w:rPr>
          <w:lang w:val="en-US" w:eastAsia="zh-CN"/>
        </w:rPr>
        <w:t xml:space="preserve"> IBM requirements for UL CA between different frequency groups have been explicitly captured as objective for UL CA.</w:t>
      </w:r>
      <w:r w:rsidR="00A72DC8">
        <w:rPr>
          <w:lang w:val="en-US" w:eastAsia="zh-CN"/>
        </w:rPr>
        <w:t xml:space="preserve"> UL CA is based on DL CA, if DL CA is CBM for a certain CA combination, the</w:t>
      </w:r>
      <w:r w:rsidR="00E32D01">
        <w:rPr>
          <w:lang w:val="en-US" w:eastAsia="zh-CN"/>
        </w:rPr>
        <w:t>n</w:t>
      </w:r>
      <w:r w:rsidR="00A72DC8">
        <w:rPr>
          <w:lang w:val="en-US" w:eastAsia="zh-CN"/>
        </w:rPr>
        <w:t xml:space="preserve"> UL CA can only be CBM. It is not a reasonable scenario that IBM for UL CA and CBM for DL CA for a certain CA combination.</w:t>
      </w:r>
    </w:p>
    <w:p w14:paraId="051FE8A2" w14:textId="43E102F8" w:rsidR="00E549AB" w:rsidRDefault="00E549AB" w:rsidP="00E549AB">
      <w:pPr>
        <w:spacing w:after="120"/>
        <w:ind w:left="1418" w:hanging="1418"/>
        <w:rPr>
          <w:b/>
          <w:bCs/>
        </w:rPr>
      </w:pPr>
      <w:r>
        <w:rPr>
          <w:b/>
          <w:bCs/>
        </w:rPr>
        <w:t>Observation 1</w:t>
      </w:r>
      <w:r w:rsidRPr="00DF1B01">
        <w:rPr>
          <w:b/>
          <w:bCs/>
        </w:rPr>
        <w:t>:</w:t>
      </w:r>
      <w:r w:rsidRPr="00DF1B01">
        <w:rPr>
          <w:b/>
          <w:bCs/>
        </w:rPr>
        <w:tab/>
      </w:r>
      <w:r>
        <w:rPr>
          <w:b/>
          <w:bCs/>
        </w:rPr>
        <w:t xml:space="preserve">for a particular CA configuration, the </w:t>
      </w:r>
      <w:r w:rsidR="00AE50D0">
        <w:rPr>
          <w:b/>
          <w:bCs/>
        </w:rPr>
        <w:t>same CBM/</w:t>
      </w:r>
      <w:r>
        <w:rPr>
          <w:b/>
          <w:bCs/>
        </w:rPr>
        <w:t>IBM attributes apply for both DL CA and UL CA as long as UL CA is supported</w:t>
      </w:r>
    </w:p>
    <w:p w14:paraId="59951A8F" w14:textId="2CFB4293" w:rsidR="00E549AB" w:rsidRDefault="00066825" w:rsidP="001F7D2F">
      <w:pPr>
        <w:rPr>
          <w:lang w:eastAsia="zh-CN"/>
        </w:rPr>
      </w:pPr>
      <w:r>
        <w:rPr>
          <w:lang w:eastAsia="zh-CN"/>
        </w:rPr>
        <w:t>Based on observation 1, when discussing the method on how to apply CBM/IBM to a particular CA configuration, it is better to consider both inter-band DL CA and UL CA. To determine the applicability of CBM/IBM to a particular CA configuration, the pre-condition is the feasibility of the following two scenarios which are also objectives for both DL CA and UL CA:</w:t>
      </w:r>
    </w:p>
    <w:p w14:paraId="221D6447" w14:textId="18C75E41" w:rsidR="00066825" w:rsidRDefault="00066825" w:rsidP="00066825">
      <w:pPr>
        <w:pStyle w:val="af3"/>
        <w:numPr>
          <w:ilvl w:val="0"/>
          <w:numId w:val="29"/>
        </w:numPr>
        <w:ind w:firstLineChars="0"/>
        <w:rPr>
          <w:i/>
          <w:lang w:val="en-US"/>
        </w:rPr>
      </w:pPr>
      <w:r w:rsidRPr="00066825">
        <w:rPr>
          <w:i/>
          <w:lang w:val="en-US"/>
        </w:rPr>
        <w:t>Study and if feasible define UE requirements for CBM between different freq. groups (e.g. 28GHz + 37GHz)</w:t>
      </w:r>
      <w:r w:rsidRPr="009C0B67">
        <w:rPr>
          <w:i/>
          <w:lang w:val="en-US"/>
        </w:rPr>
        <w:t xml:space="preserve">  </w:t>
      </w:r>
    </w:p>
    <w:p w14:paraId="53D051A3" w14:textId="44496186" w:rsidR="00066825" w:rsidRPr="009C0B67" w:rsidRDefault="00066825" w:rsidP="00066825">
      <w:pPr>
        <w:pStyle w:val="af3"/>
        <w:numPr>
          <w:ilvl w:val="0"/>
          <w:numId w:val="29"/>
        </w:numPr>
        <w:ind w:firstLineChars="0"/>
        <w:rPr>
          <w:i/>
          <w:lang w:val="en-US"/>
        </w:rPr>
      </w:pPr>
      <w:r w:rsidRPr="00066825">
        <w:rPr>
          <w:i/>
          <w:lang w:val="en-US"/>
        </w:rPr>
        <w:t>Study and if feasible define UE RF requirements for inter-band CA within the same freq. group (e.g. 28GHz + 28GHz) for (IBM) based on explicitly requested band combinations.</w:t>
      </w:r>
    </w:p>
    <w:p w14:paraId="31F55CF0" w14:textId="15EA9AF3" w:rsidR="00066825" w:rsidRDefault="0040441D" w:rsidP="001F7D2F">
      <w:pPr>
        <w:rPr>
          <w:lang w:val="en-US" w:eastAsia="zh-CN"/>
        </w:rPr>
      </w:pPr>
      <w:r>
        <w:rPr>
          <w:lang w:val="en-US" w:eastAsia="zh-CN"/>
        </w:rPr>
        <w:t>It is necessary to clarify the meaning of CBM and IBM. CBM and IBM are UE capabilities on whether it can support independent beam management for carriers on different bands. They are attributes of UE perspective rather than gNB perspective. For CA configurations between different freq. groups (e.g. 28GHz + 37GHz), the beam forming parameters for the two bands are different to steer beams to</w:t>
      </w:r>
      <w:r w:rsidR="003C6E6F">
        <w:rPr>
          <w:lang w:val="en-US" w:eastAsia="zh-CN"/>
        </w:rPr>
        <w:t xml:space="preserve"> the same direction, consequently </w:t>
      </w:r>
      <w:r>
        <w:rPr>
          <w:lang w:val="en-US" w:eastAsia="zh-CN"/>
        </w:rPr>
        <w:t>UE can not perform common beam management between the two bands</w:t>
      </w:r>
      <w:r w:rsidR="003C6E6F">
        <w:rPr>
          <w:lang w:val="en-US" w:eastAsia="zh-CN"/>
        </w:rPr>
        <w:t>, no matter gNB is co-located or non-co-located. From UE capability perspective, it is our understanding that CBM is only applicable within same freq. group.</w:t>
      </w:r>
    </w:p>
    <w:p w14:paraId="49CA6853" w14:textId="2D99838E" w:rsidR="003C6E6F" w:rsidRDefault="003C6E6F" w:rsidP="003C6E6F">
      <w:pPr>
        <w:spacing w:after="120"/>
        <w:ind w:left="1418" w:hanging="1418"/>
        <w:rPr>
          <w:b/>
          <w:bCs/>
        </w:rPr>
      </w:pPr>
      <w:r>
        <w:rPr>
          <w:b/>
          <w:bCs/>
        </w:rPr>
        <w:t>Observation 2</w:t>
      </w:r>
      <w:r w:rsidRPr="00DF1B01">
        <w:rPr>
          <w:b/>
          <w:bCs/>
        </w:rPr>
        <w:t>:</w:t>
      </w:r>
      <w:r w:rsidRPr="00DF1B01">
        <w:rPr>
          <w:b/>
          <w:bCs/>
        </w:rPr>
        <w:tab/>
      </w:r>
      <w:r>
        <w:rPr>
          <w:b/>
          <w:bCs/>
        </w:rPr>
        <w:t>CBM is not applicable for CA configurations between different freq. groups, but only applicable within same freq. group.</w:t>
      </w:r>
    </w:p>
    <w:p w14:paraId="6447299A" w14:textId="4B9768D2" w:rsidR="003C6E6F" w:rsidRDefault="003C6E6F" w:rsidP="001F7D2F">
      <w:pPr>
        <w:rPr>
          <w:lang w:eastAsia="zh-CN"/>
        </w:rPr>
      </w:pPr>
      <w:r>
        <w:rPr>
          <w:lang w:eastAsia="zh-CN"/>
        </w:rPr>
        <w:lastRenderedPageBreak/>
        <w:t>For inter-band CA within the same freq. group</w:t>
      </w:r>
      <w:r w:rsidR="00B5530A">
        <w:rPr>
          <w:lang w:eastAsia="zh-CN"/>
        </w:rPr>
        <w:t xml:space="preserve"> </w:t>
      </w:r>
      <w:r w:rsidR="00B5530A" w:rsidRPr="00B5530A">
        <w:rPr>
          <w:lang w:eastAsia="zh-CN"/>
        </w:rPr>
        <w:t>(e.g. 28GHz + 28GHz)</w:t>
      </w:r>
      <w:r w:rsidR="00B5530A">
        <w:rPr>
          <w:lang w:eastAsia="zh-CN"/>
        </w:rPr>
        <w:t>, though there is no practical commercial band combo available yet, in case network deployment is co-located, both CBM UE and IBM UE works; in case network deployment is non-co-located, IBM is the only choice. From UE perspective, IBM within same freq. group is feasible though hardware implementation is more complicated than CBM.</w:t>
      </w:r>
      <w:r w:rsidR="00A05D9F">
        <w:rPr>
          <w:lang w:eastAsia="zh-CN"/>
        </w:rPr>
        <w:t xml:space="preserve"> It is natural </w:t>
      </w:r>
      <w:r w:rsidR="00CE47D2">
        <w:rPr>
          <w:lang w:eastAsia="zh-CN"/>
        </w:rPr>
        <w:t>to leave flexibility to UE to report CBM or IBM depending on UE capability.</w:t>
      </w:r>
    </w:p>
    <w:p w14:paraId="31AD8065" w14:textId="0922E6F2" w:rsidR="00CD038F" w:rsidRDefault="00CD038F" w:rsidP="00CD038F">
      <w:pPr>
        <w:spacing w:after="120"/>
        <w:ind w:left="1418" w:hanging="1418"/>
        <w:rPr>
          <w:b/>
          <w:bCs/>
        </w:rPr>
      </w:pPr>
      <w:r>
        <w:rPr>
          <w:b/>
          <w:bCs/>
        </w:rPr>
        <w:t>Observation 3</w:t>
      </w:r>
      <w:r w:rsidRPr="00DF1B01">
        <w:rPr>
          <w:b/>
          <w:bCs/>
        </w:rPr>
        <w:t>:</w:t>
      </w:r>
      <w:r w:rsidRPr="00DF1B01">
        <w:rPr>
          <w:b/>
          <w:bCs/>
        </w:rPr>
        <w:tab/>
      </w:r>
      <w:r>
        <w:rPr>
          <w:b/>
          <w:bCs/>
        </w:rPr>
        <w:t>IBM is not only applicable for CA configurations between different freq. groups, but also applicable within same freq. group.</w:t>
      </w:r>
    </w:p>
    <w:p w14:paraId="461FB50E" w14:textId="7CAA7D3D" w:rsidR="003D15E3" w:rsidRDefault="00CD038F" w:rsidP="003D15E3">
      <w:pPr>
        <w:rPr>
          <w:rFonts w:eastAsiaTheme="minorEastAsia"/>
          <w:lang w:eastAsia="zh-CN"/>
        </w:rPr>
      </w:pPr>
      <w:r>
        <w:rPr>
          <w:rFonts w:eastAsiaTheme="minorEastAsia"/>
          <w:lang w:eastAsia="zh-CN"/>
        </w:rPr>
        <w:t xml:space="preserve">Based on above observations on feasibility, a general </w:t>
      </w:r>
      <w:r w:rsidR="005F1B4B">
        <w:rPr>
          <w:rFonts w:eastAsiaTheme="minorEastAsia"/>
          <w:lang w:eastAsia="zh-CN"/>
        </w:rPr>
        <w:t xml:space="preserve">rule </w:t>
      </w:r>
      <w:r>
        <w:rPr>
          <w:rFonts w:eastAsiaTheme="minorEastAsia"/>
          <w:lang w:eastAsia="zh-CN"/>
        </w:rPr>
        <w:t>is proposed to apply CBM/IBM for a certain CA configuration, i.e. IBM is applicable for all CA configurations while CBM is only applicable for CA configurations with same freq. group, as illustrated in Table 2.1-1 as an example:</w:t>
      </w:r>
    </w:p>
    <w:p w14:paraId="245BD292" w14:textId="7AE725FD" w:rsidR="00CD038F" w:rsidRPr="00E32D01" w:rsidRDefault="005F1B4B" w:rsidP="00694663">
      <w:pPr>
        <w:jc w:val="center"/>
        <w:rPr>
          <w:rFonts w:eastAsiaTheme="minorEastAsia"/>
          <w:b/>
          <w:lang w:eastAsia="zh-CN"/>
        </w:rPr>
      </w:pPr>
      <w:bookmarkStart w:id="1" w:name="_GoBack"/>
      <w:r w:rsidRPr="00E32D01">
        <w:rPr>
          <w:rFonts w:eastAsiaTheme="minorEastAsia" w:hint="eastAsia"/>
          <w:b/>
          <w:lang w:eastAsia="zh-CN"/>
        </w:rPr>
        <w:t>T</w:t>
      </w:r>
      <w:r w:rsidRPr="00E32D01">
        <w:rPr>
          <w:rFonts w:eastAsiaTheme="minorEastAsia"/>
          <w:b/>
          <w:lang w:eastAsia="zh-CN"/>
        </w:rPr>
        <w:t>able 2.1-1 example of CBM/IBM applicability</w:t>
      </w:r>
    </w:p>
    <w:tbl>
      <w:tblPr>
        <w:tblW w:w="7503" w:type="dxa"/>
        <w:jc w:val="center"/>
        <w:tblCellMar>
          <w:left w:w="0" w:type="dxa"/>
          <w:right w:w="0" w:type="dxa"/>
        </w:tblCellMar>
        <w:tblLook w:val="0420" w:firstRow="1" w:lastRow="0" w:firstColumn="0" w:lastColumn="0" w:noHBand="0" w:noVBand="1"/>
      </w:tblPr>
      <w:tblGrid>
        <w:gridCol w:w="2140"/>
        <w:gridCol w:w="5363"/>
      </w:tblGrid>
      <w:tr w:rsidR="00694663" w:rsidRPr="00694663" w14:paraId="792DA87B" w14:textId="77777777" w:rsidTr="00694663">
        <w:trPr>
          <w:trHeight w:val="300"/>
          <w:jc w:val="center"/>
        </w:trPr>
        <w:tc>
          <w:tcPr>
            <w:tcW w:w="214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bookmarkEnd w:id="1"/>
          <w:p w14:paraId="2483B178" w14:textId="77777777" w:rsidR="00694663" w:rsidRPr="00694663" w:rsidRDefault="00694663" w:rsidP="00694663">
            <w:pPr>
              <w:rPr>
                <w:rFonts w:eastAsiaTheme="minorEastAsia"/>
                <w:lang w:val="en-US" w:eastAsia="zh-CN"/>
              </w:rPr>
            </w:pPr>
            <w:r w:rsidRPr="00694663">
              <w:rPr>
                <w:rFonts w:eastAsiaTheme="minorEastAsia" w:hint="eastAsia"/>
                <w:b/>
                <w:bCs/>
                <w:lang w:val="en-US" w:eastAsia="zh-CN"/>
              </w:rPr>
              <w:t>CA configuration</w:t>
            </w:r>
          </w:p>
        </w:tc>
        <w:tc>
          <w:tcPr>
            <w:tcW w:w="5363"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6B3C08E2" w14:textId="77777777" w:rsidR="00694663" w:rsidRPr="00694663" w:rsidRDefault="00694663" w:rsidP="00694663">
            <w:pPr>
              <w:rPr>
                <w:rFonts w:eastAsiaTheme="minorEastAsia"/>
                <w:lang w:val="en-US" w:eastAsia="zh-CN"/>
              </w:rPr>
            </w:pPr>
            <w:r w:rsidRPr="00694663">
              <w:rPr>
                <w:rFonts w:eastAsiaTheme="minorEastAsia" w:hint="eastAsia"/>
                <w:b/>
                <w:bCs/>
                <w:lang w:val="en-US" w:eastAsia="zh-CN"/>
              </w:rPr>
              <w:t>IBM or CBM applicability</w:t>
            </w:r>
          </w:p>
        </w:tc>
      </w:tr>
      <w:tr w:rsidR="00694663" w:rsidRPr="00694663" w14:paraId="5EEDA42F" w14:textId="77777777" w:rsidTr="00694663">
        <w:trPr>
          <w:trHeight w:val="300"/>
          <w:jc w:val="center"/>
        </w:trPr>
        <w:tc>
          <w:tcPr>
            <w:tcW w:w="214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7A5638D" w14:textId="77777777" w:rsidR="00694663" w:rsidRPr="00694663" w:rsidRDefault="00694663" w:rsidP="00694663">
            <w:pPr>
              <w:rPr>
                <w:rFonts w:eastAsiaTheme="minorEastAsia"/>
                <w:lang w:val="en-US" w:eastAsia="zh-CN"/>
              </w:rPr>
            </w:pPr>
            <w:r w:rsidRPr="00694663">
              <w:rPr>
                <w:rFonts w:eastAsiaTheme="minorEastAsia" w:hint="eastAsia"/>
                <w:lang w:val="en-US" w:eastAsia="zh-CN"/>
              </w:rPr>
              <w:t>28GHz + 28GHz</w:t>
            </w:r>
          </w:p>
        </w:tc>
        <w:tc>
          <w:tcPr>
            <w:tcW w:w="5363"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EE91594" w14:textId="10C41725" w:rsidR="00694663" w:rsidRPr="00694663" w:rsidRDefault="00694663" w:rsidP="00694663">
            <w:pPr>
              <w:rPr>
                <w:rFonts w:eastAsiaTheme="minorEastAsia"/>
                <w:lang w:val="en-US" w:eastAsia="zh-CN"/>
              </w:rPr>
            </w:pPr>
            <w:r>
              <w:rPr>
                <w:rFonts w:eastAsiaTheme="minorEastAsia"/>
                <w:lang w:val="en-US" w:eastAsia="zh-CN"/>
              </w:rPr>
              <w:t xml:space="preserve">UE can report either </w:t>
            </w:r>
            <w:r w:rsidRPr="00694663">
              <w:rPr>
                <w:rFonts w:eastAsiaTheme="minorEastAsia" w:hint="eastAsia"/>
                <w:lang w:val="en-US" w:eastAsia="zh-CN"/>
              </w:rPr>
              <w:t>IBM or CBM depending on UE capability</w:t>
            </w:r>
          </w:p>
        </w:tc>
      </w:tr>
      <w:tr w:rsidR="00694663" w:rsidRPr="00694663" w14:paraId="55B522AA" w14:textId="77777777" w:rsidTr="00694663">
        <w:trPr>
          <w:trHeight w:val="300"/>
          <w:jc w:val="center"/>
        </w:trPr>
        <w:tc>
          <w:tcPr>
            <w:tcW w:w="214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DC07B9C" w14:textId="77777777" w:rsidR="00694663" w:rsidRPr="00694663" w:rsidRDefault="00694663" w:rsidP="00694663">
            <w:pPr>
              <w:rPr>
                <w:rFonts w:eastAsiaTheme="minorEastAsia"/>
                <w:lang w:val="en-US" w:eastAsia="zh-CN"/>
              </w:rPr>
            </w:pPr>
            <w:r w:rsidRPr="00694663">
              <w:rPr>
                <w:rFonts w:eastAsiaTheme="minorEastAsia" w:hint="eastAsia"/>
                <w:lang w:val="en-US" w:eastAsia="zh-CN"/>
              </w:rPr>
              <w:t>39GHz + 39GHz</w:t>
            </w:r>
          </w:p>
        </w:tc>
        <w:tc>
          <w:tcPr>
            <w:tcW w:w="536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3C52F606" w14:textId="227B27BA" w:rsidR="00694663" w:rsidRPr="00694663" w:rsidRDefault="00694663" w:rsidP="00694663">
            <w:pPr>
              <w:rPr>
                <w:rFonts w:eastAsiaTheme="minorEastAsia"/>
                <w:lang w:val="en-US" w:eastAsia="zh-CN"/>
              </w:rPr>
            </w:pPr>
            <w:r>
              <w:rPr>
                <w:rFonts w:eastAsiaTheme="minorEastAsia"/>
                <w:lang w:val="en-US" w:eastAsia="zh-CN"/>
              </w:rPr>
              <w:t xml:space="preserve">UE can report either </w:t>
            </w:r>
            <w:r w:rsidRPr="00694663">
              <w:rPr>
                <w:rFonts w:eastAsiaTheme="minorEastAsia" w:hint="eastAsia"/>
                <w:lang w:val="en-US" w:eastAsia="zh-CN"/>
              </w:rPr>
              <w:t>IBM or CBM depending on UE capability</w:t>
            </w:r>
          </w:p>
        </w:tc>
      </w:tr>
      <w:tr w:rsidR="00694663" w:rsidRPr="00694663" w14:paraId="48C52645" w14:textId="77777777" w:rsidTr="00C90FD3">
        <w:trPr>
          <w:trHeight w:val="60"/>
          <w:jc w:val="center"/>
        </w:trPr>
        <w:tc>
          <w:tcPr>
            <w:tcW w:w="214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0FFAF79" w14:textId="77777777" w:rsidR="00694663" w:rsidRPr="00694663" w:rsidRDefault="00694663" w:rsidP="00694663">
            <w:pPr>
              <w:rPr>
                <w:rFonts w:eastAsiaTheme="minorEastAsia"/>
                <w:lang w:val="en-US" w:eastAsia="zh-CN"/>
              </w:rPr>
            </w:pPr>
            <w:r w:rsidRPr="00694663">
              <w:rPr>
                <w:rFonts w:eastAsiaTheme="minorEastAsia" w:hint="eastAsia"/>
                <w:lang w:val="en-US" w:eastAsia="zh-CN"/>
              </w:rPr>
              <w:t>28GHz + 39GHz</w:t>
            </w:r>
          </w:p>
        </w:tc>
        <w:tc>
          <w:tcPr>
            <w:tcW w:w="5363"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BFB7506" w14:textId="77777777" w:rsidR="00694663" w:rsidRPr="00694663" w:rsidRDefault="00694663" w:rsidP="00694663">
            <w:pPr>
              <w:rPr>
                <w:rFonts w:eastAsiaTheme="minorEastAsia"/>
                <w:lang w:val="en-US" w:eastAsia="zh-CN"/>
              </w:rPr>
            </w:pPr>
            <w:r w:rsidRPr="00694663">
              <w:rPr>
                <w:rFonts w:eastAsiaTheme="minorEastAsia" w:hint="eastAsia"/>
                <w:lang w:val="en-US" w:eastAsia="zh-CN"/>
              </w:rPr>
              <w:t>IBM</w:t>
            </w:r>
          </w:p>
        </w:tc>
      </w:tr>
    </w:tbl>
    <w:p w14:paraId="71A9F84A" w14:textId="77777777" w:rsidR="00CD038F" w:rsidRPr="002141A0" w:rsidRDefault="00CD038F" w:rsidP="003D15E3">
      <w:pPr>
        <w:rPr>
          <w:rFonts w:eastAsiaTheme="minorEastAsia"/>
          <w:lang w:eastAsia="zh-CN"/>
        </w:rPr>
      </w:pPr>
    </w:p>
    <w:p w14:paraId="1216BF9B" w14:textId="358C793D" w:rsidR="005F1B4B" w:rsidRDefault="005F1B4B" w:rsidP="005F1B4B">
      <w:pPr>
        <w:spacing w:after="120"/>
        <w:ind w:left="1418" w:hanging="1418"/>
        <w:rPr>
          <w:b/>
          <w:bCs/>
        </w:rPr>
      </w:pPr>
      <w:r>
        <w:rPr>
          <w:b/>
          <w:bCs/>
        </w:rPr>
        <w:t>Proposal 1</w:t>
      </w:r>
      <w:r w:rsidRPr="00DF1B01">
        <w:rPr>
          <w:b/>
          <w:bCs/>
        </w:rPr>
        <w:t>:</w:t>
      </w:r>
      <w:r w:rsidRPr="00DF1B01">
        <w:rPr>
          <w:b/>
          <w:bCs/>
        </w:rPr>
        <w:tab/>
      </w:r>
      <w:r w:rsidRPr="005F1B4B">
        <w:rPr>
          <w:b/>
          <w:bCs/>
        </w:rPr>
        <w:t>IBM is applicable for all CA configurations while CBM is only applicable for CA configurations with same freq. group</w:t>
      </w:r>
      <w:r>
        <w:rPr>
          <w:b/>
          <w:bCs/>
        </w:rPr>
        <w:t xml:space="preserve">. UE can report either IBM or CBM depending on UE capability for </w:t>
      </w:r>
      <w:r w:rsidRPr="005F1B4B">
        <w:rPr>
          <w:b/>
          <w:bCs/>
        </w:rPr>
        <w:t>CA configurations with same freq. group</w:t>
      </w:r>
      <w:r>
        <w:rPr>
          <w:b/>
          <w:bCs/>
        </w:rPr>
        <w:t>.</w:t>
      </w:r>
    </w:p>
    <w:p w14:paraId="54251045" w14:textId="30EFB072" w:rsidR="00957424" w:rsidRPr="007C4CA8" w:rsidRDefault="00957424" w:rsidP="00957424">
      <w:pPr>
        <w:pStyle w:val="2"/>
      </w:pPr>
      <w:r>
        <w:t>2.2</w:t>
      </w:r>
      <w:r>
        <w:tab/>
      </w:r>
      <w:r w:rsidR="000B7869">
        <w:t>CBM requirements for DL CA with same frequency group</w:t>
      </w:r>
    </w:p>
    <w:p w14:paraId="2CEDF6F1" w14:textId="7282D19F" w:rsidR="00957424" w:rsidRDefault="001A5E68" w:rsidP="00957424">
      <w:pPr>
        <w:rPr>
          <w:rFonts w:eastAsia="Malgun Gothic"/>
        </w:rPr>
      </w:pPr>
      <w:r>
        <w:t xml:space="preserve">In Rel-16 discussion, CBM requirements for DL CA with same frequency group encounter more difficulties than expected, including MRTD issue, whether or not to define common spherical coverage requirement, whether to introduce new frequency separation class, etc. </w:t>
      </w:r>
    </w:p>
    <w:p w14:paraId="3483D72B" w14:textId="29D695E4" w:rsidR="00222E28" w:rsidRDefault="003213CD" w:rsidP="00B44EB4">
      <w:pPr>
        <w:rPr>
          <w:bCs/>
          <w:lang w:eastAsia="zh-CN"/>
        </w:rPr>
      </w:pPr>
      <w:r>
        <w:rPr>
          <w:rFonts w:hint="eastAsia"/>
          <w:bCs/>
          <w:lang w:eastAsia="zh-CN"/>
        </w:rPr>
        <w:t>M</w:t>
      </w:r>
      <w:r>
        <w:rPr>
          <w:bCs/>
          <w:lang w:eastAsia="zh-CN"/>
        </w:rPr>
        <w:t xml:space="preserve">RTD issue will be handled in RRM session. About common spherical coverage, it is our understanding that </w:t>
      </w:r>
      <w:r w:rsidR="00B37FCE">
        <w:rPr>
          <w:bCs/>
          <w:lang w:eastAsia="zh-CN"/>
        </w:rPr>
        <w:t xml:space="preserve">common spherical coverage is mainly proposed to accommodate IBM. </w:t>
      </w:r>
      <w:r w:rsidR="00772B8A">
        <w:rPr>
          <w:bCs/>
          <w:lang w:eastAsia="zh-CN"/>
        </w:rPr>
        <w:t xml:space="preserve">After CBM UE capability is introduced, it is not necessary to apply common spherical coverage requirement to </w:t>
      </w:r>
      <w:r w:rsidR="00B44EB4">
        <w:rPr>
          <w:bCs/>
          <w:lang w:eastAsia="zh-CN"/>
        </w:rPr>
        <w:t xml:space="preserve">both IBM and </w:t>
      </w:r>
      <w:r w:rsidR="00772B8A">
        <w:rPr>
          <w:bCs/>
          <w:lang w:eastAsia="zh-CN"/>
        </w:rPr>
        <w:t xml:space="preserve">CBM. CBM inter-band CA has more similar characteristics </w:t>
      </w:r>
      <w:r w:rsidR="00B44EB4">
        <w:rPr>
          <w:bCs/>
          <w:lang w:eastAsia="zh-CN"/>
        </w:rPr>
        <w:t>to</w:t>
      </w:r>
      <w:r w:rsidR="00772B8A">
        <w:rPr>
          <w:bCs/>
          <w:lang w:eastAsia="zh-CN"/>
        </w:rPr>
        <w:t xml:space="preserve"> intra-band CA which is also the consensus of companies during previous discussions.</w:t>
      </w:r>
      <w:r w:rsidR="004A1643">
        <w:rPr>
          <w:bCs/>
          <w:lang w:eastAsia="zh-CN"/>
        </w:rPr>
        <w:t xml:space="preserve"> From RF requirement perspective, it is </w:t>
      </w:r>
      <w:r w:rsidR="00904C58">
        <w:rPr>
          <w:bCs/>
          <w:lang w:eastAsia="zh-CN"/>
        </w:rPr>
        <w:t>natural to apply most intra-band CA RF requirements to CBM inter-band CA.</w:t>
      </w:r>
      <w:r w:rsidR="00B44EB4">
        <w:rPr>
          <w:bCs/>
          <w:lang w:eastAsia="zh-CN"/>
        </w:rPr>
        <w:t xml:space="preserve"> </w:t>
      </w:r>
    </w:p>
    <w:p w14:paraId="40E25C45" w14:textId="65435DE0" w:rsidR="00222E28" w:rsidRDefault="00B44EB4" w:rsidP="000735D4">
      <w:pPr>
        <w:rPr>
          <w:bCs/>
          <w:lang w:eastAsia="zh-CN"/>
        </w:rPr>
      </w:pPr>
      <w:r>
        <w:rPr>
          <w:bCs/>
          <w:lang w:eastAsia="zh-CN"/>
        </w:rPr>
        <w:t xml:space="preserve">There is no EIS spherical coverage requirement for intra-band CA. </w:t>
      </w:r>
      <w:r w:rsidR="00222E28">
        <w:rPr>
          <w:bCs/>
          <w:lang w:eastAsia="zh-CN"/>
        </w:rPr>
        <w:t>For CBM inter-band CA, it is</w:t>
      </w:r>
      <w:r>
        <w:rPr>
          <w:bCs/>
          <w:lang w:eastAsia="zh-CN"/>
        </w:rPr>
        <w:t xml:space="preserve"> also</w:t>
      </w:r>
      <w:r w:rsidR="00222E28">
        <w:rPr>
          <w:bCs/>
          <w:lang w:eastAsia="zh-CN"/>
        </w:rPr>
        <w:t xml:space="preserve"> not necessary to define spherical coverage requirement to align with intra-band CA. Moreover, CBM is fundamentally different from IBM. </w:t>
      </w:r>
      <w:r w:rsidR="007628A2">
        <w:rPr>
          <w:bCs/>
          <w:lang w:eastAsia="zh-CN"/>
        </w:rPr>
        <w:t xml:space="preserve">For IBM, UE implementation </w:t>
      </w:r>
      <w:r w:rsidR="00FE7E51">
        <w:rPr>
          <w:bCs/>
          <w:lang w:eastAsia="zh-CN"/>
        </w:rPr>
        <w:t xml:space="preserve">can </w:t>
      </w:r>
      <w:r w:rsidR="007628A2">
        <w:rPr>
          <w:bCs/>
          <w:lang w:eastAsia="zh-CN"/>
        </w:rPr>
        <w:t>be more flexible</w:t>
      </w:r>
      <w:r>
        <w:rPr>
          <w:bCs/>
          <w:lang w:eastAsia="zh-CN"/>
        </w:rPr>
        <w:t xml:space="preserve"> (e.g. different panels between band pairs)</w:t>
      </w:r>
      <w:r w:rsidR="007628A2">
        <w:rPr>
          <w:bCs/>
          <w:lang w:eastAsia="zh-CN"/>
        </w:rPr>
        <w:t xml:space="preserve"> so that the spherical coverage</w:t>
      </w:r>
      <w:r w:rsidR="003659AF">
        <w:rPr>
          <w:bCs/>
          <w:lang w:eastAsia="zh-CN"/>
        </w:rPr>
        <w:t xml:space="preserve"> </w:t>
      </w:r>
      <w:r w:rsidR="00FE7E51">
        <w:rPr>
          <w:bCs/>
          <w:lang w:eastAsia="zh-CN"/>
        </w:rPr>
        <w:t xml:space="preserve">correlation between band pairs </w:t>
      </w:r>
      <w:r w:rsidR="003659AF">
        <w:rPr>
          <w:bCs/>
          <w:lang w:eastAsia="zh-CN"/>
        </w:rPr>
        <w:t>will be</w:t>
      </w:r>
      <w:r w:rsidR="007628A2">
        <w:rPr>
          <w:bCs/>
          <w:lang w:eastAsia="zh-CN"/>
        </w:rPr>
        <w:t xml:space="preserve"> unpredictab</w:t>
      </w:r>
      <w:r w:rsidR="003659AF">
        <w:rPr>
          <w:bCs/>
          <w:lang w:eastAsia="zh-CN"/>
        </w:rPr>
        <w:t>le</w:t>
      </w:r>
      <w:r w:rsidR="007628A2">
        <w:rPr>
          <w:bCs/>
          <w:lang w:eastAsia="zh-CN"/>
        </w:rPr>
        <w:t xml:space="preserve">, in this case a common spherical coverage requirement is </w:t>
      </w:r>
      <w:r w:rsidR="003659AF">
        <w:rPr>
          <w:bCs/>
          <w:lang w:eastAsia="zh-CN"/>
        </w:rPr>
        <w:t>reasonable</w:t>
      </w:r>
      <w:r w:rsidR="007628A2">
        <w:rPr>
          <w:bCs/>
          <w:lang w:eastAsia="zh-CN"/>
        </w:rPr>
        <w:t>. But for CBM, just as its name implies, its spherical coverage will almost be in common inherently and it is not necessary to verify again which will be just double effort.</w:t>
      </w:r>
    </w:p>
    <w:p w14:paraId="23228FBD" w14:textId="4236508E" w:rsidR="006D0652" w:rsidRDefault="006D0652" w:rsidP="000735D4">
      <w:pPr>
        <w:rPr>
          <w:bCs/>
          <w:lang w:eastAsia="zh-CN"/>
        </w:rPr>
      </w:pPr>
      <w:r>
        <w:rPr>
          <w:bCs/>
          <w:lang w:eastAsia="zh-CN"/>
        </w:rPr>
        <w:t xml:space="preserve">So </w:t>
      </w:r>
      <w:r w:rsidR="003213CD">
        <w:rPr>
          <w:bCs/>
          <w:lang w:eastAsia="zh-CN"/>
        </w:rPr>
        <w:t>we propose that</w:t>
      </w:r>
      <w:r>
        <w:rPr>
          <w:bCs/>
          <w:lang w:eastAsia="zh-CN"/>
        </w:rPr>
        <w:t xml:space="preserve"> no spherical coverage requirement will be defined</w:t>
      </w:r>
      <w:r w:rsidR="003213CD">
        <w:rPr>
          <w:bCs/>
          <w:lang w:eastAsia="zh-CN"/>
        </w:rPr>
        <w:t xml:space="preserve"> for CBM band pairs</w:t>
      </w:r>
      <w:r>
        <w:rPr>
          <w:bCs/>
          <w:lang w:eastAsia="zh-CN"/>
        </w:rPr>
        <w:t>.</w:t>
      </w:r>
      <w:r w:rsidR="00C629C7" w:rsidRPr="00C629C7">
        <w:rPr>
          <w:rFonts w:hint="eastAsia"/>
          <w:bCs/>
          <w:lang w:eastAsia="zh-CN"/>
        </w:rPr>
        <w:t xml:space="preserve"> </w:t>
      </w:r>
      <w:r w:rsidR="00C629C7">
        <w:rPr>
          <w:rFonts w:hint="eastAsia"/>
          <w:bCs/>
          <w:lang w:eastAsia="zh-CN"/>
        </w:rPr>
        <w:t>N</w:t>
      </w:r>
      <w:r w:rsidR="00C629C7">
        <w:rPr>
          <w:bCs/>
          <w:lang w:eastAsia="zh-CN"/>
        </w:rPr>
        <w:t>o spherical coverage requirement for CBM band pairs does not mean the spherical coverage performance of CBM UE is not guaranteed. The inter-band CA spherical coverage performance for both CBM and IBM is guaranteed by single band (non-CA</w:t>
      </w:r>
      <w:r w:rsidR="00C629C7">
        <w:rPr>
          <w:rFonts w:hint="eastAsia"/>
          <w:bCs/>
          <w:lang w:eastAsia="zh-CN"/>
        </w:rPr>
        <w:t>)</w:t>
      </w:r>
      <w:r w:rsidR="00C629C7">
        <w:rPr>
          <w:bCs/>
          <w:lang w:eastAsia="zh-CN"/>
        </w:rPr>
        <w:t xml:space="preserve"> EIS spherical coverage requirement. The only difference is that IBM has an extra requirement on common coverage area due to its independent beam management feature.</w:t>
      </w:r>
    </w:p>
    <w:p w14:paraId="448843F1" w14:textId="6157528C" w:rsidR="0044617F" w:rsidRDefault="0044617F" w:rsidP="0044617F">
      <w:pPr>
        <w:spacing w:after="120"/>
        <w:ind w:left="1418" w:hanging="1418"/>
        <w:rPr>
          <w:b/>
          <w:bCs/>
        </w:rPr>
      </w:pPr>
      <w:r>
        <w:rPr>
          <w:b/>
          <w:bCs/>
        </w:rPr>
        <w:t>Proposal 2</w:t>
      </w:r>
      <w:r w:rsidRPr="00DF1B01">
        <w:rPr>
          <w:b/>
          <w:bCs/>
        </w:rPr>
        <w:t>:</w:t>
      </w:r>
      <w:r w:rsidRPr="00DF1B01">
        <w:rPr>
          <w:b/>
          <w:bCs/>
        </w:rPr>
        <w:tab/>
      </w:r>
      <w:r w:rsidRPr="00E030B8">
        <w:rPr>
          <w:b/>
          <w:bCs/>
        </w:rPr>
        <w:t>For CBM band pairs, no spherical coverage requirement will be defined</w:t>
      </w:r>
      <w:r>
        <w:rPr>
          <w:b/>
          <w:bCs/>
        </w:rPr>
        <w:t>.</w:t>
      </w:r>
    </w:p>
    <w:p w14:paraId="2200E666" w14:textId="25C2AA56" w:rsidR="00A0699F" w:rsidRDefault="00F64BD9" w:rsidP="000735D4">
      <w:pPr>
        <w:rPr>
          <w:bCs/>
          <w:lang w:eastAsia="zh-CN"/>
        </w:rPr>
      </w:pPr>
      <w:r>
        <w:rPr>
          <w:bCs/>
          <w:lang w:eastAsia="zh-CN"/>
        </w:rPr>
        <w:t>About whether to new frequency separation class</w:t>
      </w:r>
      <w:r w:rsidR="007823A4">
        <w:rPr>
          <w:bCs/>
          <w:lang w:eastAsia="zh-CN"/>
        </w:rPr>
        <w:t xml:space="preserve"> for CBM, it is related to the definition of “same frequency group”. </w:t>
      </w:r>
      <w:r w:rsidR="00A0699F">
        <w:rPr>
          <w:bCs/>
          <w:lang w:eastAsia="zh-CN"/>
        </w:rPr>
        <w:t>Usually we consider n257/258/261 as one frequency group with maximum 5.25GHz frequency separation, n259/260 as one frequency group with maximum 6.5GHz frequency separation. When n262 is specified, it could be considered in another frequency group.</w:t>
      </w:r>
      <w:r w:rsidR="003F2104">
        <w:rPr>
          <w:bCs/>
          <w:lang w:eastAsia="zh-CN"/>
        </w:rPr>
        <w:t xml:space="preserve"> UE may not support so wide frequency separation based on CBM, so new frequency separation class is proposed like FR2 intra-band non-contiguous CA. When looking into frequency group and frequency separation class together, we think there are two options for discussion:</w:t>
      </w:r>
    </w:p>
    <w:p w14:paraId="46E8C09A" w14:textId="25EC0359" w:rsidR="00A54769" w:rsidRDefault="00A54769" w:rsidP="003F2104">
      <w:pPr>
        <w:ind w:leftChars="200" w:left="400"/>
        <w:rPr>
          <w:bCs/>
          <w:lang w:eastAsia="zh-CN"/>
        </w:rPr>
      </w:pPr>
      <w:r>
        <w:rPr>
          <w:bCs/>
          <w:lang w:eastAsia="zh-CN"/>
        </w:rPr>
        <w:lastRenderedPageBreak/>
        <w:t>Option 1: each band belongs to a frequency group. CBM is applicable for all the CA configurations within the same frequency group depending on U</w:t>
      </w:r>
      <w:r w:rsidR="003F2104">
        <w:rPr>
          <w:bCs/>
          <w:lang w:eastAsia="zh-CN"/>
        </w:rPr>
        <w:t>E capability, and introduce new frequency separation class to address too wide frequency separation between bands.</w:t>
      </w:r>
    </w:p>
    <w:p w14:paraId="05B0425E" w14:textId="4C0C9615" w:rsidR="00A54769" w:rsidRDefault="00A54769" w:rsidP="003F2104">
      <w:pPr>
        <w:ind w:leftChars="200" w:left="400"/>
        <w:rPr>
          <w:bCs/>
          <w:lang w:eastAsia="zh-CN"/>
        </w:rPr>
      </w:pPr>
      <w:r>
        <w:rPr>
          <w:bCs/>
          <w:lang w:eastAsia="zh-CN"/>
        </w:rPr>
        <w:t>Option 2: there is no explicit frequency group definition.</w:t>
      </w:r>
      <w:r w:rsidR="003F2104">
        <w:rPr>
          <w:bCs/>
          <w:lang w:eastAsia="zh-CN"/>
        </w:rPr>
        <w:t xml:space="preserve"> RAN4 decides if CBM is applicable for requested CA combinations, and CBM apply to total frequency separation between bands.</w:t>
      </w:r>
    </w:p>
    <w:p w14:paraId="0A944F12" w14:textId="4FC10374" w:rsidR="00F64BD9" w:rsidRDefault="003F2104" w:rsidP="000735D4">
      <w:pPr>
        <w:rPr>
          <w:bCs/>
          <w:lang w:eastAsia="zh-CN"/>
        </w:rPr>
      </w:pPr>
      <w:r>
        <w:rPr>
          <w:bCs/>
          <w:lang w:eastAsia="zh-CN"/>
        </w:rPr>
        <w:t xml:space="preserve">In our understanding, there is no obvious boundary </w:t>
      </w:r>
      <w:r w:rsidR="00C90FD3">
        <w:rPr>
          <w:bCs/>
          <w:lang w:eastAsia="zh-CN"/>
        </w:rPr>
        <w:t>to differentiate</w:t>
      </w:r>
      <w:r>
        <w:rPr>
          <w:bCs/>
          <w:lang w:eastAsia="zh-CN"/>
        </w:rPr>
        <w:t xml:space="preserve"> frequency groups, in case that new bands might be introduced in the future, for the sake of forward compatibility, it is better not to explicitly define frequency group in specification. CBM applicability could be specified per CA band combinations.</w:t>
      </w:r>
    </w:p>
    <w:p w14:paraId="2D0535D4" w14:textId="0C09370A" w:rsidR="0041413C" w:rsidRPr="00966D05" w:rsidRDefault="0044617F" w:rsidP="00C90FD3">
      <w:pPr>
        <w:spacing w:after="120"/>
        <w:ind w:left="1418" w:hanging="1418"/>
        <w:rPr>
          <w:bCs/>
          <w:lang w:eastAsia="zh-CN"/>
        </w:rPr>
      </w:pPr>
      <w:r>
        <w:rPr>
          <w:b/>
          <w:bCs/>
        </w:rPr>
        <w:t>Proposal 3</w:t>
      </w:r>
      <w:r w:rsidRPr="00DF1B01">
        <w:rPr>
          <w:b/>
          <w:bCs/>
        </w:rPr>
        <w:t>:</w:t>
      </w:r>
      <w:r w:rsidRPr="00DF1B01">
        <w:rPr>
          <w:b/>
          <w:bCs/>
        </w:rPr>
        <w:tab/>
      </w:r>
      <w:r w:rsidRPr="00E030B8">
        <w:rPr>
          <w:b/>
          <w:bCs/>
        </w:rPr>
        <w:t>For</w:t>
      </w:r>
      <w:r>
        <w:rPr>
          <w:b/>
          <w:bCs/>
        </w:rPr>
        <w:t xml:space="preserve"> forward compatibility, the </w:t>
      </w:r>
      <w:r w:rsidR="003F2104">
        <w:rPr>
          <w:b/>
          <w:bCs/>
        </w:rPr>
        <w:t>“</w:t>
      </w:r>
      <w:r>
        <w:rPr>
          <w:b/>
          <w:bCs/>
        </w:rPr>
        <w:t>frequency group” term shall not be defined in specification.</w:t>
      </w:r>
      <w:r w:rsidR="00C90FD3">
        <w:rPr>
          <w:bCs/>
          <w:lang w:eastAsia="zh-CN"/>
        </w:rPr>
        <w:tab/>
      </w:r>
    </w:p>
    <w:p w14:paraId="4DF1E617" w14:textId="70104781" w:rsidR="000735D4" w:rsidRPr="007C4CA8" w:rsidRDefault="000735D4" w:rsidP="000735D4">
      <w:pPr>
        <w:pStyle w:val="2"/>
      </w:pPr>
      <w:r>
        <w:t>2.</w:t>
      </w:r>
      <w:r w:rsidR="00957424">
        <w:t>3</w:t>
      </w:r>
      <w:r>
        <w:tab/>
      </w:r>
      <w:r w:rsidR="00CF69F2">
        <w:t>IBM requirements for UL CA with different frequency group</w:t>
      </w:r>
    </w:p>
    <w:p w14:paraId="5414EAE7" w14:textId="4E8F5055" w:rsidR="000735D4" w:rsidRDefault="00BA22F3" w:rsidP="000735D4">
      <w:r>
        <w:t>Inter-band UL CA is one of the main objectives for Rel-17 FR2 RF. Different from FR1 inter-band UL CA where UL power of different component carriers are non-directional and summed up as total power, FR2 inter-band CA based on IBM are directional EIRP power for different component carriers, where the peak EIRP may be located in different direction and there is no meaning to sum them up.</w:t>
      </w:r>
    </w:p>
    <w:p w14:paraId="26A4C686" w14:textId="2AE7D84B" w:rsidR="00BA22F3" w:rsidRDefault="00BA22F3" w:rsidP="00BA22F3">
      <w:pPr>
        <w:spacing w:after="120"/>
        <w:ind w:left="1418" w:hanging="1418"/>
        <w:rPr>
          <w:b/>
          <w:bCs/>
        </w:rPr>
      </w:pPr>
      <w:r>
        <w:rPr>
          <w:b/>
          <w:bCs/>
        </w:rPr>
        <w:t>Observation 4</w:t>
      </w:r>
      <w:r w:rsidRPr="00DF1B01">
        <w:rPr>
          <w:b/>
          <w:bCs/>
        </w:rPr>
        <w:t>:</w:t>
      </w:r>
      <w:r w:rsidRPr="00DF1B01">
        <w:rPr>
          <w:b/>
          <w:bCs/>
        </w:rPr>
        <w:tab/>
      </w:r>
      <w:r>
        <w:rPr>
          <w:b/>
          <w:bCs/>
        </w:rPr>
        <w:t>requirements for FR2 inter-band UL CA based on IBM are directional and peak EIRP of different component carriers could not be summed up</w:t>
      </w:r>
    </w:p>
    <w:p w14:paraId="01B2466C" w14:textId="0F9BEF81" w:rsidR="00957424" w:rsidRDefault="005E4EAC" w:rsidP="000735D4">
      <w:pPr>
        <w:rPr>
          <w:lang w:eastAsia="zh-CN"/>
        </w:rPr>
      </w:pPr>
      <w:r>
        <w:rPr>
          <w:lang w:eastAsia="zh-CN"/>
        </w:rPr>
        <w:t xml:space="preserve">So it is natural to define RF requirements per band for UL CA based on IBM. When defining TX requirements per band, power </w:t>
      </w:r>
      <w:r w:rsidR="00641460">
        <w:rPr>
          <w:lang w:eastAsia="zh-CN"/>
        </w:rPr>
        <w:t>splitting</w:t>
      </w:r>
      <w:r>
        <w:rPr>
          <w:lang w:eastAsia="zh-CN"/>
        </w:rPr>
        <w:t xml:space="preserve"> in conduction domain should be considered. Typically, equal power splitting is adopted.</w:t>
      </w:r>
    </w:p>
    <w:p w14:paraId="6340A7DF" w14:textId="6C6DC1EC" w:rsidR="00641460" w:rsidRDefault="00641460" w:rsidP="00641460">
      <w:pPr>
        <w:spacing w:after="120"/>
        <w:ind w:left="1418" w:hanging="1418"/>
        <w:rPr>
          <w:b/>
          <w:bCs/>
        </w:rPr>
      </w:pPr>
      <w:r>
        <w:rPr>
          <w:b/>
          <w:bCs/>
        </w:rPr>
        <w:t xml:space="preserve">Proposal </w:t>
      </w:r>
      <w:r w:rsidR="005950C9">
        <w:rPr>
          <w:b/>
          <w:bCs/>
        </w:rPr>
        <w:t>4</w:t>
      </w:r>
      <w:r w:rsidRPr="00DF1B01">
        <w:rPr>
          <w:b/>
          <w:bCs/>
        </w:rPr>
        <w:t>:</w:t>
      </w:r>
      <w:r w:rsidRPr="00DF1B01">
        <w:rPr>
          <w:b/>
          <w:bCs/>
        </w:rPr>
        <w:tab/>
      </w:r>
      <w:r>
        <w:rPr>
          <w:b/>
          <w:bCs/>
        </w:rPr>
        <w:t xml:space="preserve">IBM requirements shall be defined per band for inter-band UL CA with different frequency group, and power splitting should be considered when deriving </w:t>
      </w:r>
      <w:r w:rsidR="007F6D42">
        <w:rPr>
          <w:b/>
          <w:bCs/>
        </w:rPr>
        <w:t>requirements</w:t>
      </w:r>
      <w:r>
        <w:rPr>
          <w:b/>
          <w:bCs/>
        </w:rPr>
        <w:t>.</w:t>
      </w:r>
    </w:p>
    <w:p w14:paraId="3764CAFA" w14:textId="761D5D35" w:rsidR="00235EE7" w:rsidRDefault="00235EE7" w:rsidP="00235EE7">
      <w:pPr>
        <w:pStyle w:val="1"/>
      </w:pPr>
      <w:r>
        <w:t xml:space="preserve">3. </w:t>
      </w:r>
      <w:r>
        <w:tab/>
        <w:t>Conclusion</w:t>
      </w:r>
    </w:p>
    <w:p w14:paraId="0D84BFB3" w14:textId="77777777" w:rsidR="007F6D42" w:rsidRDefault="007F6D42" w:rsidP="007F6D42">
      <w:pPr>
        <w:spacing w:after="120"/>
        <w:ind w:left="1418" w:hanging="1418"/>
        <w:rPr>
          <w:b/>
          <w:bCs/>
        </w:rPr>
      </w:pPr>
      <w:r>
        <w:rPr>
          <w:b/>
          <w:bCs/>
        </w:rPr>
        <w:t>Observation 1</w:t>
      </w:r>
      <w:r w:rsidRPr="00DF1B01">
        <w:rPr>
          <w:b/>
          <w:bCs/>
        </w:rPr>
        <w:t>:</w:t>
      </w:r>
      <w:r w:rsidRPr="00DF1B01">
        <w:rPr>
          <w:b/>
          <w:bCs/>
        </w:rPr>
        <w:tab/>
      </w:r>
      <w:r>
        <w:rPr>
          <w:b/>
          <w:bCs/>
        </w:rPr>
        <w:t>for a particular CA configuration, the same CBM/IBM attributes apply for both DL CA and UL CA as long as UL CA is supported</w:t>
      </w:r>
    </w:p>
    <w:p w14:paraId="4ECAE1C0" w14:textId="77777777" w:rsidR="007F6D42" w:rsidRDefault="007F6D42" w:rsidP="007F6D42">
      <w:pPr>
        <w:spacing w:after="120"/>
        <w:ind w:left="1418" w:hanging="1418"/>
        <w:rPr>
          <w:b/>
          <w:bCs/>
        </w:rPr>
      </w:pPr>
      <w:r>
        <w:rPr>
          <w:b/>
          <w:bCs/>
        </w:rPr>
        <w:t>Observation 2</w:t>
      </w:r>
      <w:r w:rsidRPr="00DF1B01">
        <w:rPr>
          <w:b/>
          <w:bCs/>
        </w:rPr>
        <w:t>:</w:t>
      </w:r>
      <w:r w:rsidRPr="00DF1B01">
        <w:rPr>
          <w:b/>
          <w:bCs/>
        </w:rPr>
        <w:tab/>
      </w:r>
      <w:r>
        <w:rPr>
          <w:b/>
          <w:bCs/>
        </w:rPr>
        <w:t>CBM is not applicable for CA configurations between different freq. groups, but only applicable within same freq. group.</w:t>
      </w:r>
    </w:p>
    <w:p w14:paraId="2A91A68C" w14:textId="77777777" w:rsidR="007F6D42" w:rsidRDefault="007F6D42" w:rsidP="007F6D42">
      <w:pPr>
        <w:spacing w:after="120"/>
        <w:ind w:left="1418" w:hanging="1418"/>
        <w:rPr>
          <w:b/>
          <w:bCs/>
        </w:rPr>
      </w:pPr>
      <w:r>
        <w:rPr>
          <w:b/>
          <w:bCs/>
        </w:rPr>
        <w:t>Observation 3</w:t>
      </w:r>
      <w:r w:rsidRPr="00DF1B01">
        <w:rPr>
          <w:b/>
          <w:bCs/>
        </w:rPr>
        <w:t>:</w:t>
      </w:r>
      <w:r w:rsidRPr="00DF1B01">
        <w:rPr>
          <w:b/>
          <w:bCs/>
        </w:rPr>
        <w:tab/>
      </w:r>
      <w:r>
        <w:rPr>
          <w:b/>
          <w:bCs/>
        </w:rPr>
        <w:t>IBM is not only applicable for CA configurations between different freq. groups, but also applicable within same freq. group.</w:t>
      </w:r>
    </w:p>
    <w:p w14:paraId="48955C99" w14:textId="77777777" w:rsidR="007F6D42" w:rsidRDefault="007F6D42" w:rsidP="007F6D42">
      <w:pPr>
        <w:spacing w:after="120"/>
        <w:ind w:left="1418" w:hanging="1418"/>
        <w:rPr>
          <w:b/>
          <w:bCs/>
        </w:rPr>
      </w:pPr>
      <w:r>
        <w:rPr>
          <w:b/>
          <w:bCs/>
        </w:rPr>
        <w:t>Proposal 1</w:t>
      </w:r>
      <w:r w:rsidRPr="00DF1B01">
        <w:rPr>
          <w:b/>
          <w:bCs/>
        </w:rPr>
        <w:t>:</w:t>
      </w:r>
      <w:r w:rsidRPr="00DF1B01">
        <w:rPr>
          <w:b/>
          <w:bCs/>
        </w:rPr>
        <w:tab/>
      </w:r>
      <w:r w:rsidRPr="005F1B4B">
        <w:rPr>
          <w:b/>
          <w:bCs/>
        </w:rPr>
        <w:t>IBM is applicable for all CA configurations while CBM is only applicable for CA configurations with same freq. group</w:t>
      </w:r>
      <w:r>
        <w:rPr>
          <w:b/>
          <w:bCs/>
        </w:rPr>
        <w:t xml:space="preserve">. UE can report either IBM or CBM depending on UE capability for </w:t>
      </w:r>
      <w:r w:rsidRPr="005F1B4B">
        <w:rPr>
          <w:b/>
          <w:bCs/>
        </w:rPr>
        <w:t>CA configurations with same freq. group</w:t>
      </w:r>
      <w:r>
        <w:rPr>
          <w:b/>
          <w:bCs/>
        </w:rPr>
        <w:t>.</w:t>
      </w:r>
    </w:p>
    <w:p w14:paraId="1195DA4D" w14:textId="77777777" w:rsidR="007F6D42" w:rsidRDefault="007F6D42" w:rsidP="007F6D42">
      <w:pPr>
        <w:spacing w:after="120"/>
        <w:ind w:left="1418" w:hanging="1418"/>
        <w:rPr>
          <w:b/>
          <w:bCs/>
        </w:rPr>
      </w:pPr>
      <w:r>
        <w:rPr>
          <w:b/>
          <w:bCs/>
        </w:rPr>
        <w:t>Proposal 2</w:t>
      </w:r>
      <w:r w:rsidRPr="00DF1B01">
        <w:rPr>
          <w:b/>
          <w:bCs/>
        </w:rPr>
        <w:t>:</w:t>
      </w:r>
      <w:r w:rsidRPr="00DF1B01">
        <w:rPr>
          <w:b/>
          <w:bCs/>
        </w:rPr>
        <w:tab/>
      </w:r>
      <w:r w:rsidRPr="00E030B8">
        <w:rPr>
          <w:b/>
          <w:bCs/>
        </w:rPr>
        <w:t>For CBM band pairs, no spherical coverage requirement will be defined</w:t>
      </w:r>
      <w:r>
        <w:rPr>
          <w:b/>
          <w:bCs/>
        </w:rPr>
        <w:t>.</w:t>
      </w:r>
    </w:p>
    <w:p w14:paraId="38BB0108" w14:textId="64447527" w:rsidR="007F6D42" w:rsidRDefault="007F6D42" w:rsidP="007F6D42">
      <w:pPr>
        <w:spacing w:after="120"/>
        <w:ind w:left="1418" w:hanging="1418"/>
        <w:rPr>
          <w:bCs/>
          <w:lang w:eastAsia="zh-CN"/>
        </w:rPr>
      </w:pPr>
      <w:r>
        <w:rPr>
          <w:b/>
          <w:bCs/>
        </w:rPr>
        <w:t>Proposal 3</w:t>
      </w:r>
      <w:r w:rsidRPr="00DF1B01">
        <w:rPr>
          <w:b/>
          <w:bCs/>
        </w:rPr>
        <w:t>:</w:t>
      </w:r>
      <w:r w:rsidRPr="00DF1B01">
        <w:rPr>
          <w:b/>
          <w:bCs/>
        </w:rPr>
        <w:tab/>
      </w:r>
      <w:r w:rsidRPr="00E030B8">
        <w:rPr>
          <w:b/>
          <w:bCs/>
        </w:rPr>
        <w:t>For</w:t>
      </w:r>
      <w:r>
        <w:rPr>
          <w:b/>
          <w:bCs/>
        </w:rPr>
        <w:t xml:space="preserve"> forward compatibility, the “frequency group” term shall not be defined in specification.</w:t>
      </w:r>
      <w:r>
        <w:rPr>
          <w:bCs/>
          <w:lang w:eastAsia="zh-CN"/>
        </w:rPr>
        <w:tab/>
      </w:r>
    </w:p>
    <w:p w14:paraId="7CD194D5" w14:textId="77777777" w:rsidR="007F6D42" w:rsidRDefault="007F6D42" w:rsidP="007F6D42">
      <w:pPr>
        <w:spacing w:after="120"/>
        <w:ind w:left="1418" w:hanging="1418"/>
        <w:rPr>
          <w:b/>
          <w:bCs/>
        </w:rPr>
      </w:pPr>
      <w:r>
        <w:rPr>
          <w:b/>
          <w:bCs/>
        </w:rPr>
        <w:t>Observation 4</w:t>
      </w:r>
      <w:r w:rsidRPr="00DF1B01">
        <w:rPr>
          <w:b/>
          <w:bCs/>
        </w:rPr>
        <w:t>:</w:t>
      </w:r>
      <w:r w:rsidRPr="00DF1B01">
        <w:rPr>
          <w:b/>
          <w:bCs/>
        </w:rPr>
        <w:tab/>
      </w:r>
      <w:r>
        <w:rPr>
          <w:b/>
          <w:bCs/>
        </w:rPr>
        <w:t>requirements for FR2 inter-band UL CA based on IBM are directional and peak EIRP of different component carriers could not be summed up</w:t>
      </w:r>
    </w:p>
    <w:p w14:paraId="490B7CC6" w14:textId="77777777" w:rsidR="007F6D42" w:rsidRDefault="007F6D42" w:rsidP="007F6D42">
      <w:pPr>
        <w:spacing w:after="120"/>
        <w:ind w:left="1418" w:hanging="1418"/>
        <w:rPr>
          <w:b/>
          <w:bCs/>
        </w:rPr>
      </w:pPr>
      <w:r>
        <w:rPr>
          <w:b/>
          <w:bCs/>
        </w:rPr>
        <w:t>Proposal 4</w:t>
      </w:r>
      <w:r w:rsidRPr="00DF1B01">
        <w:rPr>
          <w:b/>
          <w:bCs/>
        </w:rPr>
        <w:t>:</w:t>
      </w:r>
      <w:r w:rsidRPr="00DF1B01">
        <w:rPr>
          <w:b/>
          <w:bCs/>
        </w:rPr>
        <w:tab/>
      </w:r>
      <w:r>
        <w:rPr>
          <w:b/>
          <w:bCs/>
        </w:rPr>
        <w:t>IBM requirements shall be defined per band for inter-band UL CA with different frequency group, and power splitting should be considered when deriving requirements.</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428E75F9" w14:textId="3B8F5930" w:rsidR="009209E5" w:rsidRDefault="006A4B59" w:rsidP="00960AB9">
      <w:pPr>
        <w:pStyle w:val="a8"/>
        <w:numPr>
          <w:ilvl w:val="0"/>
          <w:numId w:val="26"/>
        </w:numPr>
        <w:rPr>
          <w:lang w:val="en-US"/>
        </w:rPr>
      </w:pPr>
      <w:r>
        <w:rPr>
          <w:rFonts w:hint="eastAsia"/>
          <w:lang w:val="en-US" w:eastAsia="zh-CN"/>
        </w:rPr>
        <w:t>R</w:t>
      </w:r>
      <w:r w:rsidR="00960AB9">
        <w:rPr>
          <w:lang w:val="en-US" w:eastAsia="zh-CN"/>
        </w:rPr>
        <w:t>P-202107</w:t>
      </w:r>
      <w:r>
        <w:rPr>
          <w:lang w:val="en-US" w:eastAsia="zh-CN"/>
        </w:rPr>
        <w:t xml:space="preserve">    “</w:t>
      </w:r>
      <w:r w:rsidR="00960AB9" w:rsidRPr="00960AB9">
        <w:rPr>
          <w:lang w:val="en-US" w:eastAsia="zh-CN"/>
        </w:rPr>
        <w:t>New WID on NR RF Enhancements for FR2</w:t>
      </w:r>
      <w:r>
        <w:rPr>
          <w:lang w:val="en-US" w:eastAsia="zh-CN"/>
        </w:rPr>
        <w:t xml:space="preserve">”, </w:t>
      </w:r>
      <w:r w:rsidR="00960AB9" w:rsidRPr="00960AB9">
        <w:rPr>
          <w:lang w:val="en-US" w:eastAsia="zh-CN"/>
        </w:rPr>
        <w:t>Nokia, Nokia Shanghai Bell</w:t>
      </w:r>
    </w:p>
    <w:p w14:paraId="40BBF549" w14:textId="662B0B70" w:rsidR="00F461DD" w:rsidRDefault="00F461DD" w:rsidP="00DF2FE5">
      <w:pPr>
        <w:pStyle w:val="af3"/>
        <w:numPr>
          <w:ilvl w:val="0"/>
          <w:numId w:val="26"/>
        </w:numPr>
        <w:ind w:firstLineChars="0"/>
        <w:rPr>
          <w:lang w:val="en-US"/>
        </w:rPr>
      </w:pPr>
      <w:r>
        <w:rPr>
          <w:lang w:val="en-US"/>
        </w:rPr>
        <w:t>R4-20</w:t>
      </w:r>
      <w:r w:rsidR="00DF2FE5">
        <w:rPr>
          <w:lang w:val="en-US"/>
        </w:rPr>
        <w:t>11857</w:t>
      </w:r>
      <w:r w:rsidRPr="00F461DD">
        <w:rPr>
          <w:lang w:val="en-US"/>
        </w:rPr>
        <w:t xml:space="preserve"> </w:t>
      </w:r>
      <w:r w:rsidRPr="00F461DD">
        <w:rPr>
          <w:lang w:val="en-US"/>
        </w:rPr>
        <w:tab/>
      </w:r>
      <w:r>
        <w:rPr>
          <w:lang w:val="en-US"/>
        </w:rPr>
        <w:t xml:space="preserve">  </w:t>
      </w:r>
      <w:r w:rsidRPr="00F461DD">
        <w:rPr>
          <w:lang w:val="en-US"/>
        </w:rPr>
        <w:t>“</w:t>
      </w:r>
      <w:r w:rsidR="00DF2FE5" w:rsidRPr="00DF2FE5">
        <w:rPr>
          <w:lang w:val="en-US"/>
        </w:rPr>
        <w:t>Email discussion summary for [96e][117] NR_RF_FR2_req_enh_Part_3</w:t>
      </w:r>
      <w:r w:rsidRPr="00F461DD">
        <w:rPr>
          <w:lang w:val="en-US"/>
        </w:rPr>
        <w:t xml:space="preserve">”, </w:t>
      </w:r>
      <w:r w:rsidR="00DF2FE5">
        <w:rPr>
          <w:lang w:val="en-US"/>
        </w:rPr>
        <w:t>Moderator(</w:t>
      </w:r>
      <w:r w:rsidRPr="00F461DD">
        <w:rPr>
          <w:lang w:val="en-US"/>
        </w:rPr>
        <w:t>Qualcomm</w:t>
      </w:r>
      <w:r w:rsidR="00DF2FE5">
        <w:rPr>
          <w:lang w:val="en-US"/>
        </w:rPr>
        <w:t>)</w:t>
      </w:r>
    </w:p>
    <w:p w14:paraId="1E824E0D" w14:textId="77777777" w:rsidR="00E33B8C" w:rsidRPr="00F461DD" w:rsidRDefault="00E33B8C" w:rsidP="00B4352E">
      <w:pPr>
        <w:pStyle w:val="a8"/>
        <w:rPr>
          <w:lang w:val="en-US"/>
        </w:rPr>
      </w:pPr>
    </w:p>
    <w:sectPr w:rsidR="00E33B8C" w:rsidRPr="00F461D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6F59B1" w14:textId="77777777" w:rsidR="00264E07" w:rsidRDefault="00264E07" w:rsidP="00707BAC">
      <w:pPr>
        <w:spacing w:after="0"/>
      </w:pPr>
      <w:r>
        <w:separator/>
      </w:r>
    </w:p>
  </w:endnote>
  <w:endnote w:type="continuationSeparator" w:id="0">
    <w:p w14:paraId="4A6AE23B" w14:textId="77777777" w:rsidR="00264E07" w:rsidRDefault="00264E07"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D15BC4" w14:textId="77777777" w:rsidR="00264E07" w:rsidRDefault="00264E07" w:rsidP="00707BAC">
      <w:pPr>
        <w:spacing w:after="0"/>
      </w:pPr>
      <w:r>
        <w:separator/>
      </w:r>
    </w:p>
  </w:footnote>
  <w:footnote w:type="continuationSeparator" w:id="0">
    <w:p w14:paraId="4BDE740B" w14:textId="77777777" w:rsidR="00264E07" w:rsidRDefault="00264E07"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88156F"/>
    <w:multiLevelType w:val="hybridMultilevel"/>
    <w:tmpl w:val="E62019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9D7C3F"/>
    <w:multiLevelType w:val="hybridMultilevel"/>
    <w:tmpl w:val="9FF64B74"/>
    <w:lvl w:ilvl="0" w:tplc="FFFFFFFF">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062BE9"/>
    <w:multiLevelType w:val="hybridMultilevel"/>
    <w:tmpl w:val="83F26A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9EB3828"/>
    <w:multiLevelType w:val="hybridMultilevel"/>
    <w:tmpl w:val="4EB29300"/>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48FA238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B9C7F75"/>
    <w:multiLevelType w:val="hybridMultilevel"/>
    <w:tmpl w:val="0F9417AC"/>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066BA9"/>
    <w:multiLevelType w:val="hybridMultilevel"/>
    <w:tmpl w:val="87B26300"/>
    <w:lvl w:ilvl="0" w:tplc="DD00D7C4">
      <w:start w:val="1"/>
      <w:numFmt w:val="bullet"/>
      <w:lvlText w:val=""/>
      <w:lvlJc w:val="left"/>
      <w:pPr>
        <w:ind w:left="420" w:hanging="420"/>
      </w:pPr>
      <w:rPr>
        <w:rFonts w:ascii="Symbol" w:hAnsi="Symbol" w:hint="default"/>
      </w:rPr>
    </w:lvl>
    <w:lvl w:ilvl="1" w:tplc="9CB65A32">
      <w:start w:val="2"/>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E21ABF"/>
    <w:multiLevelType w:val="hybridMultilevel"/>
    <w:tmpl w:val="8EC47ADA"/>
    <w:lvl w:ilvl="0" w:tplc="6F56C6B4">
      <w:start w:val="1"/>
      <w:numFmt w:val="bullet"/>
      <w:lvlText w:val="•"/>
      <w:lvlJc w:val="left"/>
      <w:pPr>
        <w:tabs>
          <w:tab w:val="num" w:pos="720"/>
        </w:tabs>
        <w:ind w:left="720" w:hanging="360"/>
      </w:pPr>
      <w:rPr>
        <w:rFonts w:ascii="Arial" w:hAnsi="Arial" w:hint="default"/>
      </w:rPr>
    </w:lvl>
    <w:lvl w:ilvl="1" w:tplc="64EC2C6E">
      <w:start w:val="56"/>
      <w:numFmt w:val="bullet"/>
      <w:lvlText w:val="•"/>
      <w:lvlJc w:val="left"/>
      <w:pPr>
        <w:tabs>
          <w:tab w:val="num" w:pos="1440"/>
        </w:tabs>
        <w:ind w:left="1440" w:hanging="360"/>
      </w:pPr>
      <w:rPr>
        <w:rFonts w:ascii="Arial" w:hAnsi="Arial" w:hint="default"/>
      </w:rPr>
    </w:lvl>
    <w:lvl w:ilvl="2" w:tplc="E16CA62C">
      <w:start w:val="56"/>
      <w:numFmt w:val="bullet"/>
      <w:lvlText w:val="•"/>
      <w:lvlJc w:val="left"/>
      <w:pPr>
        <w:tabs>
          <w:tab w:val="num" w:pos="2160"/>
        </w:tabs>
        <w:ind w:left="2160" w:hanging="360"/>
      </w:pPr>
      <w:rPr>
        <w:rFonts w:ascii="Arial" w:hAnsi="Arial" w:hint="default"/>
      </w:rPr>
    </w:lvl>
    <w:lvl w:ilvl="3" w:tplc="6EDA16FE" w:tentative="1">
      <w:start w:val="1"/>
      <w:numFmt w:val="bullet"/>
      <w:lvlText w:val="•"/>
      <w:lvlJc w:val="left"/>
      <w:pPr>
        <w:tabs>
          <w:tab w:val="num" w:pos="2880"/>
        </w:tabs>
        <w:ind w:left="2880" w:hanging="360"/>
      </w:pPr>
      <w:rPr>
        <w:rFonts w:ascii="Arial" w:hAnsi="Arial" w:hint="default"/>
      </w:rPr>
    </w:lvl>
    <w:lvl w:ilvl="4" w:tplc="7CCE54FE" w:tentative="1">
      <w:start w:val="1"/>
      <w:numFmt w:val="bullet"/>
      <w:lvlText w:val="•"/>
      <w:lvlJc w:val="left"/>
      <w:pPr>
        <w:tabs>
          <w:tab w:val="num" w:pos="3600"/>
        </w:tabs>
        <w:ind w:left="3600" w:hanging="360"/>
      </w:pPr>
      <w:rPr>
        <w:rFonts w:ascii="Arial" w:hAnsi="Arial" w:hint="default"/>
      </w:rPr>
    </w:lvl>
    <w:lvl w:ilvl="5" w:tplc="1D0CB748" w:tentative="1">
      <w:start w:val="1"/>
      <w:numFmt w:val="bullet"/>
      <w:lvlText w:val="•"/>
      <w:lvlJc w:val="left"/>
      <w:pPr>
        <w:tabs>
          <w:tab w:val="num" w:pos="4320"/>
        </w:tabs>
        <w:ind w:left="4320" w:hanging="360"/>
      </w:pPr>
      <w:rPr>
        <w:rFonts w:ascii="Arial" w:hAnsi="Arial" w:hint="default"/>
      </w:rPr>
    </w:lvl>
    <w:lvl w:ilvl="6" w:tplc="E63E594C" w:tentative="1">
      <w:start w:val="1"/>
      <w:numFmt w:val="bullet"/>
      <w:lvlText w:val="•"/>
      <w:lvlJc w:val="left"/>
      <w:pPr>
        <w:tabs>
          <w:tab w:val="num" w:pos="5040"/>
        </w:tabs>
        <w:ind w:left="5040" w:hanging="360"/>
      </w:pPr>
      <w:rPr>
        <w:rFonts w:ascii="Arial" w:hAnsi="Arial" w:hint="default"/>
      </w:rPr>
    </w:lvl>
    <w:lvl w:ilvl="7" w:tplc="472CF400" w:tentative="1">
      <w:start w:val="1"/>
      <w:numFmt w:val="bullet"/>
      <w:lvlText w:val="•"/>
      <w:lvlJc w:val="left"/>
      <w:pPr>
        <w:tabs>
          <w:tab w:val="num" w:pos="5760"/>
        </w:tabs>
        <w:ind w:left="5760" w:hanging="360"/>
      </w:pPr>
      <w:rPr>
        <w:rFonts w:ascii="Arial" w:hAnsi="Arial" w:hint="default"/>
      </w:rPr>
    </w:lvl>
    <w:lvl w:ilvl="8" w:tplc="5696174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7040E30"/>
    <w:multiLevelType w:val="hybridMultilevel"/>
    <w:tmpl w:val="192AA390"/>
    <w:lvl w:ilvl="0" w:tplc="56F8EB60">
      <w:start w:val="1"/>
      <w:numFmt w:val="bullet"/>
      <w:lvlText w:val="•"/>
      <w:lvlJc w:val="left"/>
      <w:pPr>
        <w:tabs>
          <w:tab w:val="num" w:pos="720"/>
        </w:tabs>
        <w:ind w:left="720" w:hanging="360"/>
      </w:pPr>
      <w:rPr>
        <w:rFonts w:ascii="Arial" w:hAnsi="Arial" w:hint="default"/>
      </w:rPr>
    </w:lvl>
    <w:lvl w:ilvl="1" w:tplc="619ADDA6">
      <w:start w:val="1"/>
      <w:numFmt w:val="bullet"/>
      <w:lvlText w:val="•"/>
      <w:lvlJc w:val="left"/>
      <w:pPr>
        <w:tabs>
          <w:tab w:val="num" w:pos="1440"/>
        </w:tabs>
        <w:ind w:left="1440" w:hanging="360"/>
      </w:pPr>
      <w:rPr>
        <w:rFonts w:ascii="Arial" w:hAnsi="Arial" w:hint="default"/>
      </w:rPr>
    </w:lvl>
    <w:lvl w:ilvl="2" w:tplc="EC10BAEA">
      <w:start w:val="1"/>
      <w:numFmt w:val="bullet"/>
      <w:lvlText w:val="•"/>
      <w:lvlJc w:val="left"/>
      <w:pPr>
        <w:tabs>
          <w:tab w:val="num" w:pos="2160"/>
        </w:tabs>
        <w:ind w:left="2160" w:hanging="360"/>
      </w:pPr>
      <w:rPr>
        <w:rFonts w:ascii="Arial" w:hAnsi="Arial" w:hint="default"/>
      </w:rPr>
    </w:lvl>
    <w:lvl w:ilvl="3" w:tplc="5AE209CE" w:tentative="1">
      <w:start w:val="1"/>
      <w:numFmt w:val="bullet"/>
      <w:lvlText w:val="•"/>
      <w:lvlJc w:val="left"/>
      <w:pPr>
        <w:tabs>
          <w:tab w:val="num" w:pos="2880"/>
        </w:tabs>
        <w:ind w:left="2880" w:hanging="360"/>
      </w:pPr>
      <w:rPr>
        <w:rFonts w:ascii="Arial" w:hAnsi="Arial" w:hint="default"/>
      </w:rPr>
    </w:lvl>
    <w:lvl w:ilvl="4" w:tplc="6060A398" w:tentative="1">
      <w:start w:val="1"/>
      <w:numFmt w:val="bullet"/>
      <w:lvlText w:val="•"/>
      <w:lvlJc w:val="left"/>
      <w:pPr>
        <w:tabs>
          <w:tab w:val="num" w:pos="3600"/>
        </w:tabs>
        <w:ind w:left="3600" w:hanging="360"/>
      </w:pPr>
      <w:rPr>
        <w:rFonts w:ascii="Arial" w:hAnsi="Arial" w:hint="default"/>
      </w:rPr>
    </w:lvl>
    <w:lvl w:ilvl="5" w:tplc="68CA906E" w:tentative="1">
      <w:start w:val="1"/>
      <w:numFmt w:val="bullet"/>
      <w:lvlText w:val="•"/>
      <w:lvlJc w:val="left"/>
      <w:pPr>
        <w:tabs>
          <w:tab w:val="num" w:pos="4320"/>
        </w:tabs>
        <w:ind w:left="4320" w:hanging="360"/>
      </w:pPr>
      <w:rPr>
        <w:rFonts w:ascii="Arial" w:hAnsi="Arial" w:hint="default"/>
      </w:rPr>
    </w:lvl>
    <w:lvl w:ilvl="6" w:tplc="563E0C96" w:tentative="1">
      <w:start w:val="1"/>
      <w:numFmt w:val="bullet"/>
      <w:lvlText w:val="•"/>
      <w:lvlJc w:val="left"/>
      <w:pPr>
        <w:tabs>
          <w:tab w:val="num" w:pos="5040"/>
        </w:tabs>
        <w:ind w:left="5040" w:hanging="360"/>
      </w:pPr>
      <w:rPr>
        <w:rFonts w:ascii="Arial" w:hAnsi="Arial" w:hint="default"/>
      </w:rPr>
    </w:lvl>
    <w:lvl w:ilvl="7" w:tplc="5A0A9108" w:tentative="1">
      <w:start w:val="1"/>
      <w:numFmt w:val="bullet"/>
      <w:lvlText w:val="•"/>
      <w:lvlJc w:val="left"/>
      <w:pPr>
        <w:tabs>
          <w:tab w:val="num" w:pos="5760"/>
        </w:tabs>
        <w:ind w:left="5760" w:hanging="360"/>
      </w:pPr>
      <w:rPr>
        <w:rFonts w:ascii="Arial" w:hAnsi="Arial" w:hint="default"/>
      </w:rPr>
    </w:lvl>
    <w:lvl w:ilvl="8" w:tplc="80D0193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5A194D"/>
    <w:multiLevelType w:val="hybridMultilevel"/>
    <w:tmpl w:val="CBC835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8B77D2"/>
    <w:multiLevelType w:val="hybridMultilevel"/>
    <w:tmpl w:val="196E049E"/>
    <w:lvl w:ilvl="0" w:tplc="48FA238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7652736"/>
    <w:multiLevelType w:val="hybridMultilevel"/>
    <w:tmpl w:val="082E1B48"/>
    <w:lvl w:ilvl="0" w:tplc="DC7C0D4C">
      <w:start w:val="1"/>
      <w:numFmt w:val="bullet"/>
      <w:lvlText w:val="•"/>
      <w:lvlJc w:val="left"/>
      <w:pPr>
        <w:tabs>
          <w:tab w:val="num" w:pos="720"/>
        </w:tabs>
        <w:ind w:left="720" w:hanging="360"/>
      </w:pPr>
      <w:rPr>
        <w:rFonts w:ascii="Arial" w:hAnsi="Arial" w:hint="default"/>
      </w:rPr>
    </w:lvl>
    <w:lvl w:ilvl="1" w:tplc="6ADCF49E" w:tentative="1">
      <w:start w:val="1"/>
      <w:numFmt w:val="bullet"/>
      <w:lvlText w:val="•"/>
      <w:lvlJc w:val="left"/>
      <w:pPr>
        <w:tabs>
          <w:tab w:val="num" w:pos="1440"/>
        </w:tabs>
        <w:ind w:left="1440" w:hanging="360"/>
      </w:pPr>
      <w:rPr>
        <w:rFonts w:ascii="Arial" w:hAnsi="Arial" w:hint="default"/>
      </w:rPr>
    </w:lvl>
    <w:lvl w:ilvl="2" w:tplc="FBF6D29E" w:tentative="1">
      <w:start w:val="1"/>
      <w:numFmt w:val="bullet"/>
      <w:lvlText w:val="•"/>
      <w:lvlJc w:val="left"/>
      <w:pPr>
        <w:tabs>
          <w:tab w:val="num" w:pos="2160"/>
        </w:tabs>
        <w:ind w:left="2160" w:hanging="360"/>
      </w:pPr>
      <w:rPr>
        <w:rFonts w:ascii="Arial" w:hAnsi="Arial" w:hint="default"/>
      </w:rPr>
    </w:lvl>
    <w:lvl w:ilvl="3" w:tplc="8A30D188" w:tentative="1">
      <w:start w:val="1"/>
      <w:numFmt w:val="bullet"/>
      <w:lvlText w:val="•"/>
      <w:lvlJc w:val="left"/>
      <w:pPr>
        <w:tabs>
          <w:tab w:val="num" w:pos="2880"/>
        </w:tabs>
        <w:ind w:left="2880" w:hanging="360"/>
      </w:pPr>
      <w:rPr>
        <w:rFonts w:ascii="Arial" w:hAnsi="Arial" w:hint="default"/>
      </w:rPr>
    </w:lvl>
    <w:lvl w:ilvl="4" w:tplc="D3E486E8" w:tentative="1">
      <w:start w:val="1"/>
      <w:numFmt w:val="bullet"/>
      <w:lvlText w:val="•"/>
      <w:lvlJc w:val="left"/>
      <w:pPr>
        <w:tabs>
          <w:tab w:val="num" w:pos="3600"/>
        </w:tabs>
        <w:ind w:left="3600" w:hanging="360"/>
      </w:pPr>
      <w:rPr>
        <w:rFonts w:ascii="Arial" w:hAnsi="Arial" w:hint="default"/>
      </w:rPr>
    </w:lvl>
    <w:lvl w:ilvl="5" w:tplc="EECEDB9E" w:tentative="1">
      <w:start w:val="1"/>
      <w:numFmt w:val="bullet"/>
      <w:lvlText w:val="•"/>
      <w:lvlJc w:val="left"/>
      <w:pPr>
        <w:tabs>
          <w:tab w:val="num" w:pos="4320"/>
        </w:tabs>
        <w:ind w:left="4320" w:hanging="360"/>
      </w:pPr>
      <w:rPr>
        <w:rFonts w:ascii="Arial" w:hAnsi="Arial" w:hint="default"/>
      </w:rPr>
    </w:lvl>
    <w:lvl w:ilvl="6" w:tplc="DFE60AA8" w:tentative="1">
      <w:start w:val="1"/>
      <w:numFmt w:val="bullet"/>
      <w:lvlText w:val="•"/>
      <w:lvlJc w:val="left"/>
      <w:pPr>
        <w:tabs>
          <w:tab w:val="num" w:pos="5040"/>
        </w:tabs>
        <w:ind w:left="5040" w:hanging="360"/>
      </w:pPr>
      <w:rPr>
        <w:rFonts w:ascii="Arial" w:hAnsi="Arial" w:hint="default"/>
      </w:rPr>
    </w:lvl>
    <w:lvl w:ilvl="7" w:tplc="5004030A" w:tentative="1">
      <w:start w:val="1"/>
      <w:numFmt w:val="bullet"/>
      <w:lvlText w:val="•"/>
      <w:lvlJc w:val="left"/>
      <w:pPr>
        <w:tabs>
          <w:tab w:val="num" w:pos="5760"/>
        </w:tabs>
        <w:ind w:left="5760" w:hanging="360"/>
      </w:pPr>
      <w:rPr>
        <w:rFonts w:ascii="Arial" w:hAnsi="Arial" w:hint="default"/>
      </w:rPr>
    </w:lvl>
    <w:lvl w:ilvl="8" w:tplc="FE8E1BA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4"/>
  </w:num>
  <w:num w:numId="9">
    <w:abstractNumId w:val="17"/>
  </w:num>
  <w:num w:numId="10">
    <w:abstractNumId w:val="15"/>
  </w:num>
  <w:num w:numId="11">
    <w:abstractNumId w:val="13"/>
  </w:num>
  <w:num w:numId="12">
    <w:abstractNumId w:val="9"/>
  </w:num>
  <w:num w:numId="13">
    <w:abstractNumId w:val="22"/>
  </w:num>
  <w:num w:numId="14">
    <w:abstractNumId w:val="12"/>
  </w:num>
  <w:num w:numId="15">
    <w:abstractNumId w:val="8"/>
  </w:num>
  <w:num w:numId="16">
    <w:abstractNumId w:val="29"/>
  </w:num>
  <w:num w:numId="17">
    <w:abstractNumId w:val="14"/>
  </w:num>
  <w:num w:numId="18">
    <w:abstractNumId w:val="27"/>
  </w:num>
  <w:num w:numId="19">
    <w:abstractNumId w:val="10"/>
  </w:num>
  <w:num w:numId="20">
    <w:abstractNumId w:val="16"/>
  </w:num>
  <w:num w:numId="21">
    <w:abstractNumId w:val="26"/>
  </w:num>
  <w:num w:numId="22">
    <w:abstractNumId w:val="30"/>
  </w:num>
  <w:num w:numId="23">
    <w:abstractNumId w:val="21"/>
  </w:num>
  <w:num w:numId="24">
    <w:abstractNumId w:val="19"/>
  </w:num>
  <w:num w:numId="25">
    <w:abstractNumId w:val="18"/>
  </w:num>
  <w:num w:numId="26">
    <w:abstractNumId w:val="28"/>
  </w:num>
  <w:num w:numId="27">
    <w:abstractNumId w:val="7"/>
  </w:num>
  <w:num w:numId="28">
    <w:abstractNumId w:val="20"/>
  </w:num>
  <w:num w:numId="29">
    <w:abstractNumId w:val="23"/>
  </w:num>
  <w:num w:numId="30">
    <w:abstractNumId w:val="25"/>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1038D"/>
    <w:rsid w:val="00017524"/>
    <w:rsid w:val="00021CED"/>
    <w:rsid w:val="00022941"/>
    <w:rsid w:val="00022AC0"/>
    <w:rsid w:val="000235E9"/>
    <w:rsid w:val="000262B9"/>
    <w:rsid w:val="00031D75"/>
    <w:rsid w:val="00032669"/>
    <w:rsid w:val="00037A84"/>
    <w:rsid w:val="00037E40"/>
    <w:rsid w:val="0004455E"/>
    <w:rsid w:val="000454A9"/>
    <w:rsid w:val="0005251E"/>
    <w:rsid w:val="0006136D"/>
    <w:rsid w:val="00061E36"/>
    <w:rsid w:val="00062E39"/>
    <w:rsid w:val="00065FBC"/>
    <w:rsid w:val="00066825"/>
    <w:rsid w:val="000735D4"/>
    <w:rsid w:val="00077EB3"/>
    <w:rsid w:val="00085E46"/>
    <w:rsid w:val="000908D9"/>
    <w:rsid w:val="00092B0C"/>
    <w:rsid w:val="00097642"/>
    <w:rsid w:val="000A012E"/>
    <w:rsid w:val="000A355F"/>
    <w:rsid w:val="000A567D"/>
    <w:rsid w:val="000A643B"/>
    <w:rsid w:val="000A6859"/>
    <w:rsid w:val="000B0067"/>
    <w:rsid w:val="000B4F74"/>
    <w:rsid w:val="000B7218"/>
    <w:rsid w:val="000B7869"/>
    <w:rsid w:val="000C39B0"/>
    <w:rsid w:val="000C678D"/>
    <w:rsid w:val="000D1375"/>
    <w:rsid w:val="000D18EC"/>
    <w:rsid w:val="000D334B"/>
    <w:rsid w:val="000D58D3"/>
    <w:rsid w:val="000E0A10"/>
    <w:rsid w:val="000E26BD"/>
    <w:rsid w:val="000E4512"/>
    <w:rsid w:val="000E596C"/>
    <w:rsid w:val="000E7126"/>
    <w:rsid w:val="000E7763"/>
    <w:rsid w:val="000F4FB3"/>
    <w:rsid w:val="000F502F"/>
    <w:rsid w:val="000F519D"/>
    <w:rsid w:val="000F65D1"/>
    <w:rsid w:val="000F7B37"/>
    <w:rsid w:val="000F7ECB"/>
    <w:rsid w:val="00100B99"/>
    <w:rsid w:val="001015AF"/>
    <w:rsid w:val="00104902"/>
    <w:rsid w:val="0010618D"/>
    <w:rsid w:val="00110F74"/>
    <w:rsid w:val="00112950"/>
    <w:rsid w:val="00116429"/>
    <w:rsid w:val="00116811"/>
    <w:rsid w:val="001214AE"/>
    <w:rsid w:val="00122190"/>
    <w:rsid w:val="0012277A"/>
    <w:rsid w:val="0012444A"/>
    <w:rsid w:val="0012615B"/>
    <w:rsid w:val="00126E1A"/>
    <w:rsid w:val="00131AFF"/>
    <w:rsid w:val="00133395"/>
    <w:rsid w:val="001351EB"/>
    <w:rsid w:val="00135A74"/>
    <w:rsid w:val="0014069D"/>
    <w:rsid w:val="0014180B"/>
    <w:rsid w:val="00144F7C"/>
    <w:rsid w:val="00144FDD"/>
    <w:rsid w:val="001512D7"/>
    <w:rsid w:val="00156359"/>
    <w:rsid w:val="001573DA"/>
    <w:rsid w:val="0016151C"/>
    <w:rsid w:val="00161C73"/>
    <w:rsid w:val="00164965"/>
    <w:rsid w:val="00166E70"/>
    <w:rsid w:val="00171914"/>
    <w:rsid w:val="001735AE"/>
    <w:rsid w:val="00176BE7"/>
    <w:rsid w:val="00180BAA"/>
    <w:rsid w:val="001927C1"/>
    <w:rsid w:val="00194778"/>
    <w:rsid w:val="001965EF"/>
    <w:rsid w:val="00196AD3"/>
    <w:rsid w:val="001A09A7"/>
    <w:rsid w:val="001A3577"/>
    <w:rsid w:val="001A5E68"/>
    <w:rsid w:val="001A65EF"/>
    <w:rsid w:val="001A6E64"/>
    <w:rsid w:val="001B07BB"/>
    <w:rsid w:val="001B3183"/>
    <w:rsid w:val="001B515F"/>
    <w:rsid w:val="001B7369"/>
    <w:rsid w:val="001C055E"/>
    <w:rsid w:val="001C54B6"/>
    <w:rsid w:val="001C6513"/>
    <w:rsid w:val="001D2C8E"/>
    <w:rsid w:val="001D4399"/>
    <w:rsid w:val="001D69F3"/>
    <w:rsid w:val="001D747B"/>
    <w:rsid w:val="001E21C9"/>
    <w:rsid w:val="001E244E"/>
    <w:rsid w:val="001E3B48"/>
    <w:rsid w:val="001E4305"/>
    <w:rsid w:val="001E6D5E"/>
    <w:rsid w:val="001E7DE9"/>
    <w:rsid w:val="001F62BD"/>
    <w:rsid w:val="001F7D2F"/>
    <w:rsid w:val="00200596"/>
    <w:rsid w:val="00201520"/>
    <w:rsid w:val="00201FB4"/>
    <w:rsid w:val="00202E77"/>
    <w:rsid w:val="00203D36"/>
    <w:rsid w:val="0021098D"/>
    <w:rsid w:val="00213653"/>
    <w:rsid w:val="002141A0"/>
    <w:rsid w:val="00214B13"/>
    <w:rsid w:val="002151EE"/>
    <w:rsid w:val="00216428"/>
    <w:rsid w:val="002167A7"/>
    <w:rsid w:val="002175EE"/>
    <w:rsid w:val="002208D9"/>
    <w:rsid w:val="00222D56"/>
    <w:rsid w:val="00222D66"/>
    <w:rsid w:val="00222E28"/>
    <w:rsid w:val="002267B2"/>
    <w:rsid w:val="00235EE7"/>
    <w:rsid w:val="0023778F"/>
    <w:rsid w:val="002414AB"/>
    <w:rsid w:val="00241773"/>
    <w:rsid w:val="00244785"/>
    <w:rsid w:val="002476C8"/>
    <w:rsid w:val="00251CFA"/>
    <w:rsid w:val="00253CE9"/>
    <w:rsid w:val="002553F6"/>
    <w:rsid w:val="00256DDC"/>
    <w:rsid w:val="0026064B"/>
    <w:rsid w:val="002611B2"/>
    <w:rsid w:val="00262F34"/>
    <w:rsid w:val="00264E07"/>
    <w:rsid w:val="00266CCC"/>
    <w:rsid w:val="002702A8"/>
    <w:rsid w:val="002715F5"/>
    <w:rsid w:val="00271A13"/>
    <w:rsid w:val="00271A4B"/>
    <w:rsid w:val="00271E8B"/>
    <w:rsid w:val="00272536"/>
    <w:rsid w:val="00281315"/>
    <w:rsid w:val="00281EEF"/>
    <w:rsid w:val="002820E8"/>
    <w:rsid w:val="002927A0"/>
    <w:rsid w:val="00292875"/>
    <w:rsid w:val="00293D04"/>
    <w:rsid w:val="00293E95"/>
    <w:rsid w:val="002960BC"/>
    <w:rsid w:val="00296FE3"/>
    <w:rsid w:val="002A08FE"/>
    <w:rsid w:val="002A0EE7"/>
    <w:rsid w:val="002A1465"/>
    <w:rsid w:val="002A1534"/>
    <w:rsid w:val="002A1C01"/>
    <w:rsid w:val="002A35C0"/>
    <w:rsid w:val="002B09A1"/>
    <w:rsid w:val="002B2704"/>
    <w:rsid w:val="002B3F06"/>
    <w:rsid w:val="002B76BD"/>
    <w:rsid w:val="002C188C"/>
    <w:rsid w:val="002C4114"/>
    <w:rsid w:val="002C65B6"/>
    <w:rsid w:val="002C6F6F"/>
    <w:rsid w:val="002C7CB6"/>
    <w:rsid w:val="002D4CC7"/>
    <w:rsid w:val="002D4FBE"/>
    <w:rsid w:val="002D6A81"/>
    <w:rsid w:val="002D7345"/>
    <w:rsid w:val="002E00C3"/>
    <w:rsid w:val="002E1105"/>
    <w:rsid w:val="002E332E"/>
    <w:rsid w:val="002E7011"/>
    <w:rsid w:val="002F099C"/>
    <w:rsid w:val="002F1C8C"/>
    <w:rsid w:val="002F1E60"/>
    <w:rsid w:val="002F28ED"/>
    <w:rsid w:val="002F4B05"/>
    <w:rsid w:val="00300502"/>
    <w:rsid w:val="00302E72"/>
    <w:rsid w:val="003030FB"/>
    <w:rsid w:val="00306C18"/>
    <w:rsid w:val="0030770F"/>
    <w:rsid w:val="00314F38"/>
    <w:rsid w:val="003213CD"/>
    <w:rsid w:val="00324D06"/>
    <w:rsid w:val="00331FD7"/>
    <w:rsid w:val="00333C34"/>
    <w:rsid w:val="0034635A"/>
    <w:rsid w:val="003476B3"/>
    <w:rsid w:val="00350C9A"/>
    <w:rsid w:val="00351D53"/>
    <w:rsid w:val="0035781C"/>
    <w:rsid w:val="0036064E"/>
    <w:rsid w:val="00360EAB"/>
    <w:rsid w:val="00362184"/>
    <w:rsid w:val="003659AF"/>
    <w:rsid w:val="00365A0B"/>
    <w:rsid w:val="003665F7"/>
    <w:rsid w:val="00367DF1"/>
    <w:rsid w:val="003701E8"/>
    <w:rsid w:val="00372958"/>
    <w:rsid w:val="00375439"/>
    <w:rsid w:val="00375AA5"/>
    <w:rsid w:val="00376FE4"/>
    <w:rsid w:val="00387300"/>
    <w:rsid w:val="0038770D"/>
    <w:rsid w:val="00392B77"/>
    <w:rsid w:val="00396CB4"/>
    <w:rsid w:val="0039732A"/>
    <w:rsid w:val="003A1D5C"/>
    <w:rsid w:val="003A281C"/>
    <w:rsid w:val="003A43B2"/>
    <w:rsid w:val="003A4CD3"/>
    <w:rsid w:val="003B2D77"/>
    <w:rsid w:val="003B3C8C"/>
    <w:rsid w:val="003B3F6F"/>
    <w:rsid w:val="003B4BF2"/>
    <w:rsid w:val="003B6F17"/>
    <w:rsid w:val="003C3383"/>
    <w:rsid w:val="003C6E6F"/>
    <w:rsid w:val="003D15E3"/>
    <w:rsid w:val="003D1FB3"/>
    <w:rsid w:val="003D4428"/>
    <w:rsid w:val="003D570B"/>
    <w:rsid w:val="003D5A84"/>
    <w:rsid w:val="003E244A"/>
    <w:rsid w:val="003E361E"/>
    <w:rsid w:val="003E45A0"/>
    <w:rsid w:val="003E4CBC"/>
    <w:rsid w:val="003E722B"/>
    <w:rsid w:val="003F01CB"/>
    <w:rsid w:val="003F1C99"/>
    <w:rsid w:val="003F2104"/>
    <w:rsid w:val="003F30E0"/>
    <w:rsid w:val="003F6DA5"/>
    <w:rsid w:val="00401D41"/>
    <w:rsid w:val="0040441D"/>
    <w:rsid w:val="004062E5"/>
    <w:rsid w:val="00407CB8"/>
    <w:rsid w:val="004127B2"/>
    <w:rsid w:val="00413286"/>
    <w:rsid w:val="0041413C"/>
    <w:rsid w:val="00414CE5"/>
    <w:rsid w:val="00415D3D"/>
    <w:rsid w:val="00416764"/>
    <w:rsid w:val="00424D1C"/>
    <w:rsid w:val="00425E95"/>
    <w:rsid w:val="004300EC"/>
    <w:rsid w:val="00432734"/>
    <w:rsid w:val="00432D09"/>
    <w:rsid w:val="00435B76"/>
    <w:rsid w:val="00442646"/>
    <w:rsid w:val="00445676"/>
    <w:rsid w:val="0044617F"/>
    <w:rsid w:val="004509CB"/>
    <w:rsid w:val="004524FE"/>
    <w:rsid w:val="004541E5"/>
    <w:rsid w:val="0045428D"/>
    <w:rsid w:val="004544D6"/>
    <w:rsid w:val="00455A94"/>
    <w:rsid w:val="00456017"/>
    <w:rsid w:val="00457F94"/>
    <w:rsid w:val="004601B1"/>
    <w:rsid w:val="004609D7"/>
    <w:rsid w:val="00462017"/>
    <w:rsid w:val="00466F25"/>
    <w:rsid w:val="004673F2"/>
    <w:rsid w:val="004708F7"/>
    <w:rsid w:val="00470E07"/>
    <w:rsid w:val="00471253"/>
    <w:rsid w:val="00474779"/>
    <w:rsid w:val="00474FE5"/>
    <w:rsid w:val="00481250"/>
    <w:rsid w:val="00482C49"/>
    <w:rsid w:val="00484A20"/>
    <w:rsid w:val="00484C72"/>
    <w:rsid w:val="00493943"/>
    <w:rsid w:val="00496FBC"/>
    <w:rsid w:val="00497F17"/>
    <w:rsid w:val="004A1643"/>
    <w:rsid w:val="004A16AE"/>
    <w:rsid w:val="004A5A94"/>
    <w:rsid w:val="004A5BB3"/>
    <w:rsid w:val="004A75DD"/>
    <w:rsid w:val="004B37BC"/>
    <w:rsid w:val="004B3B08"/>
    <w:rsid w:val="004B6D91"/>
    <w:rsid w:val="004B7001"/>
    <w:rsid w:val="004C1484"/>
    <w:rsid w:val="004C4B54"/>
    <w:rsid w:val="004C7E10"/>
    <w:rsid w:val="004D17AA"/>
    <w:rsid w:val="004D3585"/>
    <w:rsid w:val="004D43C9"/>
    <w:rsid w:val="004D59D7"/>
    <w:rsid w:val="004D7D70"/>
    <w:rsid w:val="004E0CCF"/>
    <w:rsid w:val="004E11D7"/>
    <w:rsid w:val="004E46A9"/>
    <w:rsid w:val="004F040C"/>
    <w:rsid w:val="004F6C74"/>
    <w:rsid w:val="00505F2F"/>
    <w:rsid w:val="00510657"/>
    <w:rsid w:val="005120D5"/>
    <w:rsid w:val="005160BC"/>
    <w:rsid w:val="00516961"/>
    <w:rsid w:val="00521539"/>
    <w:rsid w:val="005266F8"/>
    <w:rsid w:val="00532DE4"/>
    <w:rsid w:val="00532EAA"/>
    <w:rsid w:val="005341AC"/>
    <w:rsid w:val="00534509"/>
    <w:rsid w:val="00545BAE"/>
    <w:rsid w:val="005520D7"/>
    <w:rsid w:val="005522C9"/>
    <w:rsid w:val="005536D9"/>
    <w:rsid w:val="00562289"/>
    <w:rsid w:val="00562430"/>
    <w:rsid w:val="00562DA2"/>
    <w:rsid w:val="0056467B"/>
    <w:rsid w:val="00566A51"/>
    <w:rsid w:val="00566BC5"/>
    <w:rsid w:val="00570432"/>
    <w:rsid w:val="00571120"/>
    <w:rsid w:val="0057452A"/>
    <w:rsid w:val="005839AE"/>
    <w:rsid w:val="0058669B"/>
    <w:rsid w:val="0059257A"/>
    <w:rsid w:val="00594B0C"/>
    <w:rsid w:val="005950C9"/>
    <w:rsid w:val="0059740E"/>
    <w:rsid w:val="0059794A"/>
    <w:rsid w:val="00597FAA"/>
    <w:rsid w:val="005A0F40"/>
    <w:rsid w:val="005A11AB"/>
    <w:rsid w:val="005A5500"/>
    <w:rsid w:val="005B03DB"/>
    <w:rsid w:val="005B07E1"/>
    <w:rsid w:val="005B16F2"/>
    <w:rsid w:val="005B191A"/>
    <w:rsid w:val="005B4A28"/>
    <w:rsid w:val="005B7B72"/>
    <w:rsid w:val="005C0D66"/>
    <w:rsid w:val="005C1194"/>
    <w:rsid w:val="005C11A1"/>
    <w:rsid w:val="005C40A7"/>
    <w:rsid w:val="005C7B6C"/>
    <w:rsid w:val="005D1530"/>
    <w:rsid w:val="005D1BD4"/>
    <w:rsid w:val="005D2EF9"/>
    <w:rsid w:val="005D3879"/>
    <w:rsid w:val="005D487E"/>
    <w:rsid w:val="005E1B49"/>
    <w:rsid w:val="005E1DB3"/>
    <w:rsid w:val="005E2B0B"/>
    <w:rsid w:val="005E4466"/>
    <w:rsid w:val="005E4EAC"/>
    <w:rsid w:val="005E61DE"/>
    <w:rsid w:val="005E6E73"/>
    <w:rsid w:val="005E7040"/>
    <w:rsid w:val="005F1B4B"/>
    <w:rsid w:val="005F33D7"/>
    <w:rsid w:val="005F35A7"/>
    <w:rsid w:val="005F3C35"/>
    <w:rsid w:val="00600A82"/>
    <w:rsid w:val="0060357A"/>
    <w:rsid w:val="0060402D"/>
    <w:rsid w:val="00606A5C"/>
    <w:rsid w:val="006126E1"/>
    <w:rsid w:val="00613A36"/>
    <w:rsid w:val="00614B5C"/>
    <w:rsid w:val="00620F8A"/>
    <w:rsid w:val="00627153"/>
    <w:rsid w:val="00633513"/>
    <w:rsid w:val="006360DE"/>
    <w:rsid w:val="00641460"/>
    <w:rsid w:val="006443D3"/>
    <w:rsid w:val="006465F2"/>
    <w:rsid w:val="00652416"/>
    <w:rsid w:val="00663B65"/>
    <w:rsid w:val="00664963"/>
    <w:rsid w:val="00674D9B"/>
    <w:rsid w:val="0068118E"/>
    <w:rsid w:val="006834CE"/>
    <w:rsid w:val="00687DAF"/>
    <w:rsid w:val="00691155"/>
    <w:rsid w:val="00691500"/>
    <w:rsid w:val="00691C09"/>
    <w:rsid w:val="00694663"/>
    <w:rsid w:val="00694771"/>
    <w:rsid w:val="00695F3B"/>
    <w:rsid w:val="006A0689"/>
    <w:rsid w:val="006A084D"/>
    <w:rsid w:val="006A3DD3"/>
    <w:rsid w:val="006A4B59"/>
    <w:rsid w:val="006A5A9F"/>
    <w:rsid w:val="006B00EC"/>
    <w:rsid w:val="006B1BAA"/>
    <w:rsid w:val="006B3E20"/>
    <w:rsid w:val="006B4A0C"/>
    <w:rsid w:val="006B4F48"/>
    <w:rsid w:val="006B592B"/>
    <w:rsid w:val="006B7583"/>
    <w:rsid w:val="006C0280"/>
    <w:rsid w:val="006C14EE"/>
    <w:rsid w:val="006C3160"/>
    <w:rsid w:val="006C4938"/>
    <w:rsid w:val="006D0652"/>
    <w:rsid w:val="006D11E4"/>
    <w:rsid w:val="006D244C"/>
    <w:rsid w:val="006D4126"/>
    <w:rsid w:val="006D5E7B"/>
    <w:rsid w:val="006D7F36"/>
    <w:rsid w:val="006E06A3"/>
    <w:rsid w:val="006E159B"/>
    <w:rsid w:val="006E1DCD"/>
    <w:rsid w:val="006E274D"/>
    <w:rsid w:val="006F2300"/>
    <w:rsid w:val="006F5D2F"/>
    <w:rsid w:val="006F77A5"/>
    <w:rsid w:val="007009E6"/>
    <w:rsid w:val="0070412E"/>
    <w:rsid w:val="007059AA"/>
    <w:rsid w:val="00706B0F"/>
    <w:rsid w:val="007070AF"/>
    <w:rsid w:val="007077C3"/>
    <w:rsid w:val="00707BAC"/>
    <w:rsid w:val="00713B49"/>
    <w:rsid w:val="00721F34"/>
    <w:rsid w:val="00722C80"/>
    <w:rsid w:val="007244F1"/>
    <w:rsid w:val="007254B7"/>
    <w:rsid w:val="007256B4"/>
    <w:rsid w:val="00733CD6"/>
    <w:rsid w:val="00740D11"/>
    <w:rsid w:val="00741F57"/>
    <w:rsid w:val="007477B0"/>
    <w:rsid w:val="00752554"/>
    <w:rsid w:val="00753BFB"/>
    <w:rsid w:val="00757789"/>
    <w:rsid w:val="00757E61"/>
    <w:rsid w:val="007628A2"/>
    <w:rsid w:val="00763E7F"/>
    <w:rsid w:val="00766B19"/>
    <w:rsid w:val="0077018C"/>
    <w:rsid w:val="00772B8A"/>
    <w:rsid w:val="00773D2F"/>
    <w:rsid w:val="00774F6F"/>
    <w:rsid w:val="007773D9"/>
    <w:rsid w:val="007816A2"/>
    <w:rsid w:val="007823A4"/>
    <w:rsid w:val="00783107"/>
    <w:rsid w:val="00787532"/>
    <w:rsid w:val="0079056A"/>
    <w:rsid w:val="00791CE3"/>
    <w:rsid w:val="00792165"/>
    <w:rsid w:val="00795AC4"/>
    <w:rsid w:val="00796075"/>
    <w:rsid w:val="007A1A88"/>
    <w:rsid w:val="007A1C3F"/>
    <w:rsid w:val="007A305C"/>
    <w:rsid w:val="007A3E74"/>
    <w:rsid w:val="007A4163"/>
    <w:rsid w:val="007A7524"/>
    <w:rsid w:val="007B0169"/>
    <w:rsid w:val="007B0DCB"/>
    <w:rsid w:val="007B1B75"/>
    <w:rsid w:val="007B487C"/>
    <w:rsid w:val="007B605F"/>
    <w:rsid w:val="007B6FCF"/>
    <w:rsid w:val="007C1BB2"/>
    <w:rsid w:val="007C40A9"/>
    <w:rsid w:val="007C4CA8"/>
    <w:rsid w:val="007C501E"/>
    <w:rsid w:val="007C6050"/>
    <w:rsid w:val="007C7B00"/>
    <w:rsid w:val="007D3C2D"/>
    <w:rsid w:val="007D7F6F"/>
    <w:rsid w:val="007E257A"/>
    <w:rsid w:val="007E62D2"/>
    <w:rsid w:val="007F53EB"/>
    <w:rsid w:val="007F5A2D"/>
    <w:rsid w:val="007F6D42"/>
    <w:rsid w:val="0080320A"/>
    <w:rsid w:val="00805A8B"/>
    <w:rsid w:val="00811641"/>
    <w:rsid w:val="00816A2B"/>
    <w:rsid w:val="0082323B"/>
    <w:rsid w:val="008260DD"/>
    <w:rsid w:val="00830C2E"/>
    <w:rsid w:val="00835AEA"/>
    <w:rsid w:val="00840344"/>
    <w:rsid w:val="00843682"/>
    <w:rsid w:val="00843945"/>
    <w:rsid w:val="00847E91"/>
    <w:rsid w:val="00850213"/>
    <w:rsid w:val="00854CDE"/>
    <w:rsid w:val="008561B0"/>
    <w:rsid w:val="008616FC"/>
    <w:rsid w:val="00862D21"/>
    <w:rsid w:val="0087296A"/>
    <w:rsid w:val="00873078"/>
    <w:rsid w:val="008763BE"/>
    <w:rsid w:val="00881ABF"/>
    <w:rsid w:val="00881B6A"/>
    <w:rsid w:val="00885E3A"/>
    <w:rsid w:val="0089500C"/>
    <w:rsid w:val="008A4C1E"/>
    <w:rsid w:val="008A54A4"/>
    <w:rsid w:val="008B016A"/>
    <w:rsid w:val="008B3FFC"/>
    <w:rsid w:val="008B5B7D"/>
    <w:rsid w:val="008C1A14"/>
    <w:rsid w:val="008C3CA2"/>
    <w:rsid w:val="008C48DA"/>
    <w:rsid w:val="008C661E"/>
    <w:rsid w:val="008D305A"/>
    <w:rsid w:val="008E1A41"/>
    <w:rsid w:val="008E2543"/>
    <w:rsid w:val="008E4057"/>
    <w:rsid w:val="008E4929"/>
    <w:rsid w:val="008E5530"/>
    <w:rsid w:val="008E725B"/>
    <w:rsid w:val="008F13B3"/>
    <w:rsid w:val="008F302B"/>
    <w:rsid w:val="008F3089"/>
    <w:rsid w:val="008F3EA8"/>
    <w:rsid w:val="008F5059"/>
    <w:rsid w:val="008F63B0"/>
    <w:rsid w:val="0090240B"/>
    <w:rsid w:val="0090385B"/>
    <w:rsid w:val="00904C58"/>
    <w:rsid w:val="009069EE"/>
    <w:rsid w:val="00906CD4"/>
    <w:rsid w:val="009108B0"/>
    <w:rsid w:val="00912B0E"/>
    <w:rsid w:val="00914BF2"/>
    <w:rsid w:val="00915AEB"/>
    <w:rsid w:val="00915ECD"/>
    <w:rsid w:val="00916F8E"/>
    <w:rsid w:val="009209E5"/>
    <w:rsid w:val="00921764"/>
    <w:rsid w:val="00921957"/>
    <w:rsid w:val="0092542D"/>
    <w:rsid w:val="009259C5"/>
    <w:rsid w:val="00931C6F"/>
    <w:rsid w:val="00932943"/>
    <w:rsid w:val="00934028"/>
    <w:rsid w:val="0093408A"/>
    <w:rsid w:val="00934DE1"/>
    <w:rsid w:val="00936F1F"/>
    <w:rsid w:val="0094130A"/>
    <w:rsid w:val="00943C8B"/>
    <w:rsid w:val="009538ED"/>
    <w:rsid w:val="00954D53"/>
    <w:rsid w:val="00956109"/>
    <w:rsid w:val="00957424"/>
    <w:rsid w:val="0096054F"/>
    <w:rsid w:val="00960638"/>
    <w:rsid w:val="00960AB9"/>
    <w:rsid w:val="00962566"/>
    <w:rsid w:val="00964EE2"/>
    <w:rsid w:val="00966D05"/>
    <w:rsid w:val="009673C2"/>
    <w:rsid w:val="00967EF1"/>
    <w:rsid w:val="00970373"/>
    <w:rsid w:val="009718D1"/>
    <w:rsid w:val="0097566C"/>
    <w:rsid w:val="00976BAB"/>
    <w:rsid w:val="00977122"/>
    <w:rsid w:val="0098447D"/>
    <w:rsid w:val="00991B6D"/>
    <w:rsid w:val="0099203C"/>
    <w:rsid w:val="009A0380"/>
    <w:rsid w:val="009A2557"/>
    <w:rsid w:val="009A43B7"/>
    <w:rsid w:val="009A4753"/>
    <w:rsid w:val="009A5E26"/>
    <w:rsid w:val="009B0424"/>
    <w:rsid w:val="009B100E"/>
    <w:rsid w:val="009B1137"/>
    <w:rsid w:val="009B15F9"/>
    <w:rsid w:val="009B2CCD"/>
    <w:rsid w:val="009B375B"/>
    <w:rsid w:val="009B4544"/>
    <w:rsid w:val="009C054C"/>
    <w:rsid w:val="009C0B67"/>
    <w:rsid w:val="009C39D8"/>
    <w:rsid w:val="009C4322"/>
    <w:rsid w:val="009C6EAA"/>
    <w:rsid w:val="009C744F"/>
    <w:rsid w:val="009D21B1"/>
    <w:rsid w:val="009D45BE"/>
    <w:rsid w:val="009D4FA1"/>
    <w:rsid w:val="009D51F8"/>
    <w:rsid w:val="009D6F57"/>
    <w:rsid w:val="009D7AE6"/>
    <w:rsid w:val="009E08C2"/>
    <w:rsid w:val="009E2A58"/>
    <w:rsid w:val="009E5228"/>
    <w:rsid w:val="009E54DA"/>
    <w:rsid w:val="009E60F6"/>
    <w:rsid w:val="009E6DAC"/>
    <w:rsid w:val="009F4D0F"/>
    <w:rsid w:val="00A02917"/>
    <w:rsid w:val="00A04F2A"/>
    <w:rsid w:val="00A05D9F"/>
    <w:rsid w:val="00A0699F"/>
    <w:rsid w:val="00A10D42"/>
    <w:rsid w:val="00A116A0"/>
    <w:rsid w:val="00A11A45"/>
    <w:rsid w:val="00A11B70"/>
    <w:rsid w:val="00A12371"/>
    <w:rsid w:val="00A167BE"/>
    <w:rsid w:val="00A17D67"/>
    <w:rsid w:val="00A2251C"/>
    <w:rsid w:val="00A307F8"/>
    <w:rsid w:val="00A30923"/>
    <w:rsid w:val="00A315E3"/>
    <w:rsid w:val="00A34971"/>
    <w:rsid w:val="00A45C69"/>
    <w:rsid w:val="00A46198"/>
    <w:rsid w:val="00A47107"/>
    <w:rsid w:val="00A477B2"/>
    <w:rsid w:val="00A517EF"/>
    <w:rsid w:val="00A51DCB"/>
    <w:rsid w:val="00A52B8B"/>
    <w:rsid w:val="00A53D14"/>
    <w:rsid w:val="00A53F81"/>
    <w:rsid w:val="00A54769"/>
    <w:rsid w:val="00A549C2"/>
    <w:rsid w:val="00A5551B"/>
    <w:rsid w:val="00A56496"/>
    <w:rsid w:val="00A6324D"/>
    <w:rsid w:val="00A65BFF"/>
    <w:rsid w:val="00A72DC8"/>
    <w:rsid w:val="00A770F1"/>
    <w:rsid w:val="00A812C2"/>
    <w:rsid w:val="00A8315B"/>
    <w:rsid w:val="00A857B5"/>
    <w:rsid w:val="00A87689"/>
    <w:rsid w:val="00A92091"/>
    <w:rsid w:val="00A93BFE"/>
    <w:rsid w:val="00A941AC"/>
    <w:rsid w:val="00A948A5"/>
    <w:rsid w:val="00AA0034"/>
    <w:rsid w:val="00AA0672"/>
    <w:rsid w:val="00AA32D4"/>
    <w:rsid w:val="00AA33EC"/>
    <w:rsid w:val="00AA3D9A"/>
    <w:rsid w:val="00AA4A5A"/>
    <w:rsid w:val="00AA57EC"/>
    <w:rsid w:val="00AA6AE6"/>
    <w:rsid w:val="00AA6C2D"/>
    <w:rsid w:val="00AB357F"/>
    <w:rsid w:val="00AB66DB"/>
    <w:rsid w:val="00AB6DDF"/>
    <w:rsid w:val="00AC0742"/>
    <w:rsid w:val="00AC0BF0"/>
    <w:rsid w:val="00AC2AA6"/>
    <w:rsid w:val="00AC33F5"/>
    <w:rsid w:val="00AD3E3F"/>
    <w:rsid w:val="00AD4335"/>
    <w:rsid w:val="00AD6423"/>
    <w:rsid w:val="00AD73C1"/>
    <w:rsid w:val="00AD7D8B"/>
    <w:rsid w:val="00AE0DB0"/>
    <w:rsid w:val="00AE50D0"/>
    <w:rsid w:val="00AF0505"/>
    <w:rsid w:val="00AF22FA"/>
    <w:rsid w:val="00AF2933"/>
    <w:rsid w:val="00AF3088"/>
    <w:rsid w:val="00AF5CBA"/>
    <w:rsid w:val="00AF5E77"/>
    <w:rsid w:val="00AF6AF2"/>
    <w:rsid w:val="00B00129"/>
    <w:rsid w:val="00B03E3A"/>
    <w:rsid w:val="00B05907"/>
    <w:rsid w:val="00B074EB"/>
    <w:rsid w:val="00B07E87"/>
    <w:rsid w:val="00B10065"/>
    <w:rsid w:val="00B10A08"/>
    <w:rsid w:val="00B23705"/>
    <w:rsid w:val="00B23BF2"/>
    <w:rsid w:val="00B31916"/>
    <w:rsid w:val="00B33522"/>
    <w:rsid w:val="00B34509"/>
    <w:rsid w:val="00B3577D"/>
    <w:rsid w:val="00B3741F"/>
    <w:rsid w:val="00B37FCE"/>
    <w:rsid w:val="00B40E28"/>
    <w:rsid w:val="00B41800"/>
    <w:rsid w:val="00B420A4"/>
    <w:rsid w:val="00B42867"/>
    <w:rsid w:val="00B4352E"/>
    <w:rsid w:val="00B4457A"/>
    <w:rsid w:val="00B44EB4"/>
    <w:rsid w:val="00B450C4"/>
    <w:rsid w:val="00B45164"/>
    <w:rsid w:val="00B45DF2"/>
    <w:rsid w:val="00B46B41"/>
    <w:rsid w:val="00B5070C"/>
    <w:rsid w:val="00B51D56"/>
    <w:rsid w:val="00B5499F"/>
    <w:rsid w:val="00B5530A"/>
    <w:rsid w:val="00B57E31"/>
    <w:rsid w:val="00B60568"/>
    <w:rsid w:val="00B61AE2"/>
    <w:rsid w:val="00B6327D"/>
    <w:rsid w:val="00B74655"/>
    <w:rsid w:val="00B74ADF"/>
    <w:rsid w:val="00B7523E"/>
    <w:rsid w:val="00B753CF"/>
    <w:rsid w:val="00B7550F"/>
    <w:rsid w:val="00B76020"/>
    <w:rsid w:val="00B772D6"/>
    <w:rsid w:val="00B77567"/>
    <w:rsid w:val="00B80170"/>
    <w:rsid w:val="00B81F12"/>
    <w:rsid w:val="00B86088"/>
    <w:rsid w:val="00B90EDB"/>
    <w:rsid w:val="00B9250E"/>
    <w:rsid w:val="00B94B0F"/>
    <w:rsid w:val="00B94E4F"/>
    <w:rsid w:val="00BA1B77"/>
    <w:rsid w:val="00BA22F3"/>
    <w:rsid w:val="00BA3C61"/>
    <w:rsid w:val="00BA4DF2"/>
    <w:rsid w:val="00BA7246"/>
    <w:rsid w:val="00BB0856"/>
    <w:rsid w:val="00BB140D"/>
    <w:rsid w:val="00BB2DCE"/>
    <w:rsid w:val="00BB43CE"/>
    <w:rsid w:val="00BC1273"/>
    <w:rsid w:val="00BC160C"/>
    <w:rsid w:val="00BE0EF3"/>
    <w:rsid w:val="00BE1BA1"/>
    <w:rsid w:val="00BE3C14"/>
    <w:rsid w:val="00BF3C2F"/>
    <w:rsid w:val="00BF4421"/>
    <w:rsid w:val="00C00824"/>
    <w:rsid w:val="00C008BA"/>
    <w:rsid w:val="00C01262"/>
    <w:rsid w:val="00C02544"/>
    <w:rsid w:val="00C03FE3"/>
    <w:rsid w:val="00C050BC"/>
    <w:rsid w:val="00C062C8"/>
    <w:rsid w:val="00C06D5E"/>
    <w:rsid w:val="00C07551"/>
    <w:rsid w:val="00C10C7E"/>
    <w:rsid w:val="00C1142C"/>
    <w:rsid w:val="00C1219E"/>
    <w:rsid w:val="00C21D61"/>
    <w:rsid w:val="00C2400B"/>
    <w:rsid w:val="00C240C2"/>
    <w:rsid w:val="00C26E87"/>
    <w:rsid w:val="00C26F39"/>
    <w:rsid w:val="00C32014"/>
    <w:rsid w:val="00C32114"/>
    <w:rsid w:val="00C32D04"/>
    <w:rsid w:val="00C33EEE"/>
    <w:rsid w:val="00C3557A"/>
    <w:rsid w:val="00C35C3E"/>
    <w:rsid w:val="00C45FFE"/>
    <w:rsid w:val="00C46A5D"/>
    <w:rsid w:val="00C51460"/>
    <w:rsid w:val="00C51D0C"/>
    <w:rsid w:val="00C56833"/>
    <w:rsid w:val="00C56E53"/>
    <w:rsid w:val="00C60AC9"/>
    <w:rsid w:val="00C629C7"/>
    <w:rsid w:val="00C64982"/>
    <w:rsid w:val="00C743A6"/>
    <w:rsid w:val="00C747B4"/>
    <w:rsid w:val="00C74AEF"/>
    <w:rsid w:val="00C766A4"/>
    <w:rsid w:val="00C77F34"/>
    <w:rsid w:val="00C829AC"/>
    <w:rsid w:val="00C83458"/>
    <w:rsid w:val="00C83E56"/>
    <w:rsid w:val="00C87836"/>
    <w:rsid w:val="00C908CF"/>
    <w:rsid w:val="00C90FD3"/>
    <w:rsid w:val="00C9521B"/>
    <w:rsid w:val="00CA134D"/>
    <w:rsid w:val="00CA3421"/>
    <w:rsid w:val="00CB1071"/>
    <w:rsid w:val="00CB171D"/>
    <w:rsid w:val="00CB317F"/>
    <w:rsid w:val="00CB635A"/>
    <w:rsid w:val="00CB6B45"/>
    <w:rsid w:val="00CB77B2"/>
    <w:rsid w:val="00CC1CFE"/>
    <w:rsid w:val="00CC2FB1"/>
    <w:rsid w:val="00CC358C"/>
    <w:rsid w:val="00CC3F06"/>
    <w:rsid w:val="00CD038F"/>
    <w:rsid w:val="00CD230E"/>
    <w:rsid w:val="00CD2E25"/>
    <w:rsid w:val="00CD36F5"/>
    <w:rsid w:val="00CD6C1C"/>
    <w:rsid w:val="00CD75B8"/>
    <w:rsid w:val="00CE3E8B"/>
    <w:rsid w:val="00CE47D2"/>
    <w:rsid w:val="00CE5127"/>
    <w:rsid w:val="00CE6D8D"/>
    <w:rsid w:val="00CF2230"/>
    <w:rsid w:val="00CF3165"/>
    <w:rsid w:val="00CF3819"/>
    <w:rsid w:val="00CF4CB6"/>
    <w:rsid w:val="00CF69F2"/>
    <w:rsid w:val="00D20034"/>
    <w:rsid w:val="00D210A7"/>
    <w:rsid w:val="00D21BE1"/>
    <w:rsid w:val="00D22E26"/>
    <w:rsid w:val="00D2529E"/>
    <w:rsid w:val="00D3208D"/>
    <w:rsid w:val="00D32C1B"/>
    <w:rsid w:val="00D33F43"/>
    <w:rsid w:val="00D35B3D"/>
    <w:rsid w:val="00D3699F"/>
    <w:rsid w:val="00D43454"/>
    <w:rsid w:val="00D43BEF"/>
    <w:rsid w:val="00D45657"/>
    <w:rsid w:val="00D5193D"/>
    <w:rsid w:val="00D52E46"/>
    <w:rsid w:val="00D57735"/>
    <w:rsid w:val="00D620BA"/>
    <w:rsid w:val="00D62530"/>
    <w:rsid w:val="00D65CEF"/>
    <w:rsid w:val="00D66097"/>
    <w:rsid w:val="00D709B7"/>
    <w:rsid w:val="00D72B6B"/>
    <w:rsid w:val="00D81C65"/>
    <w:rsid w:val="00D834AB"/>
    <w:rsid w:val="00D84406"/>
    <w:rsid w:val="00D92533"/>
    <w:rsid w:val="00D92CB5"/>
    <w:rsid w:val="00DA1D30"/>
    <w:rsid w:val="00DA3470"/>
    <w:rsid w:val="00DA40CF"/>
    <w:rsid w:val="00DA529C"/>
    <w:rsid w:val="00DA5D84"/>
    <w:rsid w:val="00DA730B"/>
    <w:rsid w:val="00DB2F50"/>
    <w:rsid w:val="00DB6C32"/>
    <w:rsid w:val="00DC0E3F"/>
    <w:rsid w:val="00DC278D"/>
    <w:rsid w:val="00DC3625"/>
    <w:rsid w:val="00DC44B8"/>
    <w:rsid w:val="00DC5180"/>
    <w:rsid w:val="00DC62D9"/>
    <w:rsid w:val="00DC7967"/>
    <w:rsid w:val="00DD34BB"/>
    <w:rsid w:val="00DE00E1"/>
    <w:rsid w:val="00DE0CCB"/>
    <w:rsid w:val="00DE6A1E"/>
    <w:rsid w:val="00DF2FE5"/>
    <w:rsid w:val="00DF46FA"/>
    <w:rsid w:val="00E00A95"/>
    <w:rsid w:val="00E00D0C"/>
    <w:rsid w:val="00E030B8"/>
    <w:rsid w:val="00E033EA"/>
    <w:rsid w:val="00E041FB"/>
    <w:rsid w:val="00E04A0D"/>
    <w:rsid w:val="00E059B5"/>
    <w:rsid w:val="00E06FE9"/>
    <w:rsid w:val="00E074AF"/>
    <w:rsid w:val="00E07822"/>
    <w:rsid w:val="00E07880"/>
    <w:rsid w:val="00E15DB9"/>
    <w:rsid w:val="00E166DD"/>
    <w:rsid w:val="00E175AA"/>
    <w:rsid w:val="00E2087E"/>
    <w:rsid w:val="00E20DAE"/>
    <w:rsid w:val="00E243E8"/>
    <w:rsid w:val="00E30BA1"/>
    <w:rsid w:val="00E319A8"/>
    <w:rsid w:val="00E31C62"/>
    <w:rsid w:val="00E32B32"/>
    <w:rsid w:val="00E32D01"/>
    <w:rsid w:val="00E33B8C"/>
    <w:rsid w:val="00E35269"/>
    <w:rsid w:val="00E35657"/>
    <w:rsid w:val="00E357E9"/>
    <w:rsid w:val="00E35FB3"/>
    <w:rsid w:val="00E3638E"/>
    <w:rsid w:val="00E4016E"/>
    <w:rsid w:val="00E509F8"/>
    <w:rsid w:val="00E54351"/>
    <w:rsid w:val="00E549AB"/>
    <w:rsid w:val="00E5616F"/>
    <w:rsid w:val="00E56DB5"/>
    <w:rsid w:val="00E643B7"/>
    <w:rsid w:val="00E65216"/>
    <w:rsid w:val="00E70AD9"/>
    <w:rsid w:val="00E716B6"/>
    <w:rsid w:val="00E727F4"/>
    <w:rsid w:val="00E733D3"/>
    <w:rsid w:val="00E73716"/>
    <w:rsid w:val="00E73A82"/>
    <w:rsid w:val="00E73F5D"/>
    <w:rsid w:val="00E82F3C"/>
    <w:rsid w:val="00E82FBB"/>
    <w:rsid w:val="00E85889"/>
    <w:rsid w:val="00E85F30"/>
    <w:rsid w:val="00E8767B"/>
    <w:rsid w:val="00E90AB3"/>
    <w:rsid w:val="00E9253F"/>
    <w:rsid w:val="00E94FFB"/>
    <w:rsid w:val="00E954F6"/>
    <w:rsid w:val="00E956F0"/>
    <w:rsid w:val="00E96910"/>
    <w:rsid w:val="00EA33CB"/>
    <w:rsid w:val="00EA438F"/>
    <w:rsid w:val="00EB018E"/>
    <w:rsid w:val="00EB1B75"/>
    <w:rsid w:val="00EB2720"/>
    <w:rsid w:val="00EB73E3"/>
    <w:rsid w:val="00EB750D"/>
    <w:rsid w:val="00EC56D8"/>
    <w:rsid w:val="00EC61AF"/>
    <w:rsid w:val="00ED1F03"/>
    <w:rsid w:val="00ED39CE"/>
    <w:rsid w:val="00ED414A"/>
    <w:rsid w:val="00ED5D70"/>
    <w:rsid w:val="00ED7B07"/>
    <w:rsid w:val="00EE4179"/>
    <w:rsid w:val="00EE45C2"/>
    <w:rsid w:val="00EE6D67"/>
    <w:rsid w:val="00EF1E99"/>
    <w:rsid w:val="00EF4DBE"/>
    <w:rsid w:val="00EF60CC"/>
    <w:rsid w:val="00EF7949"/>
    <w:rsid w:val="00F00686"/>
    <w:rsid w:val="00F03916"/>
    <w:rsid w:val="00F03A94"/>
    <w:rsid w:val="00F03E83"/>
    <w:rsid w:val="00F06468"/>
    <w:rsid w:val="00F06E5E"/>
    <w:rsid w:val="00F07CA3"/>
    <w:rsid w:val="00F1018C"/>
    <w:rsid w:val="00F13034"/>
    <w:rsid w:val="00F22B0E"/>
    <w:rsid w:val="00F26458"/>
    <w:rsid w:val="00F313FB"/>
    <w:rsid w:val="00F32110"/>
    <w:rsid w:val="00F322C2"/>
    <w:rsid w:val="00F33934"/>
    <w:rsid w:val="00F40717"/>
    <w:rsid w:val="00F4191D"/>
    <w:rsid w:val="00F435BC"/>
    <w:rsid w:val="00F44D73"/>
    <w:rsid w:val="00F461DD"/>
    <w:rsid w:val="00F51864"/>
    <w:rsid w:val="00F56263"/>
    <w:rsid w:val="00F56FF3"/>
    <w:rsid w:val="00F62A38"/>
    <w:rsid w:val="00F64BD9"/>
    <w:rsid w:val="00F675F1"/>
    <w:rsid w:val="00F70A60"/>
    <w:rsid w:val="00F70BAE"/>
    <w:rsid w:val="00F72902"/>
    <w:rsid w:val="00F72967"/>
    <w:rsid w:val="00F74187"/>
    <w:rsid w:val="00F743EB"/>
    <w:rsid w:val="00F81F96"/>
    <w:rsid w:val="00F81FF7"/>
    <w:rsid w:val="00F8461D"/>
    <w:rsid w:val="00F8462C"/>
    <w:rsid w:val="00F86AB5"/>
    <w:rsid w:val="00F91D60"/>
    <w:rsid w:val="00F92A73"/>
    <w:rsid w:val="00F93367"/>
    <w:rsid w:val="00F94BFE"/>
    <w:rsid w:val="00F94ED5"/>
    <w:rsid w:val="00F95ED1"/>
    <w:rsid w:val="00F97180"/>
    <w:rsid w:val="00FA0787"/>
    <w:rsid w:val="00FA5152"/>
    <w:rsid w:val="00FA59F1"/>
    <w:rsid w:val="00FA695B"/>
    <w:rsid w:val="00FA6FCA"/>
    <w:rsid w:val="00FA7161"/>
    <w:rsid w:val="00FB12F1"/>
    <w:rsid w:val="00FB2922"/>
    <w:rsid w:val="00FB2CAD"/>
    <w:rsid w:val="00FB54CE"/>
    <w:rsid w:val="00FB7964"/>
    <w:rsid w:val="00FC037D"/>
    <w:rsid w:val="00FC3E6D"/>
    <w:rsid w:val="00FC5DDC"/>
    <w:rsid w:val="00FC7B97"/>
    <w:rsid w:val="00FD022D"/>
    <w:rsid w:val="00FD77DB"/>
    <w:rsid w:val="00FD7C6A"/>
    <w:rsid w:val="00FE023B"/>
    <w:rsid w:val="00FE1C35"/>
    <w:rsid w:val="00FE2D1E"/>
    <w:rsid w:val="00FE2D98"/>
    <w:rsid w:val="00FE3315"/>
    <w:rsid w:val="00FE3E52"/>
    <w:rsid w:val="00FE61C1"/>
    <w:rsid w:val="00FE6B2C"/>
    <w:rsid w:val="00FE6F16"/>
    <w:rsid w:val="00FE7048"/>
    <w:rsid w:val="00FE70F7"/>
    <w:rsid w:val="00FE7E51"/>
    <w:rsid w:val="00FF2AF6"/>
    <w:rsid w:val="00FF3407"/>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EAEB5E23-1F13-457C-A3A6-8A3FE8490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FF7"/>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basedOn w:val="a"/>
    <w:uiPriority w:val="34"/>
    <w:qFormat/>
    <w:rsid w:val="00FB2CA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2123719842">
          <w:marLeft w:val="360"/>
          <w:marRight w:val="0"/>
          <w:marTop w:val="2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132067555">
          <w:marLeft w:val="108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90AF2-ECB8-4432-A3A4-A38F6B134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3276</TotalTime>
  <Pages>3</Pages>
  <Words>1642</Words>
  <Characters>9366</Characters>
  <Application>Microsoft Office Word</Application>
  <DocSecurity>0</DocSecurity>
  <Lines>78</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10987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171</cp:revision>
  <cp:lastPrinted>2020-04-08T05:49:00Z</cp:lastPrinted>
  <dcterms:created xsi:type="dcterms:W3CDTF">2020-04-08T09:11:00Z</dcterms:created>
  <dcterms:modified xsi:type="dcterms:W3CDTF">2020-10-23T07:03:00Z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C:\mySingle\TEMP\R4-20xxxxx discussion on FR2 inter-band CA.docx</vt:lpwstr>
  </property>
</Properties>
</file>