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CCBB2" w14:textId="238FE247" w:rsidR="00590A1A" w:rsidRPr="00B61243" w:rsidRDefault="00590A1A" w:rsidP="00590A1A">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54268910"/>
      <w:bookmarkEnd w:id="0"/>
      <w:bookmarkEnd w:id="1"/>
      <w:r w:rsidRPr="00D02E87">
        <w:rPr>
          <w:b/>
          <w:sz w:val="24"/>
          <w:szCs w:val="24"/>
        </w:rPr>
        <w:t>3GPP TSG-RAN WG4 Meeting #</w:t>
      </w:r>
      <w:r w:rsidRPr="00D02E87">
        <w:t xml:space="preserve"> </w:t>
      </w:r>
      <w:r w:rsidRPr="00D02E87">
        <w:rPr>
          <w:b/>
          <w:sz w:val="24"/>
          <w:szCs w:val="24"/>
        </w:rPr>
        <w:t>97-e</w:t>
      </w:r>
      <w:r w:rsidRPr="00D02E87" w:rsidDel="00277FAB">
        <w:rPr>
          <w:b/>
          <w:sz w:val="24"/>
          <w:szCs w:val="24"/>
        </w:rPr>
        <w:t xml:space="preserve"> </w:t>
      </w:r>
      <w:r w:rsidRPr="00D02E87">
        <w:rPr>
          <w:b/>
          <w:sz w:val="24"/>
          <w:szCs w:val="24"/>
        </w:rPr>
        <w:tab/>
      </w:r>
      <w:r w:rsidR="00B61243" w:rsidRPr="00B61243">
        <w:rPr>
          <w:b/>
          <w:sz w:val="24"/>
          <w:szCs w:val="24"/>
        </w:rPr>
        <w:t>R4-20145</w:t>
      </w:r>
      <w:r w:rsidR="00857F10">
        <w:rPr>
          <w:b/>
          <w:sz w:val="24"/>
          <w:szCs w:val="24"/>
        </w:rPr>
        <w:t>70</w:t>
      </w:r>
    </w:p>
    <w:p w14:paraId="0ADF5910" w14:textId="77777777" w:rsidR="00590A1A" w:rsidRPr="00D02E87" w:rsidRDefault="00590A1A" w:rsidP="00590A1A">
      <w:pPr>
        <w:pStyle w:val="Header"/>
        <w:tabs>
          <w:tab w:val="clear" w:pos="4153"/>
          <w:tab w:val="clear" w:pos="8306"/>
          <w:tab w:val="right" w:pos="9781"/>
          <w:tab w:val="right" w:pos="13323"/>
        </w:tabs>
        <w:outlineLvl w:val="0"/>
        <w:rPr>
          <w:rFonts w:eastAsia="SimSun"/>
          <w:b/>
          <w:sz w:val="24"/>
          <w:szCs w:val="24"/>
          <w:lang w:eastAsia="zh-CN"/>
        </w:rPr>
      </w:pPr>
      <w:r w:rsidRPr="00D02E87">
        <w:rPr>
          <w:rFonts w:eastAsia="SimSun"/>
          <w:b/>
          <w:sz w:val="24"/>
          <w:szCs w:val="24"/>
          <w:lang w:eastAsia="zh-CN"/>
        </w:rPr>
        <w:t>Electronic Meeting, 2</w:t>
      </w:r>
      <w:r w:rsidRPr="00D02E87">
        <w:rPr>
          <w:rFonts w:eastAsia="SimSun"/>
          <w:b/>
          <w:sz w:val="24"/>
          <w:szCs w:val="24"/>
          <w:vertAlign w:val="superscript"/>
          <w:lang w:eastAsia="zh-CN"/>
        </w:rPr>
        <w:t>nd</w:t>
      </w:r>
      <w:r w:rsidRPr="00D02E87">
        <w:rPr>
          <w:rFonts w:eastAsia="SimSun"/>
          <w:b/>
          <w:sz w:val="24"/>
          <w:szCs w:val="24"/>
          <w:lang w:eastAsia="zh-CN"/>
        </w:rPr>
        <w:t>, Nov.–13</w:t>
      </w:r>
      <w:r w:rsidRPr="00D02E87">
        <w:rPr>
          <w:rFonts w:eastAsia="SimSun"/>
          <w:b/>
          <w:sz w:val="24"/>
          <w:szCs w:val="24"/>
          <w:vertAlign w:val="superscript"/>
          <w:lang w:eastAsia="zh-CN"/>
        </w:rPr>
        <w:t>th</w:t>
      </w:r>
      <w:r w:rsidRPr="00D02E87">
        <w:rPr>
          <w:rFonts w:eastAsia="SimSun"/>
          <w:b/>
          <w:sz w:val="24"/>
          <w:szCs w:val="24"/>
          <w:lang w:eastAsia="zh-CN"/>
        </w:rPr>
        <w:t>, Nov., 2020</w:t>
      </w:r>
    </w:p>
    <w:p w14:paraId="356875C8" w14:textId="701459F2" w:rsidR="00590A1A" w:rsidRPr="00D02E87" w:rsidRDefault="00590A1A" w:rsidP="00590A1A">
      <w:pPr>
        <w:pStyle w:val="Header-3gppTdoc"/>
        <w:rPr>
          <w:rFonts w:ascii="Times New Roman" w:hAnsi="Times New Roman" w:cs="Times New Roman"/>
        </w:rPr>
      </w:pPr>
      <w:r w:rsidRPr="00D02E87">
        <w:rPr>
          <w:rFonts w:ascii="Times New Roman" w:hAnsi="Times New Roman" w:cs="Times New Roman"/>
        </w:rPr>
        <w:t xml:space="preserve">Agenda item:       </w:t>
      </w:r>
      <w:r w:rsidR="00F351F4" w:rsidRPr="00D02E87">
        <w:rPr>
          <w:rFonts w:ascii="Times New Roman" w:hAnsi="Times New Roman" w:cs="Times New Roman"/>
        </w:rPr>
        <w:t>7.13.</w:t>
      </w:r>
      <w:r w:rsidR="00857F10">
        <w:rPr>
          <w:rFonts w:ascii="Times New Roman" w:hAnsi="Times New Roman" w:cs="Times New Roman"/>
        </w:rPr>
        <w:t>1</w:t>
      </w:r>
      <w:r w:rsidR="00F351F4" w:rsidRPr="00D02E87">
        <w:rPr>
          <w:rFonts w:ascii="Times New Roman" w:hAnsi="Times New Roman" w:cs="Times New Roman"/>
        </w:rPr>
        <w:t>.</w:t>
      </w:r>
      <w:r w:rsidR="00857F10">
        <w:rPr>
          <w:rFonts w:ascii="Times New Roman" w:hAnsi="Times New Roman" w:cs="Times New Roman"/>
        </w:rPr>
        <w:t>3</w:t>
      </w:r>
    </w:p>
    <w:p w14:paraId="037B51A0" w14:textId="77777777" w:rsidR="00590A1A" w:rsidRPr="00D02E87" w:rsidRDefault="00590A1A" w:rsidP="00590A1A">
      <w:pPr>
        <w:pStyle w:val="Header-3gppTdoc"/>
        <w:rPr>
          <w:rFonts w:ascii="Times New Roman" w:hAnsi="Times New Roman" w:cs="Times New Roman"/>
        </w:rPr>
      </w:pPr>
      <w:r w:rsidRPr="00D02E87">
        <w:rPr>
          <w:rFonts w:ascii="Times New Roman" w:hAnsi="Times New Roman" w:cs="Times New Roman"/>
        </w:rPr>
        <w:t>Source:                Intel Corporation</w:t>
      </w:r>
    </w:p>
    <w:p w14:paraId="2CF7240B" w14:textId="0749F9B7" w:rsidR="00590A1A" w:rsidRPr="00D02E87" w:rsidRDefault="00590A1A" w:rsidP="0035708E">
      <w:pPr>
        <w:pStyle w:val="Header-3gppTdoc"/>
        <w:ind w:left="1980" w:hanging="1980"/>
        <w:rPr>
          <w:rFonts w:ascii="Times New Roman" w:hAnsi="Times New Roman" w:cs="Times New Roman"/>
        </w:rPr>
      </w:pPr>
      <w:r w:rsidRPr="00D02E87">
        <w:rPr>
          <w:rFonts w:ascii="Times New Roman" w:hAnsi="Times New Roman" w:cs="Times New Roman"/>
        </w:rPr>
        <w:t xml:space="preserve">Title:                   </w:t>
      </w:r>
      <w:r w:rsidR="00A53808" w:rsidRPr="00D02E87">
        <w:rPr>
          <w:rFonts w:ascii="Times New Roman" w:hAnsi="Times New Roman" w:cs="Times New Roman"/>
        </w:rPr>
        <w:t xml:space="preserve"> </w:t>
      </w:r>
      <w:r w:rsidRPr="00D02E87">
        <w:rPr>
          <w:rFonts w:ascii="Times New Roman" w:hAnsi="Times New Roman" w:cs="Times New Roman"/>
        </w:rPr>
        <w:t xml:space="preserve">Discussion of </w:t>
      </w:r>
      <w:r w:rsidR="00A53808" w:rsidRPr="00D02E87">
        <w:rPr>
          <w:rFonts w:ascii="Times New Roman" w:hAnsi="Times New Roman" w:cs="Times New Roman"/>
        </w:rPr>
        <w:t xml:space="preserve">RRC based </w:t>
      </w:r>
      <w:r w:rsidRPr="00D02E87">
        <w:rPr>
          <w:rFonts w:ascii="Times New Roman" w:hAnsi="Times New Roman" w:cs="Times New Roman"/>
        </w:rPr>
        <w:t>BWP switching on</w:t>
      </w:r>
      <w:r w:rsidR="0035708E" w:rsidRPr="00D02E87">
        <w:rPr>
          <w:rFonts w:ascii="Times New Roman" w:hAnsi="Times New Roman" w:cs="Times New Roman"/>
        </w:rPr>
        <w:t xml:space="preserve"> </w:t>
      </w:r>
      <w:r w:rsidRPr="00D02E87">
        <w:rPr>
          <w:rFonts w:ascii="Times New Roman" w:hAnsi="Times New Roman" w:cs="Times New Roman"/>
        </w:rPr>
        <w:t>multiple CCs</w:t>
      </w:r>
    </w:p>
    <w:p w14:paraId="202E8753" w14:textId="77777777" w:rsidR="00590A1A" w:rsidRPr="00D02E87" w:rsidRDefault="00590A1A" w:rsidP="00590A1A">
      <w:pPr>
        <w:pStyle w:val="Header-3gppTdoc"/>
        <w:ind w:left="1980" w:hanging="1980"/>
        <w:rPr>
          <w:rFonts w:ascii="Times New Roman" w:hAnsi="Times New Roman" w:cs="Times New Roman"/>
        </w:rPr>
      </w:pPr>
      <w:r w:rsidRPr="00D02E87">
        <w:rPr>
          <w:rFonts w:ascii="Times New Roman" w:hAnsi="Times New Roman" w:cs="Times New Roman"/>
        </w:rPr>
        <w:t>Document for:    Discussion</w:t>
      </w:r>
    </w:p>
    <w:p w14:paraId="340A4003" w14:textId="77777777" w:rsidR="00590A1A" w:rsidRPr="00D02E87" w:rsidRDefault="00590A1A" w:rsidP="00590A1A">
      <w:pPr>
        <w:pStyle w:val="Heading1"/>
        <w:numPr>
          <w:ilvl w:val="0"/>
          <w:numId w:val="2"/>
        </w:numPr>
        <w:overflowPunct/>
        <w:autoSpaceDE/>
        <w:autoSpaceDN/>
        <w:adjustRightInd/>
        <w:textAlignment w:val="auto"/>
        <w:rPr>
          <w:rFonts w:ascii="Times New Roman" w:hAnsi="Times New Roman"/>
          <w:lang w:val="en-US"/>
        </w:rPr>
      </w:pPr>
      <w:r w:rsidRPr="00D02E87">
        <w:rPr>
          <w:rFonts w:ascii="Times New Roman" w:hAnsi="Times New Roman"/>
          <w:lang w:val="en-US"/>
        </w:rPr>
        <w:t>Introduction</w:t>
      </w:r>
    </w:p>
    <w:bookmarkEnd w:id="2"/>
    <w:p w14:paraId="0E90C4CE" w14:textId="02279F5C" w:rsidR="00A53808" w:rsidRPr="00D02E87" w:rsidRDefault="004D64B6">
      <w:pPr>
        <w:rPr>
          <w:rFonts w:ascii="Times New Roman" w:hAnsi="Times New Roman" w:cs="Times New Roman"/>
        </w:rPr>
      </w:pPr>
      <w:r w:rsidRPr="00D02E87">
        <w:rPr>
          <w:rFonts w:ascii="Times New Roman" w:hAnsi="Times New Roman" w:cs="Times New Roman"/>
        </w:rPr>
        <w:t xml:space="preserve">For </w:t>
      </w:r>
      <w:r w:rsidR="000674BA" w:rsidRPr="00D02E87">
        <w:rPr>
          <w:rFonts w:ascii="Times New Roman" w:hAnsi="Times New Roman" w:cs="Times New Roman"/>
        </w:rPr>
        <w:t xml:space="preserve">simultaneous </w:t>
      </w:r>
      <w:r w:rsidRPr="00D02E87">
        <w:rPr>
          <w:rFonts w:ascii="Times New Roman" w:hAnsi="Times New Roman" w:cs="Times New Roman"/>
        </w:rPr>
        <w:t xml:space="preserve">RRC based BWP switch on multiple CCs, there </w:t>
      </w:r>
      <w:r w:rsidR="00901190" w:rsidRPr="00D02E87">
        <w:rPr>
          <w:rFonts w:ascii="Times New Roman" w:hAnsi="Times New Roman" w:cs="Times New Roman"/>
        </w:rPr>
        <w:t>are</w:t>
      </w:r>
      <w:r w:rsidRPr="00D02E87">
        <w:rPr>
          <w:rFonts w:ascii="Times New Roman" w:hAnsi="Times New Roman" w:cs="Times New Roman"/>
        </w:rPr>
        <w:t xml:space="preserve"> some </w:t>
      </w:r>
      <w:r w:rsidR="000674BA" w:rsidRPr="00D02E87">
        <w:rPr>
          <w:rFonts w:ascii="Times New Roman" w:hAnsi="Times New Roman" w:cs="Times New Roman"/>
        </w:rPr>
        <w:t>issues</w:t>
      </w:r>
      <w:r w:rsidRPr="00D02E87">
        <w:rPr>
          <w:rFonts w:ascii="Times New Roman" w:hAnsi="Times New Roman" w:cs="Times New Roman"/>
        </w:rPr>
        <w:t xml:space="preserve"> related to SCell</w:t>
      </w:r>
      <w:r w:rsidR="00901190" w:rsidRPr="00D02E87">
        <w:rPr>
          <w:rFonts w:ascii="Times New Roman" w:hAnsi="Times New Roman" w:cs="Times New Roman"/>
        </w:rPr>
        <w:t xml:space="preserve"> since BWP switch will happen on Scell only when SCell has been activated. The same issue happens in RRC based BWP switch on single CC for SCell. We provide companied discussion paper for RRC based BWP switch on single CC for SCell[</w:t>
      </w:r>
      <w:r w:rsidR="004E23D7">
        <w:rPr>
          <w:rFonts w:ascii="Times New Roman" w:hAnsi="Times New Roman" w:cs="Times New Roman"/>
        </w:rPr>
        <w:t>1</w:t>
      </w:r>
      <w:r w:rsidR="00901190" w:rsidRPr="00D02E87">
        <w:rPr>
          <w:rFonts w:ascii="Times New Roman" w:hAnsi="Times New Roman" w:cs="Times New Roman"/>
        </w:rPr>
        <w:t>].</w:t>
      </w:r>
    </w:p>
    <w:p w14:paraId="6A15777D" w14:textId="427BA637" w:rsidR="00A53808" w:rsidRPr="00D02E87" w:rsidRDefault="00A53808" w:rsidP="00A53808">
      <w:pPr>
        <w:pStyle w:val="Heading1"/>
        <w:numPr>
          <w:ilvl w:val="0"/>
          <w:numId w:val="2"/>
        </w:numPr>
        <w:overflowPunct/>
        <w:autoSpaceDE/>
        <w:autoSpaceDN/>
        <w:adjustRightInd/>
        <w:textAlignment w:val="auto"/>
        <w:rPr>
          <w:rFonts w:ascii="Times New Roman" w:hAnsi="Times New Roman"/>
          <w:lang w:val="en-US"/>
        </w:rPr>
      </w:pPr>
      <w:bookmarkStart w:id="3" w:name="_Hlk54269000"/>
      <w:r w:rsidRPr="00D02E87">
        <w:rPr>
          <w:rFonts w:ascii="Times New Roman" w:hAnsi="Times New Roman"/>
          <w:lang w:val="en-US"/>
        </w:rPr>
        <w:t>Discussion</w:t>
      </w:r>
    </w:p>
    <w:p w14:paraId="28957112" w14:textId="266100EA" w:rsidR="00F458FE" w:rsidRPr="00D02E87" w:rsidRDefault="00E45691" w:rsidP="00FB324D">
      <w:pPr>
        <w:rPr>
          <w:rFonts w:ascii="Times New Roman" w:hAnsi="Times New Roman" w:cs="Times New Roman"/>
        </w:rPr>
      </w:pPr>
      <w:bookmarkStart w:id="4" w:name="_Hlk54208963"/>
      <w:bookmarkStart w:id="5" w:name="_Hlk54269497"/>
      <w:bookmarkEnd w:id="3"/>
      <w:r w:rsidRPr="00D02E87">
        <w:rPr>
          <w:rFonts w:ascii="Times New Roman" w:hAnsi="Times New Roman" w:cs="Times New Roman"/>
        </w:rPr>
        <w:t>F</w:t>
      </w:r>
      <w:r w:rsidR="00F458FE" w:rsidRPr="00D02E87">
        <w:rPr>
          <w:rFonts w:ascii="Times New Roman" w:hAnsi="Times New Roman" w:cs="Times New Roman"/>
        </w:rPr>
        <w:t>irstActiveDownlinkBWP-id is used to switch BWP with RRC signaling. For PCell, the UE switch to firstActiveDownlinkBWP-id immediately upon RRC reconfiguration of firstActiveDownlinkBWP-id. However, in case of SCell, the UE switch to firstActiveDownlinkBWP-id upon activation of an SCell, which is shown in 38.331:</w:t>
      </w:r>
    </w:p>
    <w:tbl>
      <w:tblPr>
        <w:tblStyle w:val="TableGrid"/>
        <w:tblW w:w="0" w:type="auto"/>
        <w:tblLook w:val="04A0" w:firstRow="1" w:lastRow="0" w:firstColumn="1" w:lastColumn="0" w:noHBand="0" w:noVBand="1"/>
      </w:tblPr>
      <w:tblGrid>
        <w:gridCol w:w="9350"/>
      </w:tblGrid>
      <w:tr w:rsidR="00F458FE" w:rsidRPr="00D02E87" w14:paraId="43554935" w14:textId="77777777" w:rsidTr="00F458FE">
        <w:tc>
          <w:tcPr>
            <w:tcW w:w="9350" w:type="dxa"/>
          </w:tcPr>
          <w:p w14:paraId="12B4F630" w14:textId="55E2C0BB" w:rsidR="00F458FE" w:rsidRPr="00D02E87" w:rsidRDefault="00F458FE" w:rsidP="00FB324D">
            <w:r w:rsidRPr="00D02E87">
              <w:rPr>
                <w:b/>
                <w:bCs/>
                <w:i/>
                <w:iCs/>
                <w:color w:val="000000"/>
                <w:sz w:val="18"/>
                <w:szCs w:val="18"/>
              </w:rPr>
              <w:t>firstActiveDownlinkBWP-Id</w:t>
            </w:r>
            <w:r w:rsidRPr="00D02E87">
              <w:rPr>
                <w:b/>
                <w:bCs/>
                <w:i/>
                <w:iCs/>
                <w:color w:val="000000"/>
                <w:sz w:val="18"/>
                <w:szCs w:val="18"/>
              </w:rPr>
              <w:br/>
            </w:r>
            <w:r w:rsidRPr="00D02E87">
              <w:rPr>
                <w:color w:val="000000"/>
                <w:sz w:val="18"/>
                <w:szCs w:val="18"/>
              </w:rPr>
              <w:t>If configured for an SpCell, this field contains the ID of the DL BWP to be activated upon performing the RRC (re-)configuration. If the field is absent, the RRC (re-)configuration does not impose a BWP switch.</w:t>
            </w:r>
            <w:r w:rsidRPr="00D02E87">
              <w:rPr>
                <w:color w:val="000000"/>
                <w:sz w:val="18"/>
                <w:szCs w:val="18"/>
              </w:rPr>
              <w:br/>
            </w:r>
            <w:r w:rsidRPr="00D02E87">
              <w:rPr>
                <w:color w:val="000000"/>
                <w:sz w:val="18"/>
                <w:szCs w:val="18"/>
              </w:rPr>
              <w:br/>
            </w:r>
            <w:r w:rsidRPr="00D02E87">
              <w:rPr>
                <w:color w:val="000000"/>
                <w:sz w:val="18"/>
                <w:szCs w:val="18"/>
                <w:highlight w:val="yellow"/>
              </w:rPr>
              <w:t>If configured for an SCell, this field contains the ID of the downlink bandwidth part to be used upon activation of an SCell. The initial bandwidth part is referred to by BWP-Id =0.</w:t>
            </w:r>
            <w:r w:rsidRPr="00D02E87">
              <w:rPr>
                <w:color w:val="000000"/>
                <w:sz w:val="18"/>
                <w:szCs w:val="18"/>
              </w:rPr>
              <w:br/>
            </w:r>
            <w:r w:rsidRPr="00D02E87">
              <w:rPr>
                <w:color w:val="000000"/>
                <w:sz w:val="18"/>
                <w:szCs w:val="18"/>
              </w:rPr>
              <w:br/>
              <w:t xml:space="preserve">Upon PCell change and PSCell addition/change, the network sets the </w:t>
            </w:r>
            <w:r w:rsidRPr="00D02E87">
              <w:rPr>
                <w:i/>
                <w:iCs/>
                <w:color w:val="000000"/>
                <w:sz w:val="18"/>
                <w:szCs w:val="18"/>
              </w:rPr>
              <w:t xml:space="preserve">firstActiveDownlinkBWP-Id </w:t>
            </w:r>
            <w:r w:rsidRPr="00D02E87">
              <w:rPr>
                <w:color w:val="000000"/>
                <w:sz w:val="18"/>
                <w:szCs w:val="18"/>
              </w:rPr>
              <w:t xml:space="preserve">and </w:t>
            </w:r>
            <w:r w:rsidRPr="00D02E87">
              <w:rPr>
                <w:i/>
                <w:iCs/>
                <w:color w:val="000000"/>
                <w:sz w:val="18"/>
                <w:szCs w:val="18"/>
              </w:rPr>
              <w:t xml:space="preserve">firstActiveUplinkBWP-Id </w:t>
            </w:r>
            <w:r w:rsidRPr="00D02E87">
              <w:rPr>
                <w:color w:val="000000"/>
                <w:sz w:val="18"/>
                <w:szCs w:val="18"/>
              </w:rPr>
              <w:t>to the same value</w:t>
            </w:r>
          </w:p>
        </w:tc>
      </w:tr>
    </w:tbl>
    <w:p w14:paraId="79AECA35" w14:textId="77777777" w:rsidR="00F458FE" w:rsidRPr="00D02E87" w:rsidRDefault="00F458FE" w:rsidP="00FB324D">
      <w:pPr>
        <w:rPr>
          <w:rFonts w:ascii="Times New Roman" w:hAnsi="Times New Roman" w:cs="Times New Roman"/>
        </w:rPr>
      </w:pPr>
    </w:p>
    <w:p w14:paraId="75CA664C" w14:textId="77777777" w:rsidR="00901190" w:rsidRPr="00D02E87" w:rsidRDefault="00FB324D" w:rsidP="00FB324D">
      <w:pPr>
        <w:rPr>
          <w:rFonts w:ascii="Times New Roman" w:hAnsi="Times New Roman" w:cs="Times New Roman"/>
        </w:rPr>
      </w:pPr>
      <w:r w:rsidRPr="00D02E87">
        <w:rPr>
          <w:rFonts w:ascii="Times New Roman" w:hAnsi="Times New Roman" w:cs="Times New Roman"/>
        </w:rPr>
        <w:t xml:space="preserve">If the status of SCell is deactivated, the UE switches firstActiveDownlinkBWP-id when the UE receives activation of the SCell. </w:t>
      </w:r>
      <w:r w:rsidR="00F458FE" w:rsidRPr="00D02E87">
        <w:rPr>
          <w:rFonts w:ascii="Times New Roman" w:hAnsi="Times New Roman" w:cs="Times New Roman"/>
        </w:rPr>
        <w:t>Therefore, the current delay requirement of single BWP switch only applies for PCell and needs more discussion for SCell</w:t>
      </w:r>
      <w:r w:rsidR="004A7C7A" w:rsidRPr="00D02E87">
        <w:rPr>
          <w:rFonts w:ascii="Times New Roman" w:hAnsi="Times New Roman" w:cs="Times New Roman"/>
        </w:rPr>
        <w:t>.</w:t>
      </w:r>
      <w:bookmarkEnd w:id="4"/>
      <w:r w:rsidR="004A7C7A" w:rsidRPr="00D02E87">
        <w:rPr>
          <w:rFonts w:ascii="Times New Roman" w:hAnsi="Times New Roman" w:cs="Times New Roman"/>
        </w:rPr>
        <w:t xml:space="preserve"> </w:t>
      </w:r>
    </w:p>
    <w:p w14:paraId="6D53C831" w14:textId="682B7DE7" w:rsidR="00D85509" w:rsidRPr="00D02E87" w:rsidRDefault="00FB324D" w:rsidP="00A53808">
      <w:pPr>
        <w:rPr>
          <w:rFonts w:ascii="Times New Roman" w:hAnsi="Times New Roman" w:cs="Times New Roman"/>
        </w:rPr>
      </w:pPr>
      <w:bookmarkStart w:id="6" w:name="_Hlk54209162"/>
      <w:bookmarkStart w:id="7" w:name="_Hlk54342217"/>
      <w:bookmarkEnd w:id="5"/>
      <w:r w:rsidRPr="00D02E87">
        <w:rPr>
          <w:rFonts w:ascii="Times New Roman" w:hAnsi="Times New Roman" w:cs="Times New Roman"/>
        </w:rPr>
        <w:t xml:space="preserve">For </w:t>
      </w:r>
      <w:r w:rsidR="000674BA" w:rsidRPr="00D02E87">
        <w:rPr>
          <w:rFonts w:ascii="Times New Roman" w:hAnsi="Times New Roman" w:cs="Times New Roman"/>
        </w:rPr>
        <w:t xml:space="preserve">RRC based </w:t>
      </w:r>
      <w:r w:rsidRPr="00D02E87">
        <w:rPr>
          <w:rFonts w:ascii="Times New Roman" w:hAnsi="Times New Roman" w:cs="Times New Roman"/>
        </w:rPr>
        <w:t>BWP switch on multiple CCs,</w:t>
      </w:r>
      <w:r w:rsidR="00D85509" w:rsidRPr="00D02E87">
        <w:rPr>
          <w:rFonts w:ascii="Times New Roman" w:hAnsi="Times New Roman" w:cs="Times New Roman"/>
        </w:rPr>
        <w:t xml:space="preserve"> there are two scenarios:</w:t>
      </w:r>
    </w:p>
    <w:p w14:paraId="6789ED6B" w14:textId="67B2F717" w:rsidR="00D85509" w:rsidRPr="00D02E87" w:rsidRDefault="00D85509" w:rsidP="00D85509">
      <w:pPr>
        <w:pStyle w:val="ListParagraph"/>
        <w:numPr>
          <w:ilvl w:val="0"/>
          <w:numId w:val="4"/>
        </w:numPr>
        <w:rPr>
          <w:rFonts w:eastAsiaTheme="minorEastAsia"/>
          <w:sz w:val="22"/>
          <w:szCs w:val="22"/>
          <w:lang w:eastAsia="zh-CN"/>
        </w:rPr>
      </w:pPr>
      <w:r w:rsidRPr="00D02E87">
        <w:rPr>
          <w:rFonts w:eastAsiaTheme="minorEastAsia"/>
          <w:sz w:val="22"/>
          <w:szCs w:val="22"/>
          <w:lang w:eastAsia="zh-CN"/>
        </w:rPr>
        <w:t>Simultaneous</w:t>
      </w:r>
    </w:p>
    <w:p w14:paraId="45D8F216" w14:textId="290BC7B9" w:rsidR="00D85509" w:rsidRPr="00D02E87" w:rsidRDefault="00D85509" w:rsidP="00D85509">
      <w:pPr>
        <w:pStyle w:val="ListParagraph"/>
        <w:numPr>
          <w:ilvl w:val="0"/>
          <w:numId w:val="4"/>
        </w:numPr>
        <w:rPr>
          <w:rFonts w:eastAsiaTheme="minorEastAsia"/>
          <w:sz w:val="22"/>
          <w:szCs w:val="22"/>
          <w:lang w:eastAsia="zh-CN"/>
        </w:rPr>
      </w:pPr>
      <w:r w:rsidRPr="00D02E87">
        <w:rPr>
          <w:rFonts w:eastAsiaTheme="minorEastAsia"/>
          <w:sz w:val="22"/>
          <w:szCs w:val="22"/>
          <w:lang w:eastAsia="zh-CN"/>
        </w:rPr>
        <w:t>Partial-overlapped</w:t>
      </w:r>
    </w:p>
    <w:p w14:paraId="366A519E" w14:textId="1E81F1F2" w:rsidR="00FC7E04" w:rsidRPr="00D02E87" w:rsidRDefault="00FC7E04" w:rsidP="00FC7E04">
      <w:pPr>
        <w:tabs>
          <w:tab w:val="left" w:pos="4994"/>
        </w:tabs>
        <w:rPr>
          <w:rFonts w:ascii="Times New Roman" w:hAnsi="Times New Roman" w:cs="Times New Roman"/>
        </w:rPr>
      </w:pPr>
      <w:r w:rsidRPr="00D02E87">
        <w:rPr>
          <w:rFonts w:ascii="Times New Roman" w:hAnsi="Times New Roman" w:cs="Times New Roman"/>
        </w:rPr>
        <w:t>Here, we will discuss the scenario of Simultaneous RRC based BWP switch on multiple CCs.</w:t>
      </w:r>
    </w:p>
    <w:p w14:paraId="2598E79A" w14:textId="7BBA4D22" w:rsidR="000674BA" w:rsidRPr="00D02E87" w:rsidRDefault="00FC7E04" w:rsidP="00A53808">
      <w:pPr>
        <w:rPr>
          <w:rFonts w:ascii="Times New Roman" w:hAnsi="Times New Roman" w:cs="Times New Roman"/>
          <w:b/>
          <w:bCs/>
          <w:u w:val="single"/>
        </w:rPr>
      </w:pPr>
      <w:r w:rsidRPr="00D02E87">
        <w:rPr>
          <w:rFonts w:ascii="Times New Roman" w:hAnsi="Times New Roman" w:cs="Times New Roman"/>
          <w:b/>
          <w:bCs/>
          <w:u w:val="single"/>
        </w:rPr>
        <w:t xml:space="preserve">Case 1: </w:t>
      </w:r>
      <w:r w:rsidR="000674BA" w:rsidRPr="00D02E87">
        <w:rPr>
          <w:rFonts w:ascii="Times New Roman" w:hAnsi="Times New Roman" w:cs="Times New Roman"/>
          <w:b/>
          <w:bCs/>
          <w:u w:val="single"/>
        </w:rPr>
        <w:t>BWP switches involves both PCell and SCell</w:t>
      </w:r>
    </w:p>
    <w:p w14:paraId="4333FC1E" w14:textId="32B0AF05" w:rsidR="00862B84" w:rsidRPr="00D02E87" w:rsidRDefault="00BA3D2E" w:rsidP="00493F59">
      <w:pPr>
        <w:pStyle w:val="ListParagraph"/>
        <w:numPr>
          <w:ilvl w:val="0"/>
          <w:numId w:val="4"/>
        </w:numPr>
        <w:rPr>
          <w:rFonts w:eastAsia="Times New Roman"/>
        </w:rPr>
      </w:pPr>
      <w:r w:rsidRPr="00D02E87">
        <w:t>I</w:t>
      </w:r>
      <w:r w:rsidR="00FB324D" w:rsidRPr="00D02E87">
        <w:t xml:space="preserve">f the </w:t>
      </w:r>
      <w:r w:rsidR="00FC7E04" w:rsidRPr="00D02E87">
        <w:t>RRC signaling</w:t>
      </w:r>
      <w:r w:rsidRPr="00D02E87">
        <w:t xml:space="preserve"> </w:t>
      </w:r>
      <w:r w:rsidR="00FB324D" w:rsidRPr="00D02E87">
        <w:t xml:space="preserve">involves </w:t>
      </w:r>
      <w:r w:rsidRPr="00D02E87">
        <w:t xml:space="preserve">BWP switches for </w:t>
      </w:r>
      <w:r w:rsidR="00FB324D" w:rsidRPr="00D02E87">
        <w:t>both PCell and SCell, the applied BWP switch timing may be different for PCell and SCell</w:t>
      </w:r>
      <w:r w:rsidR="002631EB" w:rsidRPr="00D02E87">
        <w:t>.</w:t>
      </w:r>
      <w:r w:rsidR="00D069CD" w:rsidRPr="00D02E87">
        <w:t xml:space="preserve"> </w:t>
      </w:r>
      <w:r w:rsidRPr="00D02E87">
        <w:t>If the status of SCell is deactivated,</w:t>
      </w:r>
      <w:r w:rsidR="00862B84" w:rsidRPr="00D02E87">
        <w:rPr>
          <w:rFonts w:eastAsia="Times New Roman"/>
        </w:rPr>
        <w:t xml:space="preserve"> the UE will switch to firstActiveDownlinkBWP-Id upon SCell activation. If the status of Scell is activated, the UE will switch to firstActiveDownlinkBWP-Id upon ‘next’ SCell activation after this SCell is deactivated.</w:t>
      </w:r>
      <w:r w:rsidR="00312F38" w:rsidRPr="00312F38">
        <w:t xml:space="preserve"> </w:t>
      </w:r>
      <w:r w:rsidR="00312F38" w:rsidRPr="00D02E87">
        <w:t>it seems that it’s hard to perform simultaneous BWP switch on</w:t>
      </w:r>
      <w:r w:rsidR="00312F38">
        <w:t xml:space="preserve"> PCell and SCell.</w:t>
      </w:r>
    </w:p>
    <w:p w14:paraId="0462B068" w14:textId="39548772" w:rsidR="00493F59" w:rsidRPr="00D02E87" w:rsidRDefault="00493F59" w:rsidP="00493F59">
      <w:pPr>
        <w:rPr>
          <w:rFonts w:ascii="Times New Roman" w:hAnsi="Times New Roman" w:cs="Times New Roman"/>
          <w:b/>
          <w:bCs/>
          <w:u w:val="single"/>
        </w:rPr>
      </w:pPr>
      <w:r w:rsidRPr="00D02E87">
        <w:rPr>
          <w:rFonts w:ascii="Times New Roman" w:hAnsi="Times New Roman" w:cs="Times New Roman"/>
          <w:b/>
          <w:bCs/>
          <w:u w:val="single"/>
        </w:rPr>
        <w:lastRenderedPageBreak/>
        <w:t>Case 2: BWP switches involves multiple SCells</w:t>
      </w:r>
    </w:p>
    <w:bookmarkEnd w:id="6"/>
    <w:p w14:paraId="38824D07" w14:textId="2980F431" w:rsidR="00B9600B" w:rsidRPr="00D02E87" w:rsidRDefault="00312F38" w:rsidP="00493F59">
      <w:pPr>
        <w:pStyle w:val="ListParagraph"/>
        <w:numPr>
          <w:ilvl w:val="0"/>
          <w:numId w:val="4"/>
        </w:numPr>
      </w:pPr>
      <w:r>
        <w:t>If BWP switch involves multiple SCells</w:t>
      </w:r>
      <w:r w:rsidR="00216355" w:rsidRPr="00D02E87">
        <w:t xml:space="preserve">, UE can perform BWP switch on each SCell only after </w:t>
      </w:r>
      <w:r w:rsidR="00AE6F77" w:rsidRPr="00D02E87">
        <w:t>each Scell</w:t>
      </w:r>
      <w:r w:rsidR="00216355" w:rsidRPr="00D02E87">
        <w:t xml:space="preserve"> is activated. </w:t>
      </w:r>
      <w:r w:rsidR="00B9600B" w:rsidRPr="00D02E87">
        <w:t xml:space="preserve">UE receives one single MAC command for multiple SCell activation, however, it will not guarantee that </w:t>
      </w:r>
      <w:bookmarkStart w:id="8" w:name="_Hlk54209297"/>
      <w:r w:rsidR="00B9600B" w:rsidRPr="00D02E87">
        <w:t>multiple SCell activation will finish at the same time.</w:t>
      </w:r>
      <w:r w:rsidR="00AE6F77" w:rsidRPr="00D02E87">
        <w:t xml:space="preserve"> Then the BWP switch on multiple SCells may not start at the same time.</w:t>
      </w:r>
    </w:p>
    <w:bookmarkEnd w:id="7"/>
    <w:bookmarkEnd w:id="8"/>
    <w:p w14:paraId="2392F1F9" w14:textId="13BFA125" w:rsidR="004A5E81" w:rsidRDefault="00AE6F77" w:rsidP="00C55619">
      <w:pPr>
        <w:rPr>
          <w:rFonts w:ascii="Times New Roman" w:hAnsi="Times New Roman" w:cs="Times New Roman"/>
        </w:rPr>
      </w:pPr>
      <w:r w:rsidRPr="00D02E87">
        <w:rPr>
          <w:rFonts w:ascii="Times New Roman" w:hAnsi="Times New Roman" w:cs="Times New Roman"/>
        </w:rPr>
        <w:t>According to case 1, i</w:t>
      </w:r>
      <w:r w:rsidR="00A841E7" w:rsidRPr="00D02E87">
        <w:rPr>
          <w:rFonts w:ascii="Times New Roman" w:hAnsi="Times New Roman" w:cs="Times New Roman"/>
        </w:rPr>
        <w:t>t seems that it’s hard to perform simultaneous BWP switch on multiple CCs.</w:t>
      </w:r>
      <w:r w:rsidR="006D6BDC">
        <w:rPr>
          <w:rFonts w:ascii="Times New Roman" w:hAnsi="Times New Roman" w:cs="Times New Roman"/>
        </w:rPr>
        <w:t xml:space="preserve"> In this case, the total BWP switch time will consider the extra delay time introduced by SCell. The extra delay time is dependent on the status of SCell.</w:t>
      </w:r>
      <w:r w:rsidR="004A5E81" w:rsidRPr="00D02E87">
        <w:rPr>
          <w:rFonts w:ascii="Times New Roman" w:hAnsi="Times New Roman" w:cs="Times New Roman"/>
        </w:rPr>
        <w:t xml:space="preserve"> </w:t>
      </w:r>
      <w:r w:rsidR="004A5E81">
        <w:rPr>
          <w:rFonts w:ascii="Times New Roman" w:hAnsi="Times New Roman" w:cs="Times New Roman"/>
        </w:rPr>
        <w:t xml:space="preserve">For case 2, </w:t>
      </w:r>
      <w:r w:rsidR="00490D3F">
        <w:rPr>
          <w:rFonts w:ascii="Times New Roman" w:hAnsi="Times New Roman" w:cs="Times New Roman"/>
        </w:rPr>
        <w:t xml:space="preserve">whether </w:t>
      </w:r>
      <w:r w:rsidR="004A5E81" w:rsidRPr="00E460B7">
        <w:rPr>
          <w:rFonts w:ascii="Times New Roman" w:hAnsi="Times New Roman" w:cs="Times New Roman"/>
        </w:rPr>
        <w:t xml:space="preserve">simultaneous BWP switch </w:t>
      </w:r>
      <w:r w:rsidR="00490D3F">
        <w:rPr>
          <w:rFonts w:ascii="Times New Roman" w:hAnsi="Times New Roman" w:cs="Times New Roman"/>
        </w:rPr>
        <w:t xml:space="preserve">can be applied </w:t>
      </w:r>
      <w:r w:rsidR="004A5E81" w:rsidRPr="00E460B7">
        <w:rPr>
          <w:rFonts w:ascii="Times New Roman" w:hAnsi="Times New Roman" w:cs="Times New Roman"/>
        </w:rPr>
        <w:t xml:space="preserve">on multiple </w:t>
      </w:r>
      <w:r w:rsidR="004A5E81">
        <w:rPr>
          <w:rFonts w:ascii="Times New Roman" w:hAnsi="Times New Roman" w:cs="Times New Roman"/>
        </w:rPr>
        <w:t>SCells</w:t>
      </w:r>
      <w:r w:rsidR="004A5E81" w:rsidRPr="00E460B7">
        <w:rPr>
          <w:rFonts w:ascii="Times New Roman" w:hAnsi="Times New Roman" w:cs="Times New Roman"/>
        </w:rPr>
        <w:t xml:space="preserve"> needs more discussion. </w:t>
      </w:r>
    </w:p>
    <w:p w14:paraId="2166972E" w14:textId="17100BAF" w:rsidR="00FC5082" w:rsidRDefault="00FC5082" w:rsidP="00FC5082">
      <w:pPr>
        <w:rPr>
          <w:rFonts w:ascii="Times New Roman" w:hAnsi="Times New Roman" w:cs="Times New Roman"/>
          <w:b/>
          <w:bCs/>
          <w:i/>
          <w:iCs/>
        </w:rPr>
      </w:pPr>
      <w:r>
        <w:rPr>
          <w:rFonts w:ascii="Times New Roman" w:hAnsi="Times New Roman" w:cs="Times New Roman"/>
          <w:b/>
          <w:bCs/>
          <w:i/>
          <w:iCs/>
        </w:rPr>
        <w:t xml:space="preserve">Proposal 1: </w:t>
      </w:r>
      <w:r w:rsidR="004A5E81">
        <w:rPr>
          <w:rFonts w:ascii="Times New Roman" w:hAnsi="Times New Roman" w:cs="Times New Roman"/>
          <w:b/>
          <w:bCs/>
          <w:i/>
          <w:iCs/>
        </w:rPr>
        <w:t xml:space="preserve">Simultaneous </w:t>
      </w:r>
      <w:r>
        <w:rPr>
          <w:rFonts w:ascii="Times New Roman" w:hAnsi="Times New Roman" w:cs="Times New Roman"/>
          <w:b/>
          <w:bCs/>
          <w:i/>
          <w:iCs/>
        </w:rPr>
        <w:t xml:space="preserve">RRC based BWP switch can’t be applied </w:t>
      </w:r>
      <w:r w:rsidR="004A5E81">
        <w:rPr>
          <w:rFonts w:ascii="Times New Roman" w:hAnsi="Times New Roman" w:cs="Times New Roman"/>
          <w:b/>
          <w:bCs/>
          <w:i/>
          <w:iCs/>
        </w:rPr>
        <w:t>for case 1</w:t>
      </w:r>
      <w:r>
        <w:rPr>
          <w:rFonts w:ascii="Times New Roman" w:hAnsi="Times New Roman" w:cs="Times New Roman"/>
          <w:b/>
          <w:bCs/>
          <w:i/>
          <w:iCs/>
        </w:rPr>
        <w:t>.</w:t>
      </w:r>
      <w:r w:rsidR="004A5E81" w:rsidRPr="004A5E81">
        <w:rPr>
          <w:rFonts w:ascii="Times New Roman" w:hAnsi="Times New Roman" w:cs="Times New Roman"/>
          <w:b/>
          <w:bCs/>
          <w:i/>
          <w:iCs/>
        </w:rPr>
        <w:t xml:space="preserve"> </w:t>
      </w:r>
      <w:r w:rsidR="004A5E81">
        <w:rPr>
          <w:rFonts w:ascii="Times New Roman" w:hAnsi="Times New Roman" w:cs="Times New Roman"/>
          <w:b/>
          <w:bCs/>
          <w:i/>
          <w:iCs/>
        </w:rPr>
        <w:t>Clarify if case 2 can be applied simultaneously</w:t>
      </w:r>
      <w:r w:rsidR="003551C7">
        <w:rPr>
          <w:rFonts w:ascii="Times New Roman" w:hAnsi="Times New Roman" w:cs="Times New Roman"/>
          <w:b/>
          <w:bCs/>
          <w:i/>
          <w:iCs/>
        </w:rPr>
        <w:t>.</w:t>
      </w:r>
    </w:p>
    <w:p w14:paraId="0CAE99DB" w14:textId="0138CE5F" w:rsidR="00FC5082" w:rsidRDefault="00FC5082" w:rsidP="00C55619">
      <w:pPr>
        <w:rPr>
          <w:rFonts w:ascii="Times New Roman" w:hAnsi="Times New Roman" w:cs="Times New Roman"/>
          <w:b/>
          <w:bCs/>
          <w:i/>
          <w:iCs/>
        </w:rPr>
      </w:pPr>
      <w:r w:rsidRPr="00E460B7">
        <w:rPr>
          <w:rFonts w:ascii="Times New Roman" w:hAnsi="Times New Roman" w:cs="Times New Roman"/>
        </w:rPr>
        <w:t xml:space="preserve">if </w:t>
      </w:r>
      <w:r>
        <w:rPr>
          <w:rFonts w:ascii="Times New Roman" w:hAnsi="Times New Roman" w:cs="Times New Roman"/>
        </w:rPr>
        <w:t xml:space="preserve">both case 1 and </w:t>
      </w:r>
      <w:r w:rsidRPr="00E460B7">
        <w:rPr>
          <w:rFonts w:ascii="Times New Roman" w:hAnsi="Times New Roman" w:cs="Times New Roman"/>
        </w:rPr>
        <w:t>case 2 can</w:t>
      </w:r>
      <w:r>
        <w:rPr>
          <w:rFonts w:ascii="Times New Roman" w:hAnsi="Times New Roman" w:cs="Times New Roman"/>
        </w:rPr>
        <w:t>’t</w:t>
      </w:r>
      <w:r w:rsidRPr="00E460B7">
        <w:rPr>
          <w:rFonts w:ascii="Times New Roman" w:hAnsi="Times New Roman" w:cs="Times New Roman"/>
        </w:rPr>
        <w:t xml:space="preserve"> be applied simultaneously</w:t>
      </w:r>
      <w:r>
        <w:rPr>
          <w:rFonts w:ascii="Times New Roman" w:hAnsi="Times New Roman" w:cs="Times New Roman"/>
        </w:rPr>
        <w:t xml:space="preserve">, </w:t>
      </w:r>
      <w:r w:rsidRPr="00E460B7">
        <w:rPr>
          <w:rFonts w:ascii="Times New Roman" w:hAnsi="Times New Roman" w:cs="Times New Roman"/>
        </w:rPr>
        <w:t>the delay requirement about simultaneous RRC based BWP switch on multiple CCs will be removed.</w:t>
      </w:r>
      <w:r>
        <w:rPr>
          <w:rFonts w:ascii="Times New Roman" w:hAnsi="Times New Roman" w:cs="Times New Roman"/>
        </w:rPr>
        <w:t xml:space="preserve"> </w:t>
      </w:r>
      <w:r w:rsidR="009A63B8">
        <w:rPr>
          <w:rFonts w:ascii="Times New Roman" w:hAnsi="Times New Roman" w:cs="Times New Roman"/>
        </w:rPr>
        <w:t>T</w:t>
      </w:r>
      <w:r w:rsidRPr="00FC5082">
        <w:rPr>
          <w:rFonts w:ascii="Times New Roman" w:hAnsi="Times New Roman" w:cs="Times New Roman"/>
        </w:rPr>
        <w:t>he BWP switch will happen non-simultaneously</w:t>
      </w:r>
      <w:r>
        <w:rPr>
          <w:rFonts w:ascii="Times New Roman" w:hAnsi="Times New Roman" w:cs="Times New Roman"/>
        </w:rPr>
        <w:t xml:space="preserve"> on multiple CCs</w:t>
      </w:r>
      <w:r w:rsidRPr="00FC5082">
        <w:rPr>
          <w:rFonts w:ascii="Times New Roman" w:hAnsi="Times New Roman" w:cs="Times New Roman"/>
        </w:rPr>
        <w:t xml:space="preserve">. </w:t>
      </w:r>
      <w:r>
        <w:rPr>
          <w:rFonts w:ascii="Times New Roman" w:hAnsi="Times New Roman" w:cs="Times New Roman"/>
        </w:rPr>
        <w:t>It needs further discussion whether new delay requirement needs to be defined for case 1 and case 2.</w:t>
      </w:r>
    </w:p>
    <w:p w14:paraId="6792DAA5" w14:textId="77777777" w:rsidR="00760126" w:rsidRDefault="00357E54" w:rsidP="00FC5082">
      <w:pPr>
        <w:rPr>
          <w:rFonts w:ascii="Times New Roman" w:hAnsi="Times New Roman" w:cs="Times New Roman"/>
          <w:b/>
          <w:bCs/>
          <w:i/>
          <w:iCs/>
        </w:rPr>
      </w:pPr>
      <w:r>
        <w:rPr>
          <w:rFonts w:ascii="Times New Roman" w:hAnsi="Times New Roman" w:cs="Times New Roman"/>
          <w:b/>
          <w:bCs/>
          <w:i/>
          <w:iCs/>
        </w:rPr>
        <w:t xml:space="preserve"> </w:t>
      </w:r>
      <w:r w:rsidR="00FC5082">
        <w:rPr>
          <w:rFonts w:ascii="Times New Roman" w:hAnsi="Times New Roman" w:cs="Times New Roman"/>
          <w:b/>
          <w:bCs/>
          <w:i/>
          <w:iCs/>
        </w:rPr>
        <w:t xml:space="preserve">Proposal </w:t>
      </w:r>
      <w:r w:rsidR="004A5E81">
        <w:rPr>
          <w:rFonts w:ascii="Times New Roman" w:hAnsi="Times New Roman" w:cs="Times New Roman"/>
          <w:b/>
          <w:bCs/>
          <w:i/>
          <w:iCs/>
        </w:rPr>
        <w:t>2</w:t>
      </w:r>
      <w:r w:rsidR="00FC5082">
        <w:rPr>
          <w:rFonts w:ascii="Times New Roman" w:hAnsi="Times New Roman" w:cs="Times New Roman"/>
          <w:b/>
          <w:bCs/>
          <w:i/>
          <w:iCs/>
        </w:rPr>
        <w:t xml:space="preserve">: </w:t>
      </w:r>
      <w:r w:rsidR="008D0C1B">
        <w:rPr>
          <w:rFonts w:ascii="Times New Roman" w:hAnsi="Times New Roman" w:cs="Times New Roman"/>
          <w:b/>
          <w:bCs/>
          <w:i/>
          <w:iCs/>
        </w:rPr>
        <w:t>I</w:t>
      </w:r>
      <w:r w:rsidR="009A63B8" w:rsidRPr="008D0C1B">
        <w:rPr>
          <w:rFonts w:ascii="Times New Roman" w:hAnsi="Times New Roman" w:cs="Times New Roman"/>
          <w:b/>
          <w:bCs/>
          <w:i/>
          <w:iCs/>
        </w:rPr>
        <w:t>f both case 1 and case 2 can’t be applied simultaneously, the delay requirement about simultaneous RRC based BWP switch on multiple CCs will be removed.</w:t>
      </w:r>
      <w:r w:rsidR="004A5E81" w:rsidRPr="004A5E81">
        <w:rPr>
          <w:rFonts w:ascii="Times New Roman" w:hAnsi="Times New Roman" w:cs="Times New Roman"/>
          <w:b/>
          <w:bCs/>
          <w:i/>
          <w:iCs/>
        </w:rPr>
        <w:t xml:space="preserve"> </w:t>
      </w:r>
    </w:p>
    <w:p w14:paraId="7E3DBD9D" w14:textId="218CB16D" w:rsidR="00FC5082" w:rsidRPr="00FC5082" w:rsidRDefault="00760126" w:rsidP="00FC5082">
      <w:pPr>
        <w:rPr>
          <w:rFonts w:ascii="Times New Roman" w:hAnsi="Times New Roman" w:cs="Times New Roman"/>
        </w:rPr>
      </w:pPr>
      <w:r>
        <w:rPr>
          <w:rFonts w:ascii="Times New Roman" w:hAnsi="Times New Roman" w:cs="Times New Roman"/>
          <w:b/>
          <w:bCs/>
          <w:i/>
          <w:iCs/>
        </w:rPr>
        <w:t xml:space="preserve">Proposal 3: </w:t>
      </w:r>
      <w:r w:rsidR="00E7456A">
        <w:rPr>
          <w:rFonts w:ascii="Times New Roman" w:hAnsi="Times New Roman" w:cs="Times New Roman"/>
          <w:b/>
          <w:bCs/>
          <w:i/>
          <w:iCs/>
        </w:rPr>
        <w:t>Further discuss w</w:t>
      </w:r>
      <w:r w:rsidR="004A5E81" w:rsidRPr="004A5E81">
        <w:rPr>
          <w:rFonts w:ascii="Times New Roman" w:hAnsi="Times New Roman" w:cs="Times New Roman"/>
          <w:b/>
          <w:bCs/>
          <w:i/>
          <w:iCs/>
        </w:rPr>
        <w:t>hether new delay requirement needs to be defined for case 1 and case 2.</w:t>
      </w:r>
    </w:p>
    <w:p w14:paraId="0216EB36" w14:textId="2ED7C52E" w:rsidR="00C55619" w:rsidRPr="00D02E87" w:rsidRDefault="00C55619" w:rsidP="00C55619">
      <w:pPr>
        <w:pStyle w:val="Heading1"/>
        <w:numPr>
          <w:ilvl w:val="0"/>
          <w:numId w:val="2"/>
        </w:numPr>
        <w:overflowPunct/>
        <w:autoSpaceDE/>
        <w:autoSpaceDN/>
        <w:adjustRightInd/>
        <w:textAlignment w:val="auto"/>
        <w:rPr>
          <w:rFonts w:ascii="Times New Roman" w:hAnsi="Times New Roman"/>
          <w:lang w:val="en-US"/>
        </w:rPr>
      </w:pPr>
      <w:r w:rsidRPr="00D02E87">
        <w:rPr>
          <w:rFonts w:ascii="Times New Roman" w:hAnsi="Times New Roman"/>
          <w:lang w:val="en-US"/>
        </w:rPr>
        <w:t>Conclusion</w:t>
      </w:r>
    </w:p>
    <w:p w14:paraId="17E7CEDE" w14:textId="72DA4BAC" w:rsidR="00A53808" w:rsidRPr="00D02E87" w:rsidRDefault="00C90FEC" w:rsidP="00A53808">
      <w:pPr>
        <w:rPr>
          <w:rFonts w:ascii="Times New Roman" w:hAnsi="Times New Roman" w:cs="Times New Roman"/>
          <w:lang w:eastAsia="en-GB"/>
        </w:rPr>
      </w:pPr>
      <w:r w:rsidRPr="00D02E87">
        <w:rPr>
          <w:rFonts w:ascii="Times New Roman" w:hAnsi="Times New Roman" w:cs="Times New Roman"/>
          <w:lang w:eastAsia="en-GB"/>
        </w:rPr>
        <w:t>In this contribution, we discuss the RRC based BWP switch on multiple CCs, the proposals are:</w:t>
      </w:r>
    </w:p>
    <w:p w14:paraId="23EE48C9" w14:textId="076B103A" w:rsidR="003551C7" w:rsidRDefault="003551C7" w:rsidP="003551C7">
      <w:pPr>
        <w:rPr>
          <w:rFonts w:ascii="Times New Roman" w:hAnsi="Times New Roman" w:cs="Times New Roman"/>
          <w:b/>
          <w:bCs/>
          <w:i/>
          <w:iCs/>
        </w:rPr>
      </w:pPr>
      <w:r>
        <w:rPr>
          <w:rFonts w:ascii="Times New Roman" w:hAnsi="Times New Roman" w:cs="Times New Roman"/>
          <w:b/>
          <w:bCs/>
          <w:i/>
          <w:iCs/>
        </w:rPr>
        <w:t>Proposal 1: Simultaneous RRC based BWP switch can’t be applied for case 1.</w:t>
      </w:r>
      <w:r w:rsidRPr="004A5E81">
        <w:rPr>
          <w:rFonts w:ascii="Times New Roman" w:hAnsi="Times New Roman" w:cs="Times New Roman"/>
          <w:b/>
          <w:bCs/>
          <w:i/>
          <w:iCs/>
        </w:rPr>
        <w:t xml:space="preserve"> </w:t>
      </w:r>
      <w:r>
        <w:rPr>
          <w:rFonts w:ascii="Times New Roman" w:hAnsi="Times New Roman" w:cs="Times New Roman"/>
          <w:b/>
          <w:bCs/>
          <w:i/>
          <w:iCs/>
        </w:rPr>
        <w:t>Clarify if case 2 can be applied simultaneously.</w:t>
      </w:r>
    </w:p>
    <w:p w14:paraId="77FEFD22" w14:textId="77777777" w:rsidR="00760126" w:rsidRDefault="003551C7" w:rsidP="003551C7">
      <w:pPr>
        <w:rPr>
          <w:rFonts w:ascii="Times New Roman" w:hAnsi="Times New Roman" w:cs="Times New Roman"/>
          <w:b/>
          <w:bCs/>
          <w:i/>
          <w:iCs/>
        </w:rPr>
      </w:pPr>
      <w:r>
        <w:rPr>
          <w:rFonts w:ascii="Times New Roman" w:hAnsi="Times New Roman" w:cs="Times New Roman"/>
          <w:b/>
          <w:bCs/>
          <w:i/>
          <w:iCs/>
        </w:rPr>
        <w:t>Proposal 2: I</w:t>
      </w:r>
      <w:r w:rsidRPr="008D0C1B">
        <w:rPr>
          <w:rFonts w:ascii="Times New Roman" w:hAnsi="Times New Roman" w:cs="Times New Roman"/>
          <w:b/>
          <w:bCs/>
          <w:i/>
          <w:iCs/>
        </w:rPr>
        <w:t>f both case 1 and case 2 can’t be applied simultaneously, the delay requirement about simultaneous RRC based BWP switch on multiple CCs will be removed.</w:t>
      </w:r>
      <w:r w:rsidRPr="004A5E81">
        <w:rPr>
          <w:rFonts w:ascii="Times New Roman" w:hAnsi="Times New Roman" w:cs="Times New Roman"/>
          <w:b/>
          <w:bCs/>
          <w:i/>
          <w:iCs/>
        </w:rPr>
        <w:t xml:space="preserve"> </w:t>
      </w:r>
    </w:p>
    <w:p w14:paraId="320A9D1D" w14:textId="77777777" w:rsidR="00E7456A" w:rsidRPr="00FC5082" w:rsidRDefault="00E7456A" w:rsidP="00E7456A">
      <w:pPr>
        <w:rPr>
          <w:rFonts w:ascii="Times New Roman" w:hAnsi="Times New Roman" w:cs="Times New Roman"/>
        </w:rPr>
      </w:pPr>
      <w:r>
        <w:rPr>
          <w:rFonts w:ascii="Times New Roman" w:hAnsi="Times New Roman" w:cs="Times New Roman"/>
          <w:b/>
          <w:bCs/>
          <w:i/>
          <w:iCs/>
        </w:rPr>
        <w:t>Proposal 3: Further discuss w</w:t>
      </w:r>
      <w:r w:rsidRPr="004A5E81">
        <w:rPr>
          <w:rFonts w:ascii="Times New Roman" w:hAnsi="Times New Roman" w:cs="Times New Roman"/>
          <w:b/>
          <w:bCs/>
          <w:i/>
          <w:iCs/>
        </w:rPr>
        <w:t>hether new delay requirement needs to be defined for case 1 and case 2.</w:t>
      </w:r>
    </w:p>
    <w:p w14:paraId="760CCD7A" w14:textId="77777777" w:rsidR="00C90FEC" w:rsidRPr="00D02E87" w:rsidRDefault="00C90FEC" w:rsidP="00C90FEC">
      <w:pPr>
        <w:pStyle w:val="Heading1"/>
        <w:numPr>
          <w:ilvl w:val="0"/>
          <w:numId w:val="0"/>
        </w:numPr>
        <w:overflowPunct/>
        <w:autoSpaceDE/>
        <w:autoSpaceDN/>
        <w:adjustRightInd/>
        <w:ind w:left="432" w:hanging="432"/>
        <w:textAlignment w:val="auto"/>
        <w:rPr>
          <w:rFonts w:ascii="Times New Roman" w:hAnsi="Times New Roman"/>
          <w:lang w:val="en-US"/>
        </w:rPr>
      </w:pPr>
      <w:r w:rsidRPr="00D02E87">
        <w:rPr>
          <w:rFonts w:ascii="Times New Roman" w:hAnsi="Times New Roman"/>
          <w:lang w:val="en-US"/>
        </w:rPr>
        <w:t>Reference</w:t>
      </w:r>
    </w:p>
    <w:p w14:paraId="3B95F966" w14:textId="00536421" w:rsidR="00C90FEC" w:rsidRPr="00D02E87" w:rsidRDefault="00AD5459" w:rsidP="00A53808">
      <w:pPr>
        <w:rPr>
          <w:rFonts w:ascii="Times New Roman" w:hAnsi="Times New Roman" w:cs="Times New Roman"/>
          <w:lang w:eastAsia="en-GB"/>
        </w:rPr>
      </w:pPr>
      <w:r>
        <w:rPr>
          <w:rFonts w:ascii="Times New Roman" w:hAnsi="Times New Roman" w:cs="Times New Roman"/>
          <w:lang w:eastAsia="en-GB"/>
        </w:rPr>
        <w:t xml:space="preserve">[1]. </w:t>
      </w:r>
      <w:r w:rsidR="004E23D7">
        <w:rPr>
          <w:rFonts w:ascii="Times New Roman" w:hAnsi="Times New Roman" w:cs="Times New Roman"/>
          <w:lang w:eastAsia="en-GB"/>
        </w:rPr>
        <w:t xml:space="preserve">R4-2014565, </w:t>
      </w:r>
      <w:bookmarkStart w:id="9" w:name="_GoBack"/>
      <w:bookmarkEnd w:id="9"/>
      <w:r w:rsidRPr="00FD52B6">
        <w:rPr>
          <w:rFonts w:ascii="Times New Roman" w:hAnsi="Times New Roman" w:cs="Times New Roman"/>
        </w:rPr>
        <w:t>Discussion of RRC based BWP switching on single CC</w:t>
      </w:r>
      <w:r>
        <w:rPr>
          <w:rFonts w:ascii="Times New Roman" w:hAnsi="Times New Roman" w:cs="Times New Roman"/>
        </w:rPr>
        <w:t>, Intel</w:t>
      </w:r>
    </w:p>
    <w:p w14:paraId="446259AC" w14:textId="77777777" w:rsidR="00A53808" w:rsidRPr="00D02E87" w:rsidRDefault="00A53808">
      <w:pPr>
        <w:rPr>
          <w:rFonts w:ascii="Times New Roman" w:hAnsi="Times New Roman" w:cs="Times New Roman"/>
        </w:rPr>
      </w:pPr>
    </w:p>
    <w:sectPr w:rsidR="00A53808" w:rsidRPr="00D02E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3AA0D" w14:textId="77777777" w:rsidR="00655DA9" w:rsidRDefault="00655DA9" w:rsidP="00590A1A">
      <w:pPr>
        <w:spacing w:after="0" w:line="240" w:lineRule="auto"/>
      </w:pPr>
      <w:r>
        <w:separator/>
      </w:r>
    </w:p>
  </w:endnote>
  <w:endnote w:type="continuationSeparator" w:id="0">
    <w:p w14:paraId="349BC103" w14:textId="77777777" w:rsidR="00655DA9" w:rsidRDefault="00655DA9" w:rsidP="00590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1EFA" w14:textId="77777777" w:rsidR="00655DA9" w:rsidRDefault="00655DA9" w:rsidP="00590A1A">
      <w:pPr>
        <w:spacing w:after="0" w:line="240" w:lineRule="auto"/>
      </w:pPr>
      <w:r>
        <w:separator/>
      </w:r>
    </w:p>
  </w:footnote>
  <w:footnote w:type="continuationSeparator" w:id="0">
    <w:p w14:paraId="65A6E777" w14:textId="77777777" w:rsidR="00655DA9" w:rsidRDefault="00655DA9" w:rsidP="00590A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AC04A6D"/>
    <w:multiLevelType w:val="hybridMultilevel"/>
    <w:tmpl w:val="49C8F0FC"/>
    <w:lvl w:ilvl="0" w:tplc="305463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D16790E"/>
    <w:multiLevelType w:val="hybridMultilevel"/>
    <w:tmpl w:val="F3DCFA2A"/>
    <w:lvl w:ilvl="0" w:tplc="D63EC4A2">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1A"/>
    <w:rsid w:val="00023A2D"/>
    <w:rsid w:val="000674BA"/>
    <w:rsid w:val="000E1452"/>
    <w:rsid w:val="00124202"/>
    <w:rsid w:val="00143538"/>
    <w:rsid w:val="001F5373"/>
    <w:rsid w:val="00215A5F"/>
    <w:rsid w:val="00216355"/>
    <w:rsid w:val="002631EB"/>
    <w:rsid w:val="00264A4D"/>
    <w:rsid w:val="002A0680"/>
    <w:rsid w:val="002E2CFD"/>
    <w:rsid w:val="00312F38"/>
    <w:rsid w:val="003551C7"/>
    <w:rsid w:val="0035708E"/>
    <w:rsid w:val="00357E54"/>
    <w:rsid w:val="003B3CB9"/>
    <w:rsid w:val="00435E7F"/>
    <w:rsid w:val="00443E39"/>
    <w:rsid w:val="00445F80"/>
    <w:rsid w:val="00490D3F"/>
    <w:rsid w:val="00493F59"/>
    <w:rsid w:val="004A5E81"/>
    <w:rsid w:val="004A7C7A"/>
    <w:rsid w:val="004D64B6"/>
    <w:rsid w:val="004E23D7"/>
    <w:rsid w:val="005137E9"/>
    <w:rsid w:val="00553828"/>
    <w:rsid w:val="00556F22"/>
    <w:rsid w:val="00590A1A"/>
    <w:rsid w:val="005A5006"/>
    <w:rsid w:val="005C1054"/>
    <w:rsid w:val="005C32FA"/>
    <w:rsid w:val="005E5432"/>
    <w:rsid w:val="00655DA9"/>
    <w:rsid w:val="00676963"/>
    <w:rsid w:val="006D6BDC"/>
    <w:rsid w:val="007021E6"/>
    <w:rsid w:val="00714864"/>
    <w:rsid w:val="00760126"/>
    <w:rsid w:val="007A50B1"/>
    <w:rsid w:val="007E3A4F"/>
    <w:rsid w:val="00854B6A"/>
    <w:rsid w:val="00857F10"/>
    <w:rsid w:val="00862B84"/>
    <w:rsid w:val="00867D81"/>
    <w:rsid w:val="00872673"/>
    <w:rsid w:val="00882435"/>
    <w:rsid w:val="008A0C2A"/>
    <w:rsid w:val="008A5614"/>
    <w:rsid w:val="008A6258"/>
    <w:rsid w:val="008D0C1B"/>
    <w:rsid w:val="00901190"/>
    <w:rsid w:val="0091649A"/>
    <w:rsid w:val="009640D1"/>
    <w:rsid w:val="009A63B8"/>
    <w:rsid w:val="00A20ED0"/>
    <w:rsid w:val="00A238F0"/>
    <w:rsid w:val="00A408F3"/>
    <w:rsid w:val="00A53808"/>
    <w:rsid w:val="00A841E7"/>
    <w:rsid w:val="00AA093C"/>
    <w:rsid w:val="00AD5459"/>
    <w:rsid w:val="00AE6F77"/>
    <w:rsid w:val="00B61243"/>
    <w:rsid w:val="00B9600B"/>
    <w:rsid w:val="00BA3D2E"/>
    <w:rsid w:val="00BB4DDE"/>
    <w:rsid w:val="00BC0E8D"/>
    <w:rsid w:val="00C30B8E"/>
    <w:rsid w:val="00C34A72"/>
    <w:rsid w:val="00C55619"/>
    <w:rsid w:val="00C73B40"/>
    <w:rsid w:val="00C90FEC"/>
    <w:rsid w:val="00CA4800"/>
    <w:rsid w:val="00CC7BDE"/>
    <w:rsid w:val="00CE402D"/>
    <w:rsid w:val="00CF2869"/>
    <w:rsid w:val="00D02E87"/>
    <w:rsid w:val="00D069CD"/>
    <w:rsid w:val="00D27DBE"/>
    <w:rsid w:val="00D85509"/>
    <w:rsid w:val="00DE4F1F"/>
    <w:rsid w:val="00E45691"/>
    <w:rsid w:val="00E460B7"/>
    <w:rsid w:val="00E5017F"/>
    <w:rsid w:val="00E7456A"/>
    <w:rsid w:val="00E75A3F"/>
    <w:rsid w:val="00E94215"/>
    <w:rsid w:val="00EE06B6"/>
    <w:rsid w:val="00F351F4"/>
    <w:rsid w:val="00F458FE"/>
    <w:rsid w:val="00FB324D"/>
    <w:rsid w:val="00FC5082"/>
    <w:rsid w:val="00FC7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8704E"/>
  <w15:chartTrackingRefBased/>
  <w15:docId w15:val="{ABA1D465-D2F3-4489-A37D-76CEEA4D4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56A"/>
  </w:style>
  <w:style w:type="paragraph" w:styleId="Heading1">
    <w:name w:val="heading 1"/>
    <w:aliases w:val="H1,h1,Heading 1 3GPP"/>
    <w:next w:val="Normal"/>
    <w:link w:val="Heading1Char"/>
    <w:qFormat/>
    <w:rsid w:val="00590A1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GB"/>
    </w:rPr>
  </w:style>
  <w:style w:type="paragraph" w:styleId="Heading2">
    <w:name w:val="heading 2"/>
    <w:basedOn w:val="Heading1"/>
    <w:next w:val="Normal"/>
    <w:link w:val="Heading2Char"/>
    <w:qFormat/>
    <w:rsid w:val="00590A1A"/>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590A1A"/>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590A1A"/>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590A1A"/>
    <w:pPr>
      <w:numPr>
        <w:ilvl w:val="4"/>
      </w:numPr>
      <w:outlineLvl w:val="4"/>
    </w:pPr>
    <w:rPr>
      <w:sz w:val="22"/>
    </w:rPr>
  </w:style>
  <w:style w:type="paragraph" w:styleId="Heading6">
    <w:name w:val="heading 6"/>
    <w:basedOn w:val="Normal"/>
    <w:next w:val="Normal"/>
    <w:link w:val="Heading6Char"/>
    <w:qFormat/>
    <w:rsid w:val="00590A1A"/>
    <w:pPr>
      <w:keepNext/>
      <w:keepLines/>
      <w:numPr>
        <w:ilvl w:val="5"/>
        <w:numId w:val="1"/>
      </w:numPr>
      <w:tabs>
        <w:tab w:val="left" w:pos="851"/>
      </w:tabs>
      <w:spacing w:after="120" w:line="240" w:lineRule="auto"/>
      <w:jc w:val="both"/>
      <w:outlineLvl w:val="5"/>
    </w:pPr>
    <w:rPr>
      <w:rFonts w:ascii="Times New Roman" w:eastAsia="MS Mincho" w:hAnsi="Times New Roman" w:cs="Intel Clear"/>
      <w:sz w:val="20"/>
      <w:szCs w:val="20"/>
      <w:lang w:eastAsia="en-US"/>
    </w:rPr>
  </w:style>
  <w:style w:type="paragraph" w:styleId="Heading7">
    <w:name w:val="heading 7"/>
    <w:basedOn w:val="Normal"/>
    <w:next w:val="Normal"/>
    <w:link w:val="Heading7Char"/>
    <w:qFormat/>
    <w:rsid w:val="00590A1A"/>
    <w:pPr>
      <w:keepNext/>
      <w:keepLines/>
      <w:numPr>
        <w:ilvl w:val="6"/>
        <w:numId w:val="1"/>
      </w:numPr>
      <w:tabs>
        <w:tab w:val="left" w:pos="851"/>
      </w:tabs>
      <w:spacing w:after="120" w:line="240" w:lineRule="auto"/>
      <w:jc w:val="both"/>
      <w:outlineLvl w:val="6"/>
    </w:pPr>
    <w:rPr>
      <w:rFonts w:ascii="Times New Roman" w:eastAsia="MS Mincho" w:hAnsi="Times New Roman" w:cs="Intel Clear"/>
      <w:sz w:val="20"/>
      <w:szCs w:val="20"/>
      <w:lang w:eastAsia="en-US"/>
    </w:rPr>
  </w:style>
  <w:style w:type="paragraph" w:styleId="Heading8">
    <w:name w:val="heading 8"/>
    <w:basedOn w:val="Heading1"/>
    <w:next w:val="Normal"/>
    <w:link w:val="Heading8Char"/>
    <w:qFormat/>
    <w:rsid w:val="00590A1A"/>
    <w:pPr>
      <w:numPr>
        <w:ilvl w:val="7"/>
      </w:numPr>
      <w:outlineLvl w:val="7"/>
    </w:pPr>
  </w:style>
  <w:style w:type="paragraph" w:styleId="Heading9">
    <w:name w:val="heading 9"/>
    <w:basedOn w:val="Heading8"/>
    <w:next w:val="Normal"/>
    <w:link w:val="Heading9Char"/>
    <w:qFormat/>
    <w:rsid w:val="00590A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90A1A"/>
    <w:rPr>
      <w:rFonts w:ascii="Arial" w:eastAsia="SimSun" w:hAnsi="Arial" w:cs="Times New Roman"/>
      <w:sz w:val="36"/>
      <w:szCs w:val="20"/>
      <w:lang w:val="en-GB" w:eastAsia="en-GB"/>
    </w:rPr>
  </w:style>
  <w:style w:type="character" w:customStyle="1" w:styleId="Heading2Char">
    <w:name w:val="Heading 2 Char"/>
    <w:basedOn w:val="DefaultParagraphFont"/>
    <w:link w:val="Heading2"/>
    <w:rsid w:val="00590A1A"/>
    <w:rPr>
      <w:rFonts w:ascii="Intel Clear" w:eastAsia="SimSun" w:hAnsi="Intel Clear" w:cs="Intel Clear"/>
      <w:sz w:val="32"/>
      <w:szCs w:val="20"/>
      <w:lang w:val="en-GB" w:eastAsia="en-GB"/>
    </w:rPr>
  </w:style>
  <w:style w:type="character" w:customStyle="1" w:styleId="Heading3Char">
    <w:name w:val="Heading 3 Char"/>
    <w:basedOn w:val="DefaultParagraphFont"/>
    <w:link w:val="Heading3"/>
    <w:rsid w:val="00590A1A"/>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0A1A"/>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590A1A"/>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590A1A"/>
    <w:rPr>
      <w:rFonts w:ascii="Times New Roman" w:eastAsia="MS Mincho" w:hAnsi="Times New Roman" w:cs="Intel Clear"/>
      <w:sz w:val="20"/>
      <w:szCs w:val="20"/>
      <w:lang w:eastAsia="en-US"/>
    </w:rPr>
  </w:style>
  <w:style w:type="character" w:customStyle="1" w:styleId="Heading7Char">
    <w:name w:val="Heading 7 Char"/>
    <w:basedOn w:val="DefaultParagraphFont"/>
    <w:link w:val="Heading7"/>
    <w:rsid w:val="00590A1A"/>
    <w:rPr>
      <w:rFonts w:ascii="Times New Roman" w:eastAsia="MS Mincho" w:hAnsi="Times New Roman" w:cs="Intel Clear"/>
      <w:sz w:val="20"/>
      <w:szCs w:val="20"/>
      <w:lang w:eastAsia="en-US"/>
    </w:rPr>
  </w:style>
  <w:style w:type="character" w:customStyle="1" w:styleId="Heading8Char">
    <w:name w:val="Heading 8 Char"/>
    <w:basedOn w:val="DefaultParagraphFont"/>
    <w:link w:val="Heading8"/>
    <w:rsid w:val="00590A1A"/>
    <w:rPr>
      <w:rFonts w:ascii="Arial" w:eastAsia="SimSun" w:hAnsi="Arial" w:cs="Times New Roman"/>
      <w:sz w:val="36"/>
      <w:szCs w:val="20"/>
      <w:lang w:val="en-GB" w:eastAsia="en-GB"/>
    </w:rPr>
  </w:style>
  <w:style w:type="character" w:customStyle="1" w:styleId="Heading9Char">
    <w:name w:val="Heading 9 Char"/>
    <w:basedOn w:val="DefaultParagraphFont"/>
    <w:link w:val="Heading9"/>
    <w:rsid w:val="00590A1A"/>
    <w:rPr>
      <w:rFonts w:ascii="Arial" w:eastAsia="SimSun" w:hAnsi="Arial" w:cs="Times New Roman"/>
      <w:sz w:val="36"/>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590A1A"/>
    <w:pPr>
      <w:tabs>
        <w:tab w:val="center" w:pos="4153"/>
        <w:tab w:val="right" w:pos="8306"/>
      </w:tabs>
      <w:spacing w:after="120" w:line="240" w:lineRule="auto"/>
      <w:jc w:val="both"/>
    </w:pPr>
    <w:rPr>
      <w:rFonts w:ascii="Times New Roman" w:eastAsia="MS Mincho" w:hAnsi="Times New Roman" w:cs="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A1A"/>
    <w:rPr>
      <w:rFonts w:ascii="Times New Roman" w:eastAsia="MS Mincho" w:hAnsi="Times New Roman" w:cs="Times New Roman"/>
      <w:sz w:val="20"/>
      <w:szCs w:val="20"/>
      <w:lang w:eastAsia="en-US"/>
    </w:rPr>
  </w:style>
  <w:style w:type="paragraph" w:customStyle="1" w:styleId="Header-3gppTdoc">
    <w:name w:val="Header-3gpp Tdoc"/>
    <w:basedOn w:val="Header"/>
    <w:link w:val="Header-3gppTdocChar"/>
    <w:qFormat/>
    <w:rsid w:val="00590A1A"/>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590A1A"/>
    <w:rPr>
      <w:rFonts w:ascii="Arial" w:eastAsia="MS Mincho" w:hAnsi="Arial" w:cs="Arial"/>
      <w:b/>
      <w:sz w:val="24"/>
      <w:szCs w:val="24"/>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A53808"/>
    <w:pPr>
      <w:spacing w:after="120" w:line="240" w:lineRule="auto"/>
      <w:ind w:left="720"/>
      <w:jc w:val="both"/>
    </w:pPr>
    <w:rPr>
      <w:rFonts w:ascii="Times New Roman" w:eastAsia="MS Mincho" w:hAnsi="Times New Roman" w:cs="Times New Roman"/>
      <w:sz w:val="20"/>
      <w:szCs w:val="20"/>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53808"/>
    <w:rPr>
      <w:rFonts w:ascii="Times New Roman" w:eastAsia="MS Mincho" w:hAnsi="Times New Roman" w:cs="Times New Roman"/>
      <w:sz w:val="20"/>
      <w:szCs w:val="20"/>
      <w:lang w:eastAsia="en-US"/>
    </w:rPr>
  </w:style>
  <w:style w:type="table" w:styleId="TableGrid">
    <w:name w:val="Table Grid"/>
    <w:basedOn w:val="TableNormal"/>
    <w:rsid w:val="00A53808"/>
    <w:pPr>
      <w:spacing w:after="0" w:line="240" w:lineRule="auto"/>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612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2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2020-10-23T06:56:00Z</dcterms:created>
  <dcterms:modified xsi:type="dcterms:W3CDTF">2020-10-23T07:55:00Z</dcterms:modified>
</cp:coreProperties>
</file>