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17046" w14:textId="60307F07" w:rsidR="00E9483B" w:rsidRPr="00721313" w:rsidRDefault="00E9483B" w:rsidP="00E9483B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>3GPP TSG RAN WG</w:t>
      </w:r>
      <w:r>
        <w:rPr>
          <w:rFonts w:ascii="Arial" w:eastAsia="Times New Roman" w:hAnsi="Arial" w:cs="Arial"/>
          <w:b/>
          <w:bCs/>
          <w:sz w:val="20"/>
          <w:lang w:val="en-US"/>
        </w:rPr>
        <w:t>4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 Meeting #</w:t>
      </w:r>
      <w:r>
        <w:rPr>
          <w:rFonts w:ascii="Arial" w:eastAsia="Times New Roman" w:hAnsi="Arial" w:cs="Arial"/>
          <w:b/>
          <w:bCs/>
          <w:sz w:val="20"/>
          <w:lang w:val="en-US"/>
        </w:rPr>
        <w:t>95-e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                                                                 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ab/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>R</w:t>
      </w:r>
      <w:r>
        <w:rPr>
          <w:rFonts w:ascii="Arial" w:eastAsia="Times New Roman" w:hAnsi="Arial" w:cs="Arial"/>
          <w:b/>
          <w:bCs/>
          <w:sz w:val="20"/>
          <w:lang w:val="en-US"/>
        </w:rPr>
        <w:t>4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>-200</w:t>
      </w:r>
      <w:r>
        <w:rPr>
          <w:rFonts w:ascii="Arial" w:eastAsia="Times New Roman" w:hAnsi="Arial" w:cs="Arial"/>
          <w:b/>
          <w:bCs/>
          <w:sz w:val="20"/>
          <w:lang w:val="en-US"/>
        </w:rPr>
        <w:t>9290</w:t>
      </w:r>
    </w:p>
    <w:p w14:paraId="707CF12A" w14:textId="1FB4084B" w:rsidR="00E9483B" w:rsidRPr="00721313" w:rsidRDefault="00E9483B" w:rsidP="00E9483B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e-Meeting, </w:t>
      </w:r>
      <w:r>
        <w:rPr>
          <w:rFonts w:ascii="Arial" w:eastAsia="Times New Roman" w:hAnsi="Arial" w:cs="Arial"/>
          <w:b/>
          <w:bCs/>
          <w:sz w:val="20"/>
          <w:lang w:val="en-US"/>
        </w:rPr>
        <w:t>May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 2</w:t>
      </w:r>
      <w:r>
        <w:rPr>
          <w:rFonts w:ascii="Arial" w:eastAsia="Times New Roman" w:hAnsi="Arial" w:cs="Arial"/>
          <w:b/>
          <w:bCs/>
          <w:sz w:val="20"/>
          <w:lang w:val="en-US"/>
        </w:rPr>
        <w:t>5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 - </w:t>
      </w:r>
      <w:r>
        <w:rPr>
          <w:rFonts w:ascii="Arial" w:eastAsia="Times New Roman" w:hAnsi="Arial" w:cs="Arial"/>
          <w:b/>
          <w:bCs/>
          <w:sz w:val="20"/>
          <w:lang w:val="en-US"/>
        </w:rPr>
        <w:t>June 5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>, 2020</w:t>
      </w:r>
    </w:p>
    <w:p w14:paraId="28B42D61" w14:textId="77777777" w:rsidR="00E9483B" w:rsidRDefault="00E9483B" w:rsidP="00721313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</w:p>
    <w:p w14:paraId="48C22393" w14:textId="043CB9E5" w:rsidR="00721313" w:rsidRPr="00721313" w:rsidRDefault="00721313" w:rsidP="00721313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3GPP TSG RAN WG1 Meeting #100bis                                                                 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ab/>
        <w:t>R1-200</w:t>
      </w:r>
      <w:r w:rsidR="00EF7952">
        <w:rPr>
          <w:rFonts w:ascii="Arial" w:eastAsia="Times New Roman" w:hAnsi="Arial" w:cs="Arial"/>
          <w:b/>
          <w:bCs/>
          <w:sz w:val="20"/>
          <w:lang w:val="en-US"/>
        </w:rPr>
        <w:t>2908</w:t>
      </w:r>
    </w:p>
    <w:p w14:paraId="5ADB9D1C" w14:textId="77777777" w:rsidR="00721313" w:rsidRPr="00721313" w:rsidRDefault="00721313" w:rsidP="00721313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>e-Meeting, April 20 - April 30, 2020</w:t>
      </w:r>
    </w:p>
    <w:p w14:paraId="663EB30A" w14:textId="77777777" w:rsidR="008D5184" w:rsidRPr="00835DB6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08449F4D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721313" w:rsidRPr="00721313">
        <w:rPr>
          <w:rFonts w:ascii="Arial" w:eastAsia="Times New Roman" w:hAnsi="Arial" w:cs="Arial"/>
          <w:bCs/>
          <w:sz w:val="20"/>
        </w:rPr>
        <w:t>LS on intra-cell guard band configura</w:t>
      </w:r>
      <w:bookmarkStart w:id="0" w:name="_GoBack"/>
      <w:bookmarkEnd w:id="0"/>
      <w:r w:rsidR="00721313" w:rsidRPr="00721313">
        <w:rPr>
          <w:rFonts w:ascii="Arial" w:eastAsia="Times New Roman" w:hAnsi="Arial" w:cs="Arial"/>
          <w:bCs/>
          <w:sz w:val="20"/>
        </w:rPr>
        <w:t>tion for NR-U</w:t>
      </w:r>
    </w:p>
    <w:p w14:paraId="330044AF" w14:textId="31740BDE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CC6CF0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52BFBEA6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D315CD">
        <w:rPr>
          <w:rFonts w:ascii="Arial" w:eastAsia="Times New Roman" w:hAnsi="Arial" w:cs="Arial"/>
          <w:bCs/>
          <w:sz w:val="20"/>
        </w:rPr>
        <w:t>RAN</w:t>
      </w:r>
      <w:r w:rsidR="00C6289B" w:rsidRPr="00D315CD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D315CD">
        <w:rPr>
          <w:rFonts w:ascii="Arial" w:eastAsia="Times New Roman" w:hAnsi="Arial" w:cs="Arial"/>
          <w:bCs/>
          <w:sz w:val="20"/>
        </w:rPr>
        <w:t>1</w:t>
      </w:r>
    </w:p>
    <w:p w14:paraId="23973C22" w14:textId="64E201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>To: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  <w:r w:rsidR="00721313">
        <w:rPr>
          <w:rFonts w:ascii="Arial" w:eastAsia="Times New Roman" w:hAnsi="Arial" w:cs="Arial"/>
          <w:bCs/>
          <w:sz w:val="20"/>
          <w:lang w:val="en-US"/>
        </w:rPr>
        <w:t xml:space="preserve">RAN WG2, </w:t>
      </w:r>
      <w:r w:rsidR="00291E8A" w:rsidRPr="00AB4A29">
        <w:rPr>
          <w:rFonts w:ascii="Arial" w:eastAsia="Times New Roman" w:hAnsi="Arial" w:cs="Arial"/>
          <w:sz w:val="20"/>
          <w:lang w:val="en-US"/>
        </w:rPr>
        <w:t>RAN WG4</w:t>
      </w:r>
    </w:p>
    <w:p w14:paraId="7BEAA16A" w14:textId="662637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 xml:space="preserve">Cc: 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</w:p>
    <w:p w14:paraId="46E3B6BB" w14:textId="77777777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32B2A21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856256">
        <w:rPr>
          <w:rFonts w:ascii="Arial" w:eastAsia="Times New Roman" w:hAnsi="Arial" w:cs="Arial"/>
          <w:bCs/>
          <w:color w:val="0000FF"/>
          <w:sz w:val="20"/>
        </w:rPr>
        <w:t>s</w:t>
      </w:r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6B6F83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62AFBC0C" w:rsidR="00C502F6" w:rsidRPr="00C502F6" w:rsidRDefault="00C502F6" w:rsidP="00C502F6">
      <w:pPr>
        <w:spacing w:after="0"/>
        <w:rPr>
          <w:rFonts w:ascii="Arial" w:eastAsia="Times New Roman" w:hAnsi="Arial" w:cs="Arial"/>
          <w:sz w:val="20"/>
        </w:rPr>
      </w:pPr>
      <w:r w:rsidRPr="00C502F6">
        <w:rPr>
          <w:rFonts w:ascii="Arial" w:eastAsia="Times New Roman" w:hAnsi="Arial" w:cs="Arial"/>
          <w:sz w:val="20"/>
        </w:rPr>
        <w:t xml:space="preserve">RAN1 </w:t>
      </w:r>
      <w:r w:rsidR="00FA0B29">
        <w:rPr>
          <w:rFonts w:ascii="Arial" w:eastAsia="Times New Roman" w:hAnsi="Arial" w:cs="Arial"/>
          <w:sz w:val="20"/>
        </w:rPr>
        <w:t xml:space="preserve">has made the following agreements related to intra-cell guard band configuration for </w:t>
      </w:r>
      <w:r w:rsidR="00A70C42" w:rsidRPr="00FA0B29">
        <w:rPr>
          <w:rFonts w:ascii="Arial" w:eastAsia="Times New Roman" w:hAnsi="Arial" w:cs="Arial"/>
          <w:sz w:val="20"/>
        </w:rPr>
        <w:t>operation with shared spectrum channel access</w:t>
      </w:r>
      <w:r w:rsidR="00FA0B29">
        <w:rPr>
          <w:rFonts w:ascii="Arial" w:eastAsia="Times New Roman" w:hAnsi="Arial" w:cs="Arial"/>
          <w:sz w:val="20"/>
        </w:rPr>
        <w:t>.</w:t>
      </w:r>
    </w:p>
    <w:p w14:paraId="48E81DD3" w14:textId="77777777" w:rsidR="0025208C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B80860E" w14:textId="1AE5760B" w:rsidR="000C31C5" w:rsidRDefault="000C31C5" w:rsidP="000C31C5">
      <w:r>
        <w:rPr>
          <w:highlight w:val="green"/>
        </w:rPr>
        <w:t>Agreement:</w:t>
      </w:r>
    </w:p>
    <w:p w14:paraId="7CA3A125" w14:textId="77777777" w:rsidR="000C31C5" w:rsidRDefault="000C31C5" w:rsidP="000C31C5">
      <w:r>
        <w:t>The intra-carrier guard bands on a carrier can be semi-statically adjusted with an RB level granularity. The RAN4 minimum guard band requirements are used as the guard bands when no semi-static adjustment is applied.</w:t>
      </w:r>
    </w:p>
    <w:p w14:paraId="2C6A1562" w14:textId="77777777" w:rsidR="000C31C5" w:rsidRDefault="000C31C5" w:rsidP="000C31C5">
      <w:pPr>
        <w:numPr>
          <w:ilvl w:val="0"/>
          <w:numId w:val="12"/>
        </w:numPr>
        <w:spacing w:after="0"/>
        <w:jc w:val="left"/>
      </w:pPr>
      <w:r>
        <w:t>The guard bands adjustments do not affect the already agreed restrictions on PUCCH resource allocation.</w:t>
      </w:r>
    </w:p>
    <w:p w14:paraId="2E0FB431" w14:textId="77777777" w:rsidR="000C31C5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0D57FFF" w14:textId="2179A721" w:rsidR="000C31C5" w:rsidRDefault="000C31C5" w:rsidP="000C31C5">
      <w:pPr>
        <w:rPr>
          <w:lang w:eastAsia="zh-CN"/>
        </w:rPr>
      </w:pPr>
      <w:r>
        <w:rPr>
          <w:highlight w:val="green"/>
          <w:lang w:eastAsia="zh-CN"/>
        </w:rPr>
        <w:t>Agreement:</w:t>
      </w:r>
    </w:p>
    <w:p w14:paraId="399C1BF3" w14:textId="77777777" w:rsidR="000C31C5" w:rsidRDefault="000C31C5" w:rsidP="000C31C5">
      <w:p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UE determines the number of RB sets </w:t>
      </w:r>
      <w:r>
        <w:t xml:space="preserve">(corresponding to LBT bandwidths) </w:t>
      </w:r>
      <w:r>
        <w:rPr>
          <w:rFonts w:eastAsia="Malgun Gothic"/>
          <w:lang w:val="en-US"/>
        </w:rPr>
        <w:t>and the available PRBs in each RB set, both for DL and UL, based on,</w:t>
      </w:r>
    </w:p>
    <w:p w14:paraId="34E9099A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 xml:space="preserve">If configured, the RRC parameters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and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(if UL is configured)</w:t>
      </w:r>
      <w:r>
        <w:rPr>
          <w:rFonts w:cs="Times"/>
          <w:i/>
          <w:lang w:val="en-US"/>
        </w:rPr>
        <w:t xml:space="preserve"> </w:t>
      </w:r>
      <w:r>
        <w:rPr>
          <w:rFonts w:eastAsia="Malgun Gothic"/>
          <w:lang w:val="en-US" w:eastAsia="ko-KR"/>
        </w:rPr>
        <w:t>configure the lists of intra-carrier guard-bands per cell, e.g.,</w:t>
      </w:r>
    </w:p>
    <w:p w14:paraId="6B2227FE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cs="Times"/>
          <w:lang w:val="en-US"/>
        </w:rPr>
        <w:t xml:space="preserve">If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or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are</w:t>
      </w:r>
      <w:r>
        <w:rPr>
          <w:rFonts w:eastAsia="Malgun Gothic"/>
          <w:lang w:val="en-US" w:eastAsia="ko-KR"/>
        </w:rPr>
        <w:t xml:space="preserve"> given as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 xml:space="preserve">} where </w:t>
      </w:r>
      <w:r>
        <w:rPr>
          <w:rFonts w:eastAsia="Malgun Gothic"/>
          <w:i/>
          <w:lang w:val="en-US" w:eastAsia="ko-KR"/>
        </w:rPr>
        <w:t>GB</w:t>
      </w:r>
      <w:r>
        <w:rPr>
          <w:rFonts w:eastAsia="Malgun Gothic"/>
          <w:lang w:val="en-US" w:eastAsia="ko-KR"/>
        </w:rPr>
        <w:t xml:space="preserve"> is given by CRB index, the UE determines</w:t>
      </w:r>
    </w:p>
    <w:p w14:paraId="18652D51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>The number of RB sets for a cell: N</w:t>
      </w:r>
    </w:p>
    <w:p w14:paraId="7C884195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>The available PRBs in each RB set: [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start</m:t>
            </m:r>
          </m:sub>
        </m:sSub>
      </m:oMath>
      <w:r>
        <w:rPr>
          <w:rFonts w:eastAsia="Malgun Gothic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>-1</w:t>
      </w:r>
      <w:r>
        <w:rPr>
          <w:rFonts w:eastAsia="Malgun Gothic"/>
          <w:lang w:val="en-US" w:eastAsia="ko-KR"/>
        </w:rPr>
        <w:t>] for RB set #1, [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 w:hint="eastAsia"/>
          <w:lang w:val="en-US" w:eastAsia="ko-KR"/>
        </w:rPr>
        <w:t>+1</w:t>
      </w:r>
      <w:r>
        <w:rPr>
          <w:rFonts w:eastAsia="Malgun Gothic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2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/>
          <w:lang w:val="en-US" w:eastAsia="ko-KR"/>
        </w:rPr>
        <w:t>-1] for RB set #2,…,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[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 w:hint="eastAsia"/>
          <w:lang w:val="en-US" w:eastAsia="ko-KR"/>
        </w:rPr>
        <w:t>+1</w:t>
      </w:r>
      <w:r>
        <w:rPr>
          <w:rFonts w:eastAsia="Malgun Gothic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end</m:t>
            </m:r>
          </m:sub>
        </m:sSub>
      </m:oMath>
      <w:r>
        <w:rPr>
          <w:rFonts w:eastAsia="Malgun Gothic"/>
          <w:lang w:val="en-US" w:eastAsia="ko-KR"/>
        </w:rPr>
        <w:t xml:space="preserve">] for RB set#N, where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start</m:t>
            </m:r>
          </m:sub>
        </m:sSub>
      </m:oMath>
      <w:r>
        <w:rPr>
          <w:rFonts w:eastAsia="Malgun Gothic" w:hint="eastAsia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end</m:t>
            </m:r>
          </m:sub>
        </m:sSub>
      </m:oMath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corresponds to starting and ending RB index of cell, respectively.</w:t>
      </w:r>
    </w:p>
    <w:p w14:paraId="1248E412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lastRenderedPageBreak/>
        <w:t>Note: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may be provided separately for DL and UL</w:t>
      </w:r>
    </w:p>
    <w:p w14:paraId="11625298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If </w:t>
      </w:r>
      <w:r>
        <w:rPr>
          <w:rFonts w:cs="Times"/>
          <w:i/>
          <w:lang w:val="en-US"/>
        </w:rPr>
        <w:t>intraCellGuardBandDL-r16</w:t>
      </w:r>
      <w:r>
        <w:t xml:space="preserve"> is not configured, then </w:t>
      </w:r>
      <w:r>
        <w:rPr>
          <w:rFonts w:eastAsia="Malgun Gothic"/>
          <w:lang w:val="en-US" w:eastAsia="ko-KR"/>
        </w:rPr>
        <w:t>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is derived from the RAN4 specifications</w:t>
      </w:r>
    </w:p>
    <w:p w14:paraId="040752B6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>Note: This supersedes a previous agreement</w:t>
      </w:r>
    </w:p>
    <w:p w14:paraId="27FCBA27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If </w:t>
      </w:r>
      <w:r>
        <w:rPr>
          <w:rFonts w:cs="Times"/>
          <w:i/>
          <w:lang w:val="en-US"/>
        </w:rPr>
        <w:t>intraCellGuardBandUL-r16</w:t>
      </w:r>
      <w:r>
        <w:t xml:space="preserve"> is not configured, then </w:t>
      </w:r>
      <w:r>
        <w:rPr>
          <w:rFonts w:eastAsia="Malgun Gothic"/>
          <w:lang w:val="en-US" w:eastAsia="ko-KR"/>
        </w:rPr>
        <w:t>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is derived from the RAN4 specifications</w:t>
      </w:r>
    </w:p>
    <w:p w14:paraId="257E4030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>Note: This supersedes a previous agreement</w:t>
      </w:r>
    </w:p>
    <w:p w14:paraId="777138FE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Note: This addresses the FFS </w:t>
      </w:r>
      <w:r>
        <w:rPr>
          <w:lang w:eastAsia="ko-KR"/>
        </w:rPr>
        <w:t>in sections 5.1.2.2 and 6.1.2.2</w:t>
      </w:r>
      <w:r>
        <w:t xml:space="preserve"> in 38.214.</w:t>
      </w:r>
    </w:p>
    <w:p w14:paraId="75DFABFA" w14:textId="77777777" w:rsidR="000C31C5" w:rsidRPr="00E12BFC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9F87AD5" w14:textId="420B5499" w:rsidR="000C31C5" w:rsidRDefault="00FA0B29" w:rsidP="000C31C5">
      <w:pPr>
        <w:spacing w:after="160" w:line="256" w:lineRule="auto"/>
        <w:contextualSpacing/>
      </w:pPr>
      <w:r>
        <w:rPr>
          <w:highlight w:val="green"/>
        </w:rPr>
        <w:t>Agreement</w:t>
      </w:r>
    </w:p>
    <w:p w14:paraId="3C8D0BAE" w14:textId="77777777" w:rsidR="000C31C5" w:rsidRDefault="000C31C5" w:rsidP="000C31C5">
      <w:pPr>
        <w:numPr>
          <w:ilvl w:val="0"/>
          <w:numId w:val="9"/>
        </w:numPr>
        <w:spacing w:after="160" w:line="256" w:lineRule="auto"/>
        <w:contextualSpacing/>
      </w:pPr>
      <w:r>
        <w:rPr>
          <w:rFonts w:eastAsia="Malgun Gothic"/>
          <w:lang w:eastAsia="ko-KR"/>
        </w:rPr>
        <w:t xml:space="preserve">The RRC parameters </w:t>
      </w:r>
      <w:r>
        <w:rPr>
          <w:rFonts w:cs="Times"/>
          <w:i/>
          <w:iCs/>
        </w:rPr>
        <w:t>intraCellGuardBandDL-r16</w:t>
      </w:r>
      <w:r>
        <w:rPr>
          <w:rFonts w:cs="Times"/>
        </w:rPr>
        <w:t xml:space="preserve"> and </w:t>
      </w:r>
      <w:r>
        <w:rPr>
          <w:rFonts w:cs="Times"/>
          <w:i/>
          <w:iCs/>
        </w:rPr>
        <w:t>intraCellGuardBandUL-r16</w:t>
      </w:r>
      <w:r>
        <w:rPr>
          <w:rFonts w:cs="Times"/>
          <w:iCs/>
        </w:rPr>
        <w:t xml:space="preserve"> </w:t>
      </w:r>
      <w:r>
        <w:rPr>
          <w:rFonts w:eastAsia="Malgun Gothic"/>
          <w:lang w:eastAsia="ko-KR"/>
        </w:rPr>
        <w:t>include a mechanism to indicate that no intra-carrier guard-bands are configured</w:t>
      </w:r>
    </w:p>
    <w:p w14:paraId="0A05E4EF" w14:textId="77777777" w:rsidR="000C31C5" w:rsidRDefault="000C31C5" w:rsidP="000C31C5">
      <w:pPr>
        <w:numPr>
          <w:ilvl w:val="1"/>
          <w:numId w:val="10"/>
        </w:numPr>
        <w:spacing w:after="160" w:line="256" w:lineRule="auto"/>
        <w:contextualSpacing/>
      </w:pPr>
      <w:r>
        <w:rPr>
          <w:rFonts w:eastAsia="Malgun Gothic"/>
          <w:lang w:eastAsia="ko-KR"/>
        </w:rPr>
        <w:t>Note: This configuration may be used for the case where transmission only occurs in a BWP if LBT is successful in all RB sets within the BWP</w:t>
      </w:r>
    </w:p>
    <w:p w14:paraId="1456185C" w14:textId="77777777" w:rsidR="0025208C" w:rsidRPr="00FA0B29" w:rsidRDefault="0025208C" w:rsidP="00FA0B29">
      <w:pPr>
        <w:spacing w:after="0"/>
        <w:rPr>
          <w:rFonts w:ascii="Arial" w:eastAsia="Times New Roman" w:hAnsi="Arial" w:cs="Arial"/>
          <w:sz w:val="20"/>
        </w:rPr>
      </w:pPr>
    </w:p>
    <w:p w14:paraId="1F0EEF50" w14:textId="1BE73AA8" w:rsidR="00FA0B29" w:rsidRPr="00FA0B29" w:rsidRDefault="00FA0B29" w:rsidP="00FA0B29">
      <w:pPr>
        <w:spacing w:after="0"/>
        <w:rPr>
          <w:rFonts w:ascii="Arial" w:eastAsia="Times New Roman" w:hAnsi="Arial" w:cs="Arial"/>
          <w:sz w:val="20"/>
        </w:rPr>
      </w:pPr>
      <w:r w:rsidRPr="00FA0B29">
        <w:rPr>
          <w:rFonts w:ascii="Arial" w:eastAsia="Times New Roman" w:hAnsi="Arial" w:cs="Arial"/>
          <w:sz w:val="20"/>
        </w:rPr>
        <w:t>RAN</w:t>
      </w:r>
      <w:r>
        <w:rPr>
          <w:rFonts w:ascii="Arial" w:eastAsia="Times New Roman" w:hAnsi="Arial" w:cs="Arial"/>
          <w:sz w:val="20"/>
        </w:rPr>
        <w:t>1</w:t>
      </w:r>
      <w:r w:rsidRPr="00FA0B29">
        <w:rPr>
          <w:rFonts w:ascii="Arial" w:eastAsia="Times New Roman" w:hAnsi="Arial" w:cs="Arial"/>
          <w:sz w:val="20"/>
        </w:rPr>
        <w:t xml:space="preserve"> kindly asks RAN2 and </w:t>
      </w:r>
      <w:r>
        <w:rPr>
          <w:rFonts w:ascii="Arial" w:eastAsia="Times New Roman" w:hAnsi="Arial" w:cs="Arial"/>
          <w:sz w:val="20"/>
        </w:rPr>
        <w:t>RAN</w:t>
      </w:r>
      <w:r w:rsidRPr="00FA0B29">
        <w:rPr>
          <w:rFonts w:ascii="Arial" w:eastAsia="Times New Roman" w:hAnsi="Arial" w:cs="Arial"/>
          <w:sz w:val="20"/>
        </w:rPr>
        <w:t xml:space="preserve">4 to take the above agreements on </w:t>
      </w:r>
      <w:r w:rsidR="00A70C42">
        <w:rPr>
          <w:rFonts w:ascii="Arial" w:eastAsia="Times New Roman" w:hAnsi="Arial" w:cs="Arial"/>
          <w:sz w:val="20"/>
        </w:rPr>
        <w:t xml:space="preserve">intra-cell guard band configuration </w:t>
      </w:r>
      <w:r w:rsidRPr="00FA0B29">
        <w:rPr>
          <w:rFonts w:ascii="Arial" w:eastAsia="Times New Roman" w:hAnsi="Arial" w:cs="Arial"/>
          <w:sz w:val="20"/>
        </w:rPr>
        <w:t xml:space="preserve">into account for developing their specifications for operation with shared spectrum channel access. </w:t>
      </w:r>
    </w:p>
    <w:p w14:paraId="2D06A503" w14:textId="423A1742" w:rsidR="00B032F6" w:rsidRPr="00FA0B29" w:rsidRDefault="00B032F6" w:rsidP="00FA0B29">
      <w:pPr>
        <w:spacing w:after="0"/>
        <w:rPr>
          <w:rFonts w:ascii="Arial" w:eastAsia="Times New Roman" w:hAnsi="Arial" w:cs="Arial"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1B29BD31" w14:textId="35D53122" w:rsidR="00721313" w:rsidRPr="0084703B" w:rsidRDefault="00721313" w:rsidP="00721313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WG2</w:t>
      </w:r>
      <w:r w:rsidR="00FA0B29">
        <w:rPr>
          <w:rFonts w:ascii="Arial" w:eastAsia="Times New Roman" w:hAnsi="Arial" w:cs="Arial"/>
          <w:b/>
          <w:bCs/>
          <w:sz w:val="20"/>
        </w:rPr>
        <w:t xml:space="preserve"> and WG4</w:t>
      </w:r>
    </w:p>
    <w:p w14:paraId="7498C25B" w14:textId="2548B92E" w:rsidR="00721313" w:rsidRPr="00721313" w:rsidRDefault="00721313" w:rsidP="00FA0B29">
      <w:pPr>
        <w:ind w:left="851" w:hanging="851"/>
        <w:rPr>
          <w:rFonts w:ascii="Arial" w:eastAsia="Times New Roman" w:hAnsi="Arial" w:cs="Arial"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ACTION: </w:t>
      </w:r>
      <w:r w:rsidRPr="00721313">
        <w:rPr>
          <w:rFonts w:ascii="Arial" w:eastAsia="Times New Roman" w:hAnsi="Arial" w:cs="Arial"/>
          <w:bCs/>
          <w:sz w:val="20"/>
          <w:lang w:val="en-US"/>
        </w:rPr>
        <w:t xml:space="preserve">RAN1 would like to respectfully ask RAN2 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and RAN4 </w:t>
      </w:r>
      <w:r w:rsidRPr="00721313">
        <w:rPr>
          <w:rFonts w:ascii="Arial" w:eastAsia="Times New Roman" w:hAnsi="Arial" w:cs="Arial"/>
          <w:bCs/>
          <w:sz w:val="20"/>
          <w:lang w:val="en-US"/>
        </w:rPr>
        <w:t>to take the above information into account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 </w:t>
      </w:r>
      <w:r w:rsidR="00FA0B29" w:rsidRPr="00FA0B29">
        <w:rPr>
          <w:rFonts w:ascii="Arial" w:eastAsia="Times New Roman" w:hAnsi="Arial" w:cs="Arial"/>
          <w:bCs/>
          <w:sz w:val="20"/>
          <w:lang w:val="en-US"/>
        </w:rPr>
        <w:t xml:space="preserve">for </w:t>
      </w:r>
      <w:r w:rsidR="00FA0B29">
        <w:rPr>
          <w:rFonts w:ascii="Arial" w:eastAsia="Times New Roman" w:hAnsi="Arial" w:cs="Arial"/>
          <w:bCs/>
          <w:sz w:val="20"/>
          <w:lang w:val="en-US"/>
        </w:rPr>
        <w:t>developing their specifications</w:t>
      </w:r>
      <w:r w:rsidRPr="00721313">
        <w:rPr>
          <w:rFonts w:ascii="Arial" w:eastAsia="Times New Roman" w:hAnsi="Arial" w:cs="Arial"/>
          <w:bCs/>
          <w:sz w:val="20"/>
          <w:lang w:val="en-US"/>
        </w:rPr>
        <w:t xml:space="preserve">. </w:t>
      </w:r>
    </w:p>
    <w:p w14:paraId="69257008" w14:textId="77777777" w:rsidR="00E737A9" w:rsidRPr="00721313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4B89A332" w14:textId="667BD965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#101-e</w:t>
      </w:r>
      <w:r w:rsidRPr="00721313">
        <w:rPr>
          <w:rFonts w:ascii="Arial" w:hAnsi="Arial" w:cs="Arial"/>
          <w:bCs/>
          <w:sz w:val="20"/>
        </w:rPr>
        <w:tab/>
        <w:t>25 M</w:t>
      </w:r>
      <w:r>
        <w:rPr>
          <w:rFonts w:ascii="Arial" w:hAnsi="Arial" w:cs="Arial"/>
          <w:bCs/>
          <w:sz w:val="20"/>
        </w:rPr>
        <w:t>ay - 6 June</w:t>
      </w:r>
      <w:r w:rsidRPr="00721313">
        <w:rPr>
          <w:rFonts w:ascii="Arial" w:hAnsi="Arial" w:cs="Arial"/>
          <w:bCs/>
          <w:sz w:val="20"/>
        </w:rPr>
        <w:t xml:space="preserve">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Online</w:t>
      </w:r>
    </w:p>
    <w:p w14:paraId="7A469226" w14:textId="77777777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#102</w:t>
      </w:r>
      <w:r w:rsidRPr="00721313">
        <w:rPr>
          <w:rFonts w:ascii="Arial" w:hAnsi="Arial" w:cs="Arial"/>
          <w:bCs/>
          <w:sz w:val="20"/>
        </w:rPr>
        <w:tab/>
        <w:t xml:space="preserve">24 - 28 Aug.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Toulouse, FR</w:t>
      </w:r>
    </w:p>
    <w:p w14:paraId="240A2214" w14:textId="31B413B1" w:rsidR="001C519A" w:rsidRPr="00721313" w:rsidRDefault="001C519A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116C4768" w14:textId="77777777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41368" w14:textId="77777777" w:rsidR="00E41A43" w:rsidRDefault="00E41A43" w:rsidP="00AC28B1">
      <w:pPr>
        <w:spacing w:after="0"/>
      </w:pPr>
      <w:r>
        <w:separator/>
      </w:r>
    </w:p>
  </w:endnote>
  <w:endnote w:type="continuationSeparator" w:id="0">
    <w:p w14:paraId="02EE6D74" w14:textId="77777777" w:rsidR="00E41A43" w:rsidRDefault="00E41A43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253C4" w14:textId="77777777" w:rsidR="00E41A43" w:rsidRDefault="00E41A43" w:rsidP="00AC28B1">
      <w:pPr>
        <w:spacing w:after="0"/>
      </w:pPr>
      <w:r>
        <w:separator/>
      </w:r>
    </w:p>
  </w:footnote>
  <w:footnote w:type="continuationSeparator" w:id="0">
    <w:p w14:paraId="3B2F97ED" w14:textId="77777777" w:rsidR="00E41A43" w:rsidRDefault="00E41A43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51B29"/>
    <w:multiLevelType w:val="multilevel"/>
    <w:tmpl w:val="10751B2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AA53D1"/>
    <w:multiLevelType w:val="multilevel"/>
    <w:tmpl w:val="75AA53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32DBC"/>
    <w:multiLevelType w:val="multilevel"/>
    <w:tmpl w:val="7B232D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14018"/>
    <w:multiLevelType w:val="multilevel"/>
    <w:tmpl w:val="7EF14018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21CE5"/>
    <w:rsid w:val="00063EB6"/>
    <w:rsid w:val="000977F5"/>
    <w:rsid w:val="000C31C5"/>
    <w:rsid w:val="000F685A"/>
    <w:rsid w:val="001202AF"/>
    <w:rsid w:val="001C519A"/>
    <w:rsid w:val="001F5C98"/>
    <w:rsid w:val="002112F9"/>
    <w:rsid w:val="00227BCE"/>
    <w:rsid w:val="00240E3F"/>
    <w:rsid w:val="0025208C"/>
    <w:rsid w:val="0027758F"/>
    <w:rsid w:val="00291E8A"/>
    <w:rsid w:val="00292119"/>
    <w:rsid w:val="002B3649"/>
    <w:rsid w:val="002C1286"/>
    <w:rsid w:val="002E49CC"/>
    <w:rsid w:val="002F5982"/>
    <w:rsid w:val="003016E5"/>
    <w:rsid w:val="00375BD9"/>
    <w:rsid w:val="00383EC1"/>
    <w:rsid w:val="003B1A4B"/>
    <w:rsid w:val="003F3EEE"/>
    <w:rsid w:val="0041735B"/>
    <w:rsid w:val="00430862"/>
    <w:rsid w:val="00492842"/>
    <w:rsid w:val="004B40EF"/>
    <w:rsid w:val="005151BE"/>
    <w:rsid w:val="0053677C"/>
    <w:rsid w:val="00574C2D"/>
    <w:rsid w:val="005869A5"/>
    <w:rsid w:val="005A0133"/>
    <w:rsid w:val="005C47F4"/>
    <w:rsid w:val="0061136D"/>
    <w:rsid w:val="00642D2F"/>
    <w:rsid w:val="006443B5"/>
    <w:rsid w:val="006B6F83"/>
    <w:rsid w:val="007164F7"/>
    <w:rsid w:val="00721313"/>
    <w:rsid w:val="007246B0"/>
    <w:rsid w:val="00726F61"/>
    <w:rsid w:val="00775AD5"/>
    <w:rsid w:val="0078574D"/>
    <w:rsid w:val="007944E8"/>
    <w:rsid w:val="007C30A6"/>
    <w:rsid w:val="007E7DE1"/>
    <w:rsid w:val="0081495E"/>
    <w:rsid w:val="00835DB6"/>
    <w:rsid w:val="00836E54"/>
    <w:rsid w:val="00846545"/>
    <w:rsid w:val="0084703B"/>
    <w:rsid w:val="00856256"/>
    <w:rsid w:val="008C3143"/>
    <w:rsid w:val="008D3C85"/>
    <w:rsid w:val="008D5184"/>
    <w:rsid w:val="00917B26"/>
    <w:rsid w:val="00927434"/>
    <w:rsid w:val="009F5C17"/>
    <w:rsid w:val="00A054E8"/>
    <w:rsid w:val="00A42CED"/>
    <w:rsid w:val="00A455CD"/>
    <w:rsid w:val="00A55F9C"/>
    <w:rsid w:val="00A70C42"/>
    <w:rsid w:val="00AB0E84"/>
    <w:rsid w:val="00AB4A29"/>
    <w:rsid w:val="00AC28B1"/>
    <w:rsid w:val="00AF252D"/>
    <w:rsid w:val="00B032F6"/>
    <w:rsid w:val="00B10D85"/>
    <w:rsid w:val="00B72205"/>
    <w:rsid w:val="00B908FC"/>
    <w:rsid w:val="00BA2450"/>
    <w:rsid w:val="00BE1240"/>
    <w:rsid w:val="00C16F8C"/>
    <w:rsid w:val="00C344B8"/>
    <w:rsid w:val="00C42C66"/>
    <w:rsid w:val="00C47F0A"/>
    <w:rsid w:val="00C502F6"/>
    <w:rsid w:val="00C521CB"/>
    <w:rsid w:val="00C574BB"/>
    <w:rsid w:val="00C6138E"/>
    <w:rsid w:val="00C6289B"/>
    <w:rsid w:val="00C75A31"/>
    <w:rsid w:val="00C77561"/>
    <w:rsid w:val="00CA64E8"/>
    <w:rsid w:val="00CC6CF0"/>
    <w:rsid w:val="00D13A3B"/>
    <w:rsid w:val="00D276AC"/>
    <w:rsid w:val="00D315CD"/>
    <w:rsid w:val="00D87BF9"/>
    <w:rsid w:val="00DB6BE3"/>
    <w:rsid w:val="00E12BFC"/>
    <w:rsid w:val="00E41A43"/>
    <w:rsid w:val="00E737A9"/>
    <w:rsid w:val="00E73E82"/>
    <w:rsid w:val="00E9483B"/>
    <w:rsid w:val="00EB6647"/>
    <w:rsid w:val="00ED23EF"/>
    <w:rsid w:val="00EF7952"/>
    <w:rsid w:val="00F41942"/>
    <w:rsid w:val="00F76460"/>
    <w:rsid w:val="00F85C67"/>
    <w:rsid w:val="00FA0B29"/>
    <w:rsid w:val="00FD315B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D315B"/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Kai-Erik Sunell</cp:lastModifiedBy>
  <cp:revision>3</cp:revision>
  <dcterms:created xsi:type="dcterms:W3CDTF">2020-06-05T12:54:00Z</dcterms:created>
  <dcterms:modified xsi:type="dcterms:W3CDTF">2020-06-05T12:55:00Z</dcterms:modified>
</cp:coreProperties>
</file>