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B533F1" w:rsidRPr="00B533F1">
        <w:rPr>
          <w:rFonts w:cs="Arial"/>
          <w:noProof w:val="0"/>
          <w:sz w:val="24"/>
          <w:szCs w:val="24"/>
        </w:rPr>
        <w:t>R4-2007704</w:t>
      </w:r>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073A" w:rsidRPr="0042073A">
        <w:rPr>
          <w:rFonts w:ascii="Arial" w:hAnsi="Arial"/>
          <w:sz w:val="24"/>
          <w:lang w:val="en-US"/>
        </w:rPr>
        <w:t>6.1.5.</w:t>
      </w:r>
      <w:r w:rsidR="005C02B4">
        <w:rPr>
          <w:rFonts w:ascii="Arial" w:hAnsi="Arial"/>
          <w:sz w:val="24"/>
          <w:lang w:val="en-US"/>
        </w:rPr>
        <w:t>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C02B4" w:rsidRPr="005C02B4">
        <w:rPr>
          <w:rFonts w:ascii="Arial" w:hAnsi="Arial"/>
          <w:sz w:val="24"/>
          <w:lang w:val="en-US"/>
        </w:rPr>
        <w:t>Discussion on TCI state switch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 xml:space="preserve">the </w:t>
      </w:r>
      <w:r w:rsidR="00363379">
        <w:rPr>
          <w:rFonts w:eastAsiaTheme="minorEastAsia"/>
          <w:lang w:val="en-US" w:eastAsia="zh-CN"/>
        </w:rPr>
        <w:t>last</w:t>
      </w:r>
      <w:r w:rsidR="009F06FB">
        <w:rPr>
          <w:rFonts w:eastAsiaTheme="minorEastAsia"/>
          <w:lang w:val="en-US" w:eastAsia="zh-CN"/>
        </w:rPr>
        <w:t xml:space="preserve"> RAN</w:t>
      </w:r>
      <w:r w:rsidR="00865DAD">
        <w:rPr>
          <w:rFonts w:eastAsiaTheme="minorEastAsia"/>
          <w:lang w:val="en-US" w:eastAsia="zh-CN"/>
        </w:rPr>
        <w:t>4</w:t>
      </w:r>
      <w:r w:rsidR="00363379">
        <w:rPr>
          <w:rFonts w:eastAsiaTheme="minorEastAsia"/>
          <w:lang w:val="en-US" w:eastAsia="zh-CN"/>
        </w:rPr>
        <w:t xml:space="preserve"> 94-e-bis</w:t>
      </w:r>
      <w:r w:rsidR="008E4053">
        <w:rPr>
          <w:rFonts w:eastAsiaTheme="minorEastAsia"/>
          <w:lang w:val="en-US" w:eastAsia="zh-CN"/>
        </w:rPr>
        <w:t xml:space="preserv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363379">
        <w:rPr>
          <w:rFonts w:eastAsiaTheme="minorEastAsia"/>
          <w:lang w:val="en-US" w:eastAsia="zh-CN"/>
        </w:rPr>
        <w:t>NR-U</w:t>
      </w:r>
      <w:r w:rsidR="00AF0E37">
        <w:rPr>
          <w:rFonts w:eastAsiaTheme="minorEastAsia"/>
          <w:lang w:val="en-US" w:eastAsia="zh-CN"/>
        </w:rPr>
        <w:t xml:space="preserve"> were discussed. There are some remaining issues about </w:t>
      </w:r>
      <w:r w:rsidR="005C02B4">
        <w:rPr>
          <w:rFonts w:eastAsiaTheme="minorEastAsia"/>
          <w:lang w:val="en-US" w:eastAsia="zh-CN"/>
        </w:rPr>
        <w:t>active TCI switch</w:t>
      </w:r>
      <w:r w:rsidR="00363379">
        <w:rPr>
          <w:rFonts w:eastAsiaTheme="minorEastAsia"/>
          <w:lang w:val="en-US" w:eastAsia="zh-CN"/>
        </w:rPr>
        <w:t xml:space="preserve"> which are captured in [1]</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25326F" w:rsidRDefault="00085C8F" w:rsidP="001F2AE4">
      <w:pPr>
        <w:rPr>
          <w:rFonts w:eastAsiaTheme="minorEastAsia"/>
          <w:lang w:eastAsia="zh-CN"/>
        </w:rPr>
      </w:pPr>
      <w:r>
        <w:rPr>
          <w:rFonts w:eastAsiaTheme="minorEastAsia"/>
          <w:lang w:eastAsia="zh-CN"/>
        </w:rPr>
        <w:t>The agreements and open issues from RAN4 94-e-bis meeting are summarized as follows:</w:t>
      </w:r>
    </w:p>
    <w:tbl>
      <w:tblPr>
        <w:tblStyle w:val="a7"/>
        <w:tblW w:w="0" w:type="auto"/>
        <w:tblLook w:val="04A0" w:firstRow="1" w:lastRow="0" w:firstColumn="1" w:lastColumn="0" w:noHBand="0" w:noVBand="1"/>
      </w:tblPr>
      <w:tblGrid>
        <w:gridCol w:w="9562"/>
      </w:tblGrid>
      <w:tr w:rsidR="00085C8F" w:rsidTr="00085C8F">
        <w:tc>
          <w:tcPr>
            <w:tcW w:w="9562" w:type="dxa"/>
          </w:tcPr>
          <w:p w:rsidR="005C02B4" w:rsidRPr="005C02B4" w:rsidRDefault="005C02B4" w:rsidP="005C02B4">
            <w:pPr>
              <w:overflowPunct w:val="0"/>
              <w:spacing w:after="0"/>
              <w:rPr>
                <w:rFonts w:ascii="宋体" w:eastAsia="宋体" w:hAnsi="宋体" w:cs="宋体"/>
                <w:sz w:val="18"/>
                <w:szCs w:val="24"/>
                <w:lang w:val="en-US" w:eastAsia="zh-CN"/>
              </w:rPr>
            </w:pPr>
            <w:r w:rsidRPr="005C02B4">
              <w:rPr>
                <w:rFonts w:ascii="Calibri" w:eastAsia="+mn-ea" w:hAnsi="Calibri" w:cs="+mn-cs"/>
                <w:kern w:val="24"/>
                <w:sz w:val="22"/>
                <w:szCs w:val="36"/>
                <w:lang w:val="sv-SE" w:eastAsia="zh-CN"/>
              </w:rPr>
              <w:t>UE behaviour</w:t>
            </w:r>
          </w:p>
          <w:p w:rsidR="005C02B4" w:rsidRPr="005C02B4" w:rsidRDefault="005C02B4" w:rsidP="005C02B4">
            <w:pPr>
              <w:overflowPunct w:val="0"/>
              <w:spacing w:after="0"/>
              <w:ind w:left="720"/>
              <w:rPr>
                <w:rFonts w:ascii="宋体" w:eastAsia="宋体" w:hAnsi="宋体" w:cs="宋体"/>
                <w:sz w:val="18"/>
                <w:szCs w:val="24"/>
                <w:lang w:val="en-US" w:eastAsia="zh-CN"/>
              </w:rPr>
            </w:pPr>
            <w:r w:rsidRPr="005C02B4">
              <w:rPr>
                <w:rFonts w:ascii="Calibri" w:eastAsia="+mn-ea" w:hAnsi="Calibri" w:cs="+mn-cs"/>
                <w:kern w:val="24"/>
                <w:sz w:val="22"/>
                <w:szCs w:val="36"/>
                <w:lang w:val="sv-SE" w:eastAsia="zh-CN"/>
              </w:rPr>
              <w:t>RRC-based</w:t>
            </w:r>
          </w:p>
          <w:p w:rsidR="005C02B4" w:rsidRPr="005C02B4" w:rsidRDefault="005C02B4" w:rsidP="005C02B4">
            <w:pPr>
              <w:overflowPunct w:val="0"/>
              <w:spacing w:after="0"/>
              <w:ind w:left="1440"/>
              <w:rPr>
                <w:rFonts w:ascii="宋体" w:eastAsia="宋体" w:hAnsi="宋体" w:cs="宋体"/>
                <w:sz w:val="18"/>
                <w:szCs w:val="24"/>
                <w:lang w:val="en-US" w:eastAsia="zh-CN"/>
              </w:rPr>
            </w:pPr>
            <w:r w:rsidRPr="005C02B4">
              <w:rPr>
                <w:rFonts w:ascii="Calibri" w:eastAsia="+mn-ea" w:hAnsi="Calibri" w:cs="+mn-cs"/>
                <w:kern w:val="24"/>
                <w:sz w:val="22"/>
                <w:szCs w:val="36"/>
                <w:lang w:val="sv-SE" w:eastAsia="zh-CN"/>
              </w:rPr>
              <w:t>Known &amp; unknown states:</w:t>
            </w:r>
          </w:p>
          <w:p w:rsidR="005C02B4" w:rsidRPr="005C02B4" w:rsidRDefault="005C02B4" w:rsidP="005C02B4">
            <w:pPr>
              <w:overflowPunct w:val="0"/>
              <w:spacing w:after="0"/>
              <w:ind w:left="2160"/>
              <w:rPr>
                <w:rFonts w:ascii="宋体" w:eastAsia="宋体" w:hAnsi="宋体" w:cs="宋体"/>
                <w:sz w:val="18"/>
                <w:szCs w:val="24"/>
                <w:lang w:val="en-US" w:eastAsia="zh-CN"/>
              </w:rPr>
            </w:pPr>
            <w:r w:rsidRPr="005C02B4">
              <w:rPr>
                <w:rFonts w:ascii="Calibri" w:eastAsia="+mn-ea" w:hAnsi="Calibri" w:cs="+mn-cs"/>
                <w:kern w:val="24"/>
                <w:sz w:val="22"/>
                <w:szCs w:val="36"/>
                <w:lang w:val="sv-SE" w:eastAsia="zh-CN"/>
              </w:rPr>
              <w:t>Send LS to RAN1 and RAN2</w:t>
            </w:r>
          </w:p>
          <w:p w:rsidR="005C02B4" w:rsidRPr="005C02B4" w:rsidRDefault="005C02B4" w:rsidP="005C02B4">
            <w:pPr>
              <w:overflowPunct w:val="0"/>
              <w:spacing w:after="0"/>
              <w:ind w:left="720"/>
              <w:rPr>
                <w:rFonts w:ascii="宋体" w:eastAsia="宋体" w:hAnsi="宋体" w:cs="宋体"/>
                <w:sz w:val="18"/>
                <w:szCs w:val="24"/>
                <w:lang w:val="en-US" w:eastAsia="zh-CN"/>
              </w:rPr>
            </w:pPr>
            <w:r w:rsidRPr="005C02B4">
              <w:rPr>
                <w:rFonts w:ascii="Calibri" w:eastAsia="+mn-ea" w:hAnsi="Calibri" w:cs="+mn-cs"/>
                <w:kern w:val="24"/>
                <w:sz w:val="22"/>
                <w:szCs w:val="36"/>
                <w:lang w:val="en-US" w:eastAsia="zh-CN"/>
              </w:rPr>
              <w:t xml:space="preserve">MAC-CE based </w:t>
            </w:r>
          </w:p>
          <w:p w:rsidR="005C02B4" w:rsidRPr="005C02B4" w:rsidRDefault="005C02B4" w:rsidP="005C02B4">
            <w:pPr>
              <w:overflowPunct w:val="0"/>
              <w:spacing w:after="0"/>
              <w:ind w:left="1440"/>
              <w:rPr>
                <w:rFonts w:ascii="宋体" w:eastAsia="宋体" w:hAnsi="宋体" w:cs="宋体"/>
                <w:sz w:val="18"/>
                <w:szCs w:val="24"/>
                <w:lang w:val="en-US" w:eastAsia="zh-CN"/>
              </w:rPr>
            </w:pPr>
            <w:r w:rsidRPr="005C02B4">
              <w:rPr>
                <w:rFonts w:ascii="Calibri" w:eastAsia="+mn-ea" w:hAnsi="Calibri" w:cs="+mn-cs"/>
                <w:kern w:val="24"/>
                <w:sz w:val="22"/>
                <w:szCs w:val="36"/>
                <w:lang w:eastAsia="zh-CN"/>
              </w:rPr>
              <w:t>Alignment with Rel-15 MAC-CE based active TCI state switching requirements</w:t>
            </w:r>
          </w:p>
          <w:p w:rsidR="005C02B4" w:rsidRPr="005C02B4" w:rsidRDefault="005C02B4" w:rsidP="005C02B4">
            <w:pPr>
              <w:spacing w:after="0"/>
              <w:ind w:left="2160"/>
              <w:rPr>
                <w:rFonts w:ascii="宋体" w:eastAsia="宋体" w:hAnsi="宋体" w:cs="宋体"/>
                <w:sz w:val="18"/>
                <w:szCs w:val="24"/>
                <w:lang w:val="en-US" w:eastAsia="zh-CN"/>
              </w:rPr>
            </w:pPr>
            <w:r w:rsidRPr="005C02B4">
              <w:rPr>
                <w:rFonts w:ascii="Calibri" w:eastAsia="+mn-ea" w:hAnsi="Calibri" w:cs="+mn-cs"/>
                <w:kern w:val="24"/>
                <w:sz w:val="22"/>
                <w:szCs w:val="36"/>
                <w:lang w:eastAsia="zh-CN"/>
              </w:rPr>
              <w:t xml:space="preserve">In RAN4#94-e-Bis: </w:t>
            </w:r>
          </w:p>
          <w:p w:rsidR="005C02B4" w:rsidRPr="005C02B4" w:rsidRDefault="005C02B4" w:rsidP="005C02B4">
            <w:pPr>
              <w:spacing w:after="0"/>
              <w:ind w:left="2880"/>
              <w:rPr>
                <w:rFonts w:ascii="宋体" w:eastAsia="宋体" w:hAnsi="宋体" w:cs="宋体"/>
                <w:sz w:val="18"/>
                <w:szCs w:val="24"/>
                <w:lang w:val="en-US" w:eastAsia="zh-CN"/>
              </w:rPr>
            </w:pPr>
            <w:r w:rsidRPr="005C02B4">
              <w:rPr>
                <w:rFonts w:ascii="Calibri" w:eastAsia="+mn-ea" w:hAnsi="Calibri" w:cs="+mn-cs"/>
                <w:kern w:val="24"/>
                <w:sz w:val="22"/>
                <w:szCs w:val="36"/>
                <w:lang w:eastAsia="zh-CN"/>
              </w:rPr>
              <w:t>further wait for further clarifications in Rel-15 (i.e., Option 1)</w:t>
            </w:r>
          </w:p>
          <w:p w:rsidR="005C02B4" w:rsidRPr="005C02B4" w:rsidRDefault="005C02B4" w:rsidP="005C02B4">
            <w:pPr>
              <w:spacing w:after="0"/>
              <w:ind w:left="2160"/>
              <w:rPr>
                <w:rFonts w:ascii="宋体" w:eastAsia="宋体" w:hAnsi="宋体" w:cs="宋体"/>
                <w:sz w:val="18"/>
                <w:szCs w:val="24"/>
                <w:lang w:val="en-US" w:eastAsia="zh-CN"/>
              </w:rPr>
            </w:pPr>
            <w:r w:rsidRPr="005C02B4">
              <w:rPr>
                <w:rFonts w:ascii="Calibri" w:eastAsia="+mn-ea" w:hAnsi="Calibri" w:cs="+mn-cs"/>
                <w:kern w:val="24"/>
                <w:sz w:val="22"/>
                <w:szCs w:val="36"/>
                <w:lang w:eastAsia="zh-CN"/>
              </w:rPr>
              <w:t xml:space="preserve">In RAN4#95: </w:t>
            </w:r>
          </w:p>
          <w:p w:rsidR="005C02B4" w:rsidRPr="005C02B4" w:rsidRDefault="005C02B4" w:rsidP="005C02B4">
            <w:pPr>
              <w:spacing w:after="0"/>
              <w:ind w:left="2880"/>
              <w:rPr>
                <w:rFonts w:ascii="宋体" w:eastAsia="宋体" w:hAnsi="宋体" w:cs="宋体"/>
                <w:sz w:val="18"/>
                <w:szCs w:val="24"/>
                <w:lang w:val="en-US" w:eastAsia="zh-CN"/>
              </w:rPr>
            </w:pPr>
            <w:r w:rsidRPr="005C02B4">
              <w:rPr>
                <w:rFonts w:ascii="Calibri" w:eastAsia="+mn-ea" w:hAnsi="Calibri" w:cs="+mn-cs"/>
                <w:kern w:val="24"/>
                <w:sz w:val="22"/>
                <w:szCs w:val="36"/>
                <w:lang w:eastAsia="zh-CN"/>
              </w:rPr>
              <w:t>proceed with NR-U requirements, based on the current Rel-15 agreements, but update upon the need if Rel-15 requirements changes, if the corresponding proposed by the proponents change to Rel-15 is again not agreed in RAN4#94-e-Bis, or</w:t>
            </w:r>
          </w:p>
          <w:p w:rsidR="005C02B4" w:rsidRPr="005C02B4" w:rsidRDefault="005C02B4" w:rsidP="005C02B4">
            <w:pPr>
              <w:spacing w:after="0"/>
              <w:ind w:left="2880"/>
              <w:rPr>
                <w:rFonts w:ascii="宋体" w:eastAsia="宋体" w:hAnsi="宋体" w:cs="宋体"/>
                <w:sz w:val="24"/>
                <w:szCs w:val="24"/>
                <w:lang w:val="en-US" w:eastAsia="zh-CN"/>
              </w:rPr>
            </w:pPr>
            <w:r w:rsidRPr="005C02B4">
              <w:rPr>
                <w:rFonts w:ascii="Calibri" w:eastAsia="+mn-ea" w:hAnsi="Calibri" w:cs="+mn-cs"/>
                <w:kern w:val="24"/>
                <w:sz w:val="22"/>
                <w:szCs w:val="36"/>
                <w:lang w:eastAsia="zh-CN"/>
              </w:rPr>
              <w:t>consider the agreed change to Rel-15, if such a change is agreed in RAN4#94-e-Bis</w:t>
            </w:r>
          </w:p>
          <w:p w:rsidR="00F266DF" w:rsidRPr="008B4853" w:rsidRDefault="00F266DF" w:rsidP="00F266DF">
            <w:pPr>
              <w:rPr>
                <w:rFonts w:ascii="Calibri" w:eastAsia="+mn-ea" w:hAnsi="Calibri" w:cs="+mn-cs"/>
                <w:kern w:val="24"/>
                <w:sz w:val="22"/>
                <w:szCs w:val="36"/>
                <w:lang w:eastAsia="zh-CN"/>
              </w:rPr>
            </w:pPr>
            <w:r w:rsidRPr="008B4853">
              <w:rPr>
                <w:rFonts w:ascii="Calibri" w:eastAsia="+mn-ea" w:hAnsi="Calibri" w:cs="+mn-cs"/>
                <w:kern w:val="24"/>
                <w:sz w:val="22"/>
                <w:szCs w:val="36"/>
                <w:lang w:eastAsia="zh-CN"/>
              </w:rPr>
              <w:t xml:space="preserve">Definition of </w:t>
            </w:r>
            <w:proofErr w:type="spellStart"/>
            <w:r w:rsidRPr="008B4853">
              <w:rPr>
                <w:rFonts w:ascii="Calibri" w:eastAsia="+mn-ea" w:hAnsi="Calibri" w:cs="+mn-cs"/>
                <w:kern w:val="24"/>
                <w:sz w:val="22"/>
                <w:szCs w:val="36"/>
                <w:lang w:eastAsia="zh-CN"/>
              </w:rPr>
              <w:t>T</w:t>
            </w:r>
            <w:r w:rsidRPr="008B4853">
              <w:rPr>
                <w:rFonts w:ascii="Calibri" w:eastAsia="+mn-ea" w:hAnsi="Calibri" w:cs="+mn-cs"/>
                <w:kern w:val="24"/>
                <w:sz w:val="22"/>
                <w:szCs w:val="36"/>
                <w:vertAlign w:val="subscript"/>
                <w:lang w:eastAsia="zh-CN"/>
              </w:rPr>
              <w:t>first</w:t>
            </w:r>
            <w:proofErr w:type="spellEnd"/>
            <w:r w:rsidRPr="008B4853">
              <w:rPr>
                <w:rFonts w:ascii="Calibri" w:eastAsia="+mn-ea" w:hAnsi="Calibri" w:cs="+mn-cs"/>
                <w:kern w:val="24"/>
                <w:sz w:val="22"/>
                <w:szCs w:val="36"/>
                <w:vertAlign w:val="subscript"/>
                <w:lang w:eastAsia="zh-CN"/>
              </w:rPr>
              <w:t>-SSB</w:t>
            </w:r>
          </w:p>
          <w:p w:rsidR="00F266DF" w:rsidRPr="008B4853" w:rsidRDefault="00F266DF" w:rsidP="00F266DF">
            <w:pPr>
              <w:ind w:leftChars="100" w:left="200"/>
              <w:rPr>
                <w:rFonts w:ascii="Calibri" w:eastAsia="+mn-ea" w:hAnsi="Calibri" w:cs="+mn-cs"/>
                <w:kern w:val="24"/>
                <w:sz w:val="22"/>
                <w:szCs w:val="36"/>
                <w:lang w:eastAsia="zh-CN"/>
              </w:rPr>
            </w:pPr>
            <w:r w:rsidRPr="008B4853">
              <w:rPr>
                <w:rFonts w:ascii="Calibri" w:eastAsia="+mn-ea" w:hAnsi="Calibri" w:cs="+mn-cs"/>
                <w:kern w:val="24"/>
                <w:sz w:val="22"/>
                <w:szCs w:val="36"/>
                <w:lang w:eastAsia="zh-CN"/>
              </w:rPr>
              <w:t>Option 1: time to first SSB instance (which may or may not be transmitted)</w:t>
            </w:r>
          </w:p>
          <w:p w:rsidR="00085C8F" w:rsidRPr="00085C8F" w:rsidRDefault="00F266DF" w:rsidP="00F266DF">
            <w:pPr>
              <w:ind w:leftChars="100" w:left="200"/>
              <w:rPr>
                <w:rFonts w:eastAsiaTheme="minorEastAsia"/>
                <w:lang w:val="en-US" w:eastAsia="zh-CN"/>
              </w:rPr>
            </w:pPr>
            <w:r w:rsidRPr="008B4853">
              <w:rPr>
                <w:rFonts w:ascii="Calibri" w:eastAsia="+mn-ea" w:hAnsi="Calibri" w:cs="+mn-cs"/>
                <w:kern w:val="24"/>
                <w:sz w:val="22"/>
                <w:szCs w:val="36"/>
                <w:lang w:eastAsia="zh-CN"/>
              </w:rPr>
              <w:t>Option 2: time to the first SSB transmission occasion (“occasion” means the transmission is configured but may or may not come)</w:t>
            </w:r>
          </w:p>
        </w:tc>
      </w:tr>
    </w:tbl>
    <w:p w:rsidR="00085C8F" w:rsidRDefault="00085C8F" w:rsidP="001F2AE4">
      <w:pPr>
        <w:rPr>
          <w:rFonts w:eastAsiaTheme="minorEastAsia"/>
          <w:lang w:eastAsia="zh-CN"/>
        </w:rPr>
      </w:pPr>
    </w:p>
    <w:p w:rsidR="00845CFE" w:rsidRDefault="00F266DF" w:rsidP="001F2AE4">
      <w:pPr>
        <w:rPr>
          <w:rFonts w:eastAsiaTheme="minorEastAsia"/>
          <w:lang w:val="en-US" w:eastAsia="zh-CN"/>
        </w:rPr>
      </w:pPr>
      <w:r w:rsidRPr="00F266DF">
        <w:rPr>
          <w:rFonts w:eastAsiaTheme="minorEastAsia" w:hint="eastAsia"/>
          <w:lang w:val="en-US" w:eastAsia="zh-CN"/>
        </w:rPr>
        <w:t xml:space="preserve">For the UE </w:t>
      </w:r>
      <w:r w:rsidRPr="00F266DF">
        <w:rPr>
          <w:rFonts w:eastAsiaTheme="minorEastAsia"/>
          <w:lang w:val="en-US" w:eastAsia="zh-CN"/>
        </w:rPr>
        <w:t>behavior</w:t>
      </w:r>
      <w:r>
        <w:rPr>
          <w:rFonts w:eastAsiaTheme="minorEastAsia"/>
          <w:lang w:val="en-US" w:eastAsia="zh-CN"/>
        </w:rPr>
        <w:t>, when</w:t>
      </w:r>
      <w:r w:rsidRPr="00F266DF">
        <w:rPr>
          <w:rFonts w:eastAsiaTheme="minorEastAsia" w:hint="eastAsia"/>
          <w:lang w:val="en-US" w:eastAsia="zh-CN"/>
        </w:rPr>
        <w:t xml:space="preserve"> </w:t>
      </w:r>
      <w:r>
        <w:rPr>
          <w:rFonts w:eastAsiaTheme="minorEastAsia"/>
          <w:lang w:val="en-US" w:eastAsia="zh-CN"/>
        </w:rPr>
        <w:t xml:space="preserve">number of unavailable RS for L1-RSRP or SSB for time tracking exceed the limits </w:t>
      </w:r>
      <w:r w:rsidR="00CC7D05">
        <w:rPr>
          <w:rFonts w:eastAsiaTheme="minorEastAsia"/>
          <w:lang w:val="en-US" w:eastAsia="zh-CN"/>
        </w:rPr>
        <w:t xml:space="preserve">for </w:t>
      </w:r>
      <w:r>
        <w:rPr>
          <w:rFonts w:eastAsiaTheme="minorEastAsia"/>
          <w:lang w:val="en-US" w:eastAsia="zh-CN"/>
        </w:rPr>
        <w:t xml:space="preserve">both MAC-CE based </w:t>
      </w:r>
      <w:r w:rsidR="00CC7D05">
        <w:rPr>
          <w:rFonts w:eastAsiaTheme="minorEastAsia"/>
          <w:lang w:val="en-US" w:eastAsia="zh-CN"/>
        </w:rPr>
        <w:t>a</w:t>
      </w:r>
      <w:r w:rsidR="00845CFE">
        <w:rPr>
          <w:rFonts w:eastAsiaTheme="minorEastAsia"/>
          <w:lang w:val="en-US" w:eastAsia="zh-CN"/>
        </w:rPr>
        <w:t>nd RRC based TCI switch</w:t>
      </w:r>
      <w:r>
        <w:rPr>
          <w:rFonts w:eastAsiaTheme="minorEastAsia"/>
          <w:lang w:val="en-US" w:eastAsia="zh-CN"/>
        </w:rPr>
        <w:t>,</w:t>
      </w:r>
      <w:r w:rsidR="00845CFE">
        <w:rPr>
          <w:rFonts w:eastAsiaTheme="minorEastAsia"/>
          <w:lang w:val="en-US" w:eastAsia="zh-CN"/>
        </w:rPr>
        <w:t xml:space="preserve"> the UE behavior is still unclear now. For RRC based TCI switch, it is reasonable to postpone the discussion until we get LS reply from RAN1 and RAN2 about the feasibility of declaring beam failure. </w:t>
      </w:r>
    </w:p>
    <w:p w:rsidR="00845CFE" w:rsidRPr="00FD645F" w:rsidRDefault="00845CFE" w:rsidP="001F2AE4">
      <w:pPr>
        <w:rPr>
          <w:rFonts w:eastAsiaTheme="minorEastAsia"/>
          <w:b/>
          <w:lang w:val="en-US" w:eastAsia="zh-CN"/>
        </w:rPr>
      </w:pPr>
      <w:r w:rsidRPr="00FD645F">
        <w:rPr>
          <w:rFonts w:eastAsiaTheme="minorEastAsia"/>
          <w:b/>
          <w:lang w:val="en-US" w:eastAsia="zh-CN"/>
        </w:rPr>
        <w:t xml:space="preserve">Observation 1: It is reasonable to postpone the discussion until we get LS reply from RAN1 and RAN2 about the feasibility of declaring beam failure for RRC-based active TCI switch. </w:t>
      </w:r>
    </w:p>
    <w:p w:rsidR="00CC7D05" w:rsidRDefault="00845CFE" w:rsidP="001F2AE4">
      <w:pPr>
        <w:rPr>
          <w:rFonts w:eastAsiaTheme="minorEastAsia"/>
          <w:lang w:val="en-US" w:eastAsia="zh-CN"/>
        </w:rPr>
      </w:pPr>
      <w:r>
        <w:rPr>
          <w:rFonts w:eastAsiaTheme="minorEastAsia"/>
          <w:lang w:val="en-US" w:eastAsia="zh-CN"/>
        </w:rPr>
        <w:t xml:space="preserve">For MAC-CE based TCI switch, there was a parallel discussion is ongoing in the Rel-15. Following the guidance in the WF, the requirements for NR-U shall be based on the current spec in RAN4#95e. </w:t>
      </w:r>
      <w:r>
        <w:rPr>
          <w:rFonts w:eastAsiaTheme="minorEastAsia" w:hint="eastAsia"/>
          <w:lang w:val="en-US" w:eastAsia="zh-CN"/>
        </w:rPr>
        <w:t>Based</w:t>
      </w:r>
      <w:r>
        <w:rPr>
          <w:rFonts w:eastAsiaTheme="minorEastAsia"/>
          <w:lang w:val="en-US" w:eastAsia="zh-CN"/>
        </w:rPr>
        <w:t xml:space="preserve"> on that, it is feasible for UE to choose to stay in the old TCI state or continue attempting to switch to the target TCI. </w:t>
      </w:r>
      <w:r w:rsidR="00FD645F">
        <w:rPr>
          <w:rFonts w:eastAsiaTheme="minorEastAsia"/>
          <w:lang w:val="en-US" w:eastAsia="zh-CN"/>
        </w:rPr>
        <w:t>I</w:t>
      </w:r>
      <w:r>
        <w:rPr>
          <w:rFonts w:eastAsiaTheme="minorEastAsia"/>
          <w:lang w:val="en-US" w:eastAsia="zh-CN"/>
        </w:rPr>
        <w:t>f the UE con</w:t>
      </w:r>
      <w:r w:rsidR="00FD645F">
        <w:rPr>
          <w:rFonts w:eastAsiaTheme="minorEastAsia"/>
          <w:lang w:val="en-US" w:eastAsia="zh-CN"/>
        </w:rPr>
        <w:t xml:space="preserve">tinue attempting to switch to the target DCI when the delay exceeds the defined limits in the requirements, is the UE still required to </w:t>
      </w:r>
      <w:r w:rsidR="00FD645F">
        <w:rPr>
          <w:rFonts w:eastAsiaTheme="minorEastAsia"/>
          <w:lang w:val="en-US" w:eastAsia="zh-CN"/>
        </w:rPr>
        <w:lastRenderedPageBreak/>
        <w:t xml:space="preserve">receive on the old TCI state until the TCI switch succeeds to the new TCI state? From our understanding, the behavior shall be aligned between UE and NW, thus it is </w:t>
      </w:r>
      <w:r w:rsidR="00CD397C">
        <w:rPr>
          <w:rFonts w:eastAsiaTheme="minorEastAsia"/>
          <w:lang w:val="en-US" w:eastAsia="zh-CN"/>
        </w:rPr>
        <w:t xml:space="preserve">preferred to </w:t>
      </w:r>
      <w:r w:rsidR="00190532">
        <w:rPr>
          <w:rFonts w:eastAsiaTheme="minorEastAsia"/>
          <w:lang w:val="en-US" w:eastAsia="zh-CN"/>
        </w:rPr>
        <w:t>stay in the old TCI state upon exceeding the limits.</w:t>
      </w:r>
    </w:p>
    <w:p w:rsidR="00190532" w:rsidRPr="00190532" w:rsidRDefault="00190532" w:rsidP="001F2AE4">
      <w:pPr>
        <w:rPr>
          <w:rFonts w:eastAsiaTheme="minorEastAsia"/>
          <w:b/>
          <w:lang w:val="en-US" w:eastAsia="zh-CN"/>
        </w:rPr>
      </w:pPr>
      <w:r w:rsidRPr="00190532">
        <w:rPr>
          <w:rFonts w:eastAsiaTheme="minorEastAsia"/>
          <w:b/>
          <w:lang w:val="en-US" w:eastAsia="zh-CN"/>
        </w:rPr>
        <w:t xml:space="preserve">Proposal </w:t>
      </w:r>
      <w:r w:rsidR="008B4853">
        <w:rPr>
          <w:rFonts w:eastAsiaTheme="minorEastAsia"/>
          <w:b/>
          <w:lang w:val="en-US" w:eastAsia="zh-CN"/>
        </w:rPr>
        <w:t>1</w:t>
      </w:r>
      <w:r w:rsidRPr="00190532">
        <w:rPr>
          <w:rFonts w:eastAsiaTheme="minorEastAsia"/>
          <w:b/>
          <w:lang w:val="en-US" w:eastAsia="zh-CN"/>
        </w:rPr>
        <w:t>: UE shall stay in the old TCI state upon exceeding the limits in MAC-CE based active TCI state switching.</w:t>
      </w:r>
    </w:p>
    <w:p w:rsidR="00190532" w:rsidRDefault="00190532" w:rsidP="001F2AE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definition of </w:t>
      </w:r>
      <w:proofErr w:type="spellStart"/>
      <w:r>
        <w:rPr>
          <w:rFonts w:eastAsiaTheme="minorEastAsia"/>
          <w:lang w:val="en-US" w:eastAsia="zh-CN"/>
        </w:rPr>
        <w:t>T</w:t>
      </w:r>
      <w:r w:rsidRPr="00190532">
        <w:rPr>
          <w:rFonts w:eastAsiaTheme="minorEastAsia"/>
          <w:vertAlign w:val="subscript"/>
          <w:lang w:val="en-US" w:eastAsia="zh-CN"/>
        </w:rPr>
        <w:t>first</w:t>
      </w:r>
      <w:proofErr w:type="spellEnd"/>
      <w:r w:rsidRPr="00190532">
        <w:rPr>
          <w:rFonts w:eastAsiaTheme="minorEastAsia"/>
          <w:vertAlign w:val="subscript"/>
          <w:lang w:val="en-US" w:eastAsia="zh-CN"/>
        </w:rPr>
        <w:t>-SSB</w:t>
      </w:r>
      <w:r>
        <w:rPr>
          <w:rFonts w:eastAsiaTheme="minorEastAsia"/>
          <w:lang w:val="en-US" w:eastAsia="zh-CN"/>
        </w:rPr>
        <w:t>, we think it is better to clearly state that it is the SSB transmission where the SSB may not be transmitted subject to CCA. Thus, we clarify the definition for MAC-CE and RRC based TCI state switch in our accompanied CR [2] as follow:</w:t>
      </w:r>
    </w:p>
    <w:p w:rsidR="00190532" w:rsidRDefault="00190532" w:rsidP="001F2AE4">
      <w:pPr>
        <w:rPr>
          <w:rFonts w:eastAsiaTheme="minorEastAsia"/>
          <w:lang w:val="en-US" w:eastAsia="zh-CN"/>
        </w:rPr>
      </w:pPr>
      <w:r>
        <w:rPr>
          <w:rFonts w:eastAsiaTheme="minorEastAsia"/>
          <w:lang w:val="en-US" w:eastAsia="zh-CN"/>
        </w:rPr>
        <w:t>For MAC-CE based TCI state switch delay:</w:t>
      </w:r>
    </w:p>
    <w:p w:rsidR="00190532" w:rsidRDefault="00190532" w:rsidP="00190532">
      <w:pPr>
        <w:pStyle w:val="B1"/>
        <w:ind w:leftChars="200" w:left="400" w:firstLine="0"/>
        <w:rPr>
          <w:lang w:val="en-US" w:eastAsia="zh-CN"/>
        </w:rPr>
      </w:pP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rFonts w:eastAsia="宋体"/>
          <w:szCs w:val="24"/>
          <w:lang w:eastAsia="zh-CN"/>
        </w:rPr>
        <w:t>occasion</w:t>
      </w:r>
      <w:r w:rsidRPr="00885F53">
        <w:rPr>
          <w:lang w:val="en-US" w:eastAsia="zh-CN"/>
        </w:rPr>
        <w:t xml:space="preserve"> after MAC CE command is decoded by the UE</w:t>
      </w:r>
      <w:r>
        <w:rPr>
          <w:lang w:val="en-US" w:eastAsia="zh-CN"/>
        </w:rPr>
        <w:t>, where the SSB may not be transmitted subject to CCA</w:t>
      </w:r>
      <w:r w:rsidRPr="00885F53">
        <w:rPr>
          <w:lang w:val="en-US" w:eastAsia="zh-CN"/>
        </w:rPr>
        <w:t xml:space="preserve">; </w:t>
      </w:r>
    </w:p>
    <w:p w:rsidR="00190532" w:rsidRDefault="00190532" w:rsidP="001F2AE4">
      <w:pPr>
        <w:rPr>
          <w:rFonts w:eastAsiaTheme="minorEastAsia"/>
          <w:lang w:val="en-US" w:eastAsia="zh-CN"/>
        </w:rPr>
      </w:pPr>
      <w:r>
        <w:rPr>
          <w:rFonts w:eastAsiaTheme="minorEastAsia" w:hint="eastAsia"/>
          <w:lang w:val="en-US" w:eastAsia="zh-CN"/>
        </w:rPr>
        <w:t>F</w:t>
      </w:r>
      <w:r>
        <w:rPr>
          <w:rFonts w:eastAsiaTheme="minorEastAsia"/>
          <w:lang w:val="en-US" w:eastAsia="zh-CN"/>
        </w:rPr>
        <w:t>or RRC based TCI state switch delay:</w:t>
      </w:r>
    </w:p>
    <w:p w:rsidR="00190532" w:rsidRPr="00190532" w:rsidRDefault="00190532" w:rsidP="00190532">
      <w:pPr>
        <w:ind w:leftChars="200" w:left="400"/>
        <w:rPr>
          <w:rFonts w:eastAsiaTheme="minorEastAsia"/>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rFonts w:eastAsia="宋体"/>
          <w:szCs w:val="24"/>
          <w:lang w:eastAsia="zh-CN"/>
        </w:rPr>
        <w:t>occasion</w:t>
      </w:r>
      <w:r w:rsidRPr="00C8261B">
        <w:rPr>
          <w:rFonts w:eastAsia="宋体"/>
          <w:color w:val="0070C0"/>
          <w:szCs w:val="24"/>
          <w:lang w:eastAsia="zh-CN"/>
        </w:rPr>
        <w:t xml:space="preserve"> </w:t>
      </w:r>
      <w:r>
        <w:rPr>
          <w:lang w:val="en-US" w:eastAsia="zh-CN"/>
        </w:rPr>
        <w:t>after RRC processing by the UE, where the SSB may not be transmitted subject to CCA</w:t>
      </w:r>
    </w:p>
    <w:p w:rsidR="00FD645F" w:rsidRPr="00190532" w:rsidRDefault="00190532" w:rsidP="001F2AE4">
      <w:pPr>
        <w:rPr>
          <w:rFonts w:eastAsiaTheme="minorEastAsia"/>
          <w:b/>
          <w:lang w:val="en-US" w:eastAsia="zh-CN"/>
        </w:rPr>
      </w:pPr>
      <w:r w:rsidRPr="00190532">
        <w:rPr>
          <w:rFonts w:eastAsiaTheme="minorEastAsia" w:hint="eastAsia"/>
          <w:b/>
          <w:lang w:val="en-US" w:eastAsia="zh-CN"/>
        </w:rPr>
        <w:t>P</w:t>
      </w:r>
      <w:r w:rsidRPr="00190532">
        <w:rPr>
          <w:rFonts w:eastAsiaTheme="minorEastAsia"/>
          <w:b/>
          <w:lang w:val="en-US" w:eastAsia="zh-CN"/>
        </w:rPr>
        <w:t xml:space="preserve">roposal 2: </w:t>
      </w:r>
    </w:p>
    <w:p w:rsidR="00190532" w:rsidRPr="00190532" w:rsidRDefault="00190532" w:rsidP="00190532">
      <w:pPr>
        <w:rPr>
          <w:rFonts w:eastAsiaTheme="minorEastAsia"/>
          <w:b/>
          <w:lang w:val="en-US" w:eastAsia="zh-CN"/>
        </w:rPr>
      </w:pPr>
      <w:r w:rsidRPr="00190532">
        <w:rPr>
          <w:rFonts w:eastAsiaTheme="minorEastAsia"/>
          <w:b/>
          <w:lang w:val="en-US" w:eastAsia="zh-CN"/>
        </w:rPr>
        <w:t>For MAC-CE based TCI state switch delay:</w:t>
      </w:r>
    </w:p>
    <w:p w:rsidR="00190532" w:rsidRPr="00190532" w:rsidRDefault="00190532" w:rsidP="00190532">
      <w:pPr>
        <w:pStyle w:val="B1"/>
        <w:ind w:leftChars="200" w:left="400" w:firstLine="0"/>
        <w:rPr>
          <w:b/>
          <w:lang w:val="en-US" w:eastAsia="zh-CN"/>
        </w:rPr>
      </w:pPr>
      <w:proofErr w:type="spellStart"/>
      <w:r w:rsidRPr="00190532">
        <w:rPr>
          <w:b/>
          <w:lang w:val="en-US" w:eastAsia="zh-CN"/>
        </w:rPr>
        <w:t>T</w:t>
      </w:r>
      <w:r w:rsidRPr="00190532">
        <w:rPr>
          <w:b/>
          <w:vertAlign w:val="subscript"/>
          <w:lang w:val="en-US" w:eastAsia="zh-CN"/>
        </w:rPr>
        <w:t>first</w:t>
      </w:r>
      <w:proofErr w:type="spellEnd"/>
      <w:r w:rsidRPr="00190532">
        <w:rPr>
          <w:b/>
          <w:vertAlign w:val="subscript"/>
          <w:lang w:val="en-US" w:eastAsia="zh-CN"/>
        </w:rPr>
        <w:t xml:space="preserve">-SSB </w:t>
      </w:r>
      <w:r w:rsidRPr="00190532">
        <w:rPr>
          <w:b/>
          <w:lang w:val="en-US" w:eastAsia="zh-CN"/>
        </w:rPr>
        <w:t xml:space="preserve">is time to first SSB transmission </w:t>
      </w:r>
      <w:r w:rsidRPr="00190532">
        <w:rPr>
          <w:rFonts w:eastAsia="宋体"/>
          <w:b/>
          <w:szCs w:val="24"/>
          <w:lang w:eastAsia="zh-CN"/>
        </w:rPr>
        <w:t>occasion</w:t>
      </w:r>
      <w:r w:rsidRPr="00190532">
        <w:rPr>
          <w:b/>
          <w:lang w:val="en-US" w:eastAsia="zh-CN"/>
        </w:rPr>
        <w:t xml:space="preserve"> after MAC CE command is decoded by the UE, where the SSB may not be transmitted subject to CCA; </w:t>
      </w:r>
    </w:p>
    <w:p w:rsidR="00190532" w:rsidRPr="00190532" w:rsidRDefault="00190532" w:rsidP="00190532">
      <w:pPr>
        <w:rPr>
          <w:rFonts w:eastAsiaTheme="minorEastAsia"/>
          <w:b/>
          <w:lang w:val="en-US" w:eastAsia="zh-CN"/>
        </w:rPr>
      </w:pPr>
      <w:r w:rsidRPr="00190532">
        <w:rPr>
          <w:rFonts w:eastAsiaTheme="minorEastAsia" w:hint="eastAsia"/>
          <w:b/>
          <w:lang w:val="en-US" w:eastAsia="zh-CN"/>
        </w:rPr>
        <w:t>F</w:t>
      </w:r>
      <w:r w:rsidRPr="00190532">
        <w:rPr>
          <w:rFonts w:eastAsiaTheme="minorEastAsia"/>
          <w:b/>
          <w:lang w:val="en-US" w:eastAsia="zh-CN"/>
        </w:rPr>
        <w:t>or RRC based TCI state switch delay:</w:t>
      </w:r>
    </w:p>
    <w:p w:rsidR="00190532" w:rsidRPr="00190532" w:rsidRDefault="00190532" w:rsidP="00190532">
      <w:pPr>
        <w:ind w:leftChars="200" w:left="400"/>
        <w:rPr>
          <w:rFonts w:eastAsiaTheme="minorEastAsia"/>
          <w:b/>
          <w:lang w:val="en-US" w:eastAsia="zh-CN"/>
        </w:rPr>
      </w:pPr>
      <w:proofErr w:type="spellStart"/>
      <w:r w:rsidRPr="00190532">
        <w:rPr>
          <w:b/>
          <w:lang w:val="en-US" w:eastAsia="zh-CN"/>
        </w:rPr>
        <w:t>T</w:t>
      </w:r>
      <w:r w:rsidRPr="00190532">
        <w:rPr>
          <w:b/>
          <w:vertAlign w:val="subscript"/>
          <w:lang w:val="en-US" w:eastAsia="zh-CN"/>
        </w:rPr>
        <w:t>first</w:t>
      </w:r>
      <w:proofErr w:type="spellEnd"/>
      <w:r w:rsidRPr="00190532">
        <w:rPr>
          <w:b/>
          <w:vertAlign w:val="subscript"/>
          <w:lang w:val="en-US" w:eastAsia="zh-CN"/>
        </w:rPr>
        <w:t xml:space="preserve">-SSB </w:t>
      </w:r>
      <w:r w:rsidRPr="00190532">
        <w:rPr>
          <w:b/>
          <w:lang w:val="en-US" w:eastAsia="zh-CN"/>
        </w:rPr>
        <w:t xml:space="preserve">is time to first SSB transmission </w:t>
      </w:r>
      <w:r w:rsidRPr="00190532">
        <w:rPr>
          <w:rFonts w:eastAsia="宋体"/>
          <w:b/>
          <w:szCs w:val="24"/>
          <w:lang w:eastAsia="zh-CN"/>
        </w:rPr>
        <w:t>occasion</w:t>
      </w:r>
      <w:r w:rsidRPr="00190532">
        <w:rPr>
          <w:rFonts w:eastAsia="宋体"/>
          <w:b/>
          <w:color w:val="0070C0"/>
          <w:szCs w:val="24"/>
          <w:lang w:eastAsia="zh-CN"/>
        </w:rPr>
        <w:t xml:space="preserve"> </w:t>
      </w:r>
      <w:r w:rsidRPr="00190532">
        <w:rPr>
          <w:b/>
          <w:lang w:val="en-US" w:eastAsia="zh-CN"/>
        </w:rPr>
        <w:t>after RRC processing by the UE, where the SSB may not be transmitted subject to CCA</w:t>
      </w:r>
    </w:p>
    <w:p w:rsidR="00190532" w:rsidRPr="00190532" w:rsidRDefault="00190532" w:rsidP="001F2AE4">
      <w:pPr>
        <w:rPr>
          <w:rFonts w:eastAsiaTheme="minorEastAsia"/>
          <w:lang w:val="en-US" w:eastAsia="zh-CN"/>
        </w:rPr>
      </w:pPr>
    </w:p>
    <w:p w:rsidR="0050339C" w:rsidRDefault="0050339C" w:rsidP="0050339C">
      <w:pPr>
        <w:pStyle w:val="1"/>
        <w:numPr>
          <w:ilvl w:val="0"/>
          <w:numId w:val="1"/>
        </w:numPr>
        <w:rPr>
          <w:lang w:val="en-US"/>
        </w:rPr>
      </w:pPr>
      <w:r>
        <w:rPr>
          <w:lang w:val="en-US"/>
        </w:rPr>
        <w:t>Conclusion</w:t>
      </w:r>
    </w:p>
    <w:p w:rsidR="008B4853" w:rsidRPr="008B4853" w:rsidRDefault="008B4853" w:rsidP="008B4853">
      <w:pPr>
        <w:rPr>
          <w:rFonts w:eastAsiaTheme="minorEastAsia"/>
          <w:b/>
          <w:lang w:val="en-US" w:eastAsia="zh-CN"/>
        </w:rPr>
      </w:pPr>
      <w:r w:rsidRPr="008B4853">
        <w:rPr>
          <w:rFonts w:eastAsiaTheme="minorEastAsia"/>
          <w:b/>
          <w:lang w:val="en-US" w:eastAsia="zh-CN"/>
        </w:rPr>
        <w:t xml:space="preserve">Observation 1: It is reasonable to postpone the discussion until we get LS reply from RAN1 and RAN2 about the feasibility of declaring beam failure for RRC-based active TCI switch. </w:t>
      </w:r>
    </w:p>
    <w:p w:rsidR="008B4853" w:rsidRPr="00190532" w:rsidRDefault="008B4853" w:rsidP="008B4853">
      <w:pPr>
        <w:rPr>
          <w:rFonts w:eastAsiaTheme="minorEastAsia"/>
          <w:b/>
          <w:lang w:val="en-US" w:eastAsia="zh-CN"/>
        </w:rPr>
      </w:pPr>
      <w:r w:rsidRPr="00190532">
        <w:rPr>
          <w:rFonts w:eastAsiaTheme="minorEastAsia"/>
          <w:b/>
          <w:lang w:val="en-US" w:eastAsia="zh-CN"/>
        </w:rPr>
        <w:t xml:space="preserve">Proposal </w:t>
      </w:r>
      <w:r>
        <w:rPr>
          <w:rFonts w:eastAsiaTheme="minorEastAsia"/>
          <w:b/>
          <w:lang w:val="en-US" w:eastAsia="zh-CN"/>
        </w:rPr>
        <w:t>1</w:t>
      </w:r>
      <w:r w:rsidRPr="00190532">
        <w:rPr>
          <w:rFonts w:eastAsiaTheme="minorEastAsia"/>
          <w:b/>
          <w:lang w:val="en-US" w:eastAsia="zh-CN"/>
        </w:rPr>
        <w:t>: UE shall stay in the old TCI state upon exceeding the limits in MAC-CE based active TCI state switching.</w:t>
      </w:r>
    </w:p>
    <w:p w:rsidR="008B4853" w:rsidRPr="00190532" w:rsidRDefault="008B4853" w:rsidP="008B4853">
      <w:pPr>
        <w:rPr>
          <w:rFonts w:eastAsiaTheme="minorEastAsia"/>
          <w:b/>
          <w:lang w:val="en-US" w:eastAsia="zh-CN"/>
        </w:rPr>
      </w:pPr>
      <w:r w:rsidRPr="00190532">
        <w:rPr>
          <w:rFonts w:eastAsiaTheme="minorEastAsia" w:hint="eastAsia"/>
          <w:b/>
          <w:lang w:val="en-US" w:eastAsia="zh-CN"/>
        </w:rPr>
        <w:t>P</w:t>
      </w:r>
      <w:r w:rsidRPr="00190532">
        <w:rPr>
          <w:rFonts w:eastAsiaTheme="minorEastAsia"/>
          <w:b/>
          <w:lang w:val="en-US" w:eastAsia="zh-CN"/>
        </w:rPr>
        <w:t xml:space="preserve">roposal 2: </w:t>
      </w:r>
    </w:p>
    <w:p w:rsidR="008B4853" w:rsidRPr="00190532" w:rsidRDefault="008B4853" w:rsidP="008B4853">
      <w:pPr>
        <w:rPr>
          <w:rFonts w:eastAsiaTheme="minorEastAsia"/>
          <w:b/>
          <w:lang w:val="en-US" w:eastAsia="zh-CN"/>
        </w:rPr>
      </w:pPr>
      <w:r w:rsidRPr="00190532">
        <w:rPr>
          <w:rFonts w:eastAsiaTheme="minorEastAsia"/>
          <w:b/>
          <w:lang w:val="en-US" w:eastAsia="zh-CN"/>
        </w:rPr>
        <w:t>For MAC-CE based TCI state switch delay:</w:t>
      </w:r>
    </w:p>
    <w:p w:rsidR="008B4853" w:rsidRPr="00190532" w:rsidRDefault="008B4853" w:rsidP="008B4853">
      <w:pPr>
        <w:pStyle w:val="B1"/>
        <w:ind w:leftChars="200" w:left="400" w:firstLine="0"/>
        <w:rPr>
          <w:b/>
          <w:lang w:val="en-US" w:eastAsia="zh-CN"/>
        </w:rPr>
      </w:pPr>
      <w:proofErr w:type="spellStart"/>
      <w:r w:rsidRPr="00190532">
        <w:rPr>
          <w:b/>
          <w:lang w:val="en-US" w:eastAsia="zh-CN"/>
        </w:rPr>
        <w:t>T</w:t>
      </w:r>
      <w:r w:rsidRPr="00190532">
        <w:rPr>
          <w:b/>
          <w:vertAlign w:val="subscript"/>
          <w:lang w:val="en-US" w:eastAsia="zh-CN"/>
        </w:rPr>
        <w:t>first</w:t>
      </w:r>
      <w:proofErr w:type="spellEnd"/>
      <w:r w:rsidRPr="00190532">
        <w:rPr>
          <w:b/>
          <w:vertAlign w:val="subscript"/>
          <w:lang w:val="en-US" w:eastAsia="zh-CN"/>
        </w:rPr>
        <w:t xml:space="preserve">-SSB </w:t>
      </w:r>
      <w:r w:rsidRPr="00190532">
        <w:rPr>
          <w:b/>
          <w:lang w:val="en-US" w:eastAsia="zh-CN"/>
        </w:rPr>
        <w:t xml:space="preserve">is time to first SSB transmission </w:t>
      </w:r>
      <w:r w:rsidRPr="00190532">
        <w:rPr>
          <w:rFonts w:eastAsia="宋体"/>
          <w:b/>
          <w:szCs w:val="24"/>
          <w:lang w:eastAsia="zh-CN"/>
        </w:rPr>
        <w:t>occasion</w:t>
      </w:r>
      <w:r w:rsidRPr="00190532">
        <w:rPr>
          <w:b/>
          <w:lang w:val="en-US" w:eastAsia="zh-CN"/>
        </w:rPr>
        <w:t xml:space="preserve"> after MAC CE command is decoded by the UE, where the SSB may not be transmitted subject to CCA; </w:t>
      </w:r>
    </w:p>
    <w:p w:rsidR="008B4853" w:rsidRPr="00190532" w:rsidRDefault="008B4853" w:rsidP="008B4853">
      <w:pPr>
        <w:rPr>
          <w:rFonts w:eastAsiaTheme="minorEastAsia"/>
          <w:b/>
          <w:lang w:val="en-US" w:eastAsia="zh-CN"/>
        </w:rPr>
      </w:pPr>
      <w:r w:rsidRPr="00190532">
        <w:rPr>
          <w:rFonts w:eastAsiaTheme="minorEastAsia" w:hint="eastAsia"/>
          <w:b/>
          <w:lang w:val="en-US" w:eastAsia="zh-CN"/>
        </w:rPr>
        <w:t>F</w:t>
      </w:r>
      <w:r w:rsidRPr="00190532">
        <w:rPr>
          <w:rFonts w:eastAsiaTheme="minorEastAsia"/>
          <w:b/>
          <w:lang w:val="en-US" w:eastAsia="zh-CN"/>
        </w:rPr>
        <w:t>or RRC based TCI state switch delay:</w:t>
      </w:r>
    </w:p>
    <w:p w:rsidR="008B4853" w:rsidRPr="008B4853" w:rsidRDefault="008B4853" w:rsidP="008B4853">
      <w:pPr>
        <w:ind w:leftChars="200" w:left="400"/>
        <w:rPr>
          <w:rFonts w:eastAsiaTheme="minorEastAsia"/>
          <w:b/>
          <w:lang w:val="en-US" w:eastAsia="zh-CN"/>
        </w:rPr>
      </w:pPr>
      <w:proofErr w:type="spellStart"/>
      <w:r w:rsidRPr="00190532">
        <w:rPr>
          <w:b/>
          <w:lang w:val="en-US" w:eastAsia="zh-CN"/>
        </w:rPr>
        <w:t>T</w:t>
      </w:r>
      <w:r w:rsidRPr="00190532">
        <w:rPr>
          <w:b/>
          <w:vertAlign w:val="subscript"/>
          <w:lang w:val="en-US" w:eastAsia="zh-CN"/>
        </w:rPr>
        <w:t>first</w:t>
      </w:r>
      <w:proofErr w:type="spellEnd"/>
      <w:r w:rsidRPr="00190532">
        <w:rPr>
          <w:b/>
          <w:vertAlign w:val="subscript"/>
          <w:lang w:val="en-US" w:eastAsia="zh-CN"/>
        </w:rPr>
        <w:t xml:space="preserve">-SSB </w:t>
      </w:r>
      <w:r w:rsidRPr="00190532">
        <w:rPr>
          <w:b/>
          <w:lang w:val="en-US" w:eastAsia="zh-CN"/>
        </w:rPr>
        <w:t xml:space="preserve">is time to first SSB transmission </w:t>
      </w:r>
      <w:r w:rsidRPr="00190532">
        <w:rPr>
          <w:rFonts w:eastAsia="宋体"/>
          <w:b/>
          <w:szCs w:val="24"/>
          <w:lang w:eastAsia="zh-CN"/>
        </w:rPr>
        <w:t>occasion</w:t>
      </w:r>
      <w:r w:rsidRPr="00190532">
        <w:rPr>
          <w:rFonts w:eastAsia="宋体"/>
          <w:b/>
          <w:color w:val="0070C0"/>
          <w:szCs w:val="24"/>
          <w:lang w:eastAsia="zh-CN"/>
        </w:rPr>
        <w:t xml:space="preserve"> </w:t>
      </w:r>
      <w:r w:rsidRPr="00190532">
        <w:rPr>
          <w:b/>
          <w:lang w:val="en-US" w:eastAsia="zh-CN"/>
        </w:rPr>
        <w:t>after RRC processing by the UE, where the SSB may not be transmitted subject to CCA</w:t>
      </w:r>
    </w:p>
    <w:p w:rsidR="00DF0231" w:rsidRPr="002D2977" w:rsidRDefault="00DF0231" w:rsidP="00DF0231">
      <w:pPr>
        <w:pStyle w:val="1"/>
        <w:tabs>
          <w:tab w:val="clear" w:pos="432"/>
        </w:tabs>
        <w:ind w:left="0" w:firstLine="0"/>
        <w:rPr>
          <w:lang w:val="en-US"/>
        </w:rPr>
      </w:pPr>
      <w:r w:rsidRPr="002D2977">
        <w:rPr>
          <w:lang w:val="en-US"/>
        </w:rPr>
        <w:t>References</w:t>
      </w:r>
    </w:p>
    <w:p w:rsidR="00806262" w:rsidRPr="00363379" w:rsidRDefault="00806262" w:rsidP="00806262">
      <w:pPr>
        <w:rPr>
          <w:lang w:val="en-US"/>
        </w:rPr>
      </w:pPr>
      <w:r w:rsidRPr="002D2977">
        <w:rPr>
          <w:lang w:val="en-US"/>
        </w:rPr>
        <w:t xml:space="preserve">[1] </w:t>
      </w:r>
      <w:r w:rsidRPr="00363379">
        <w:rPr>
          <w:lang w:val="en-US"/>
        </w:rPr>
        <w:t>R4-2005367</w:t>
      </w:r>
      <w:r>
        <w:rPr>
          <w:lang w:val="en-US"/>
        </w:rPr>
        <w:t xml:space="preserve">, </w:t>
      </w:r>
      <w:r w:rsidRPr="00363379">
        <w:t>WF on NR-U RRM Requirements (Part 2)</w:t>
      </w:r>
      <w:r>
        <w:t xml:space="preserve">, </w:t>
      </w:r>
      <w:proofErr w:type="spellStart"/>
      <w:r w:rsidRPr="00363379">
        <w:rPr>
          <w:lang w:val="en-US"/>
        </w:rPr>
        <w:t>MediaTek</w:t>
      </w:r>
      <w:proofErr w:type="spellEnd"/>
      <w:r w:rsidRPr="00363379">
        <w:rPr>
          <w:lang w:val="en-US"/>
        </w:rPr>
        <w:t xml:space="preserve"> </w:t>
      </w:r>
      <w:proofErr w:type="spellStart"/>
      <w:proofErr w:type="gramStart"/>
      <w:r w:rsidRPr="00363379">
        <w:rPr>
          <w:lang w:val="en-US"/>
        </w:rPr>
        <w:t>inc</w:t>
      </w:r>
      <w:proofErr w:type="gramEnd"/>
      <w:r w:rsidRPr="00363379">
        <w:rPr>
          <w:lang w:val="en-US"/>
        </w:rPr>
        <w:t>.</w:t>
      </w:r>
      <w:proofErr w:type="spellEnd"/>
    </w:p>
    <w:p w:rsidR="007D0DF7" w:rsidRPr="00190532" w:rsidRDefault="00190532" w:rsidP="007B692E">
      <w:pPr>
        <w:rPr>
          <w:rFonts w:eastAsiaTheme="minorEastAsia"/>
          <w:lang w:eastAsia="zh-CN"/>
        </w:rPr>
      </w:pPr>
      <w:r>
        <w:rPr>
          <w:rFonts w:eastAsiaTheme="minorEastAsia" w:hint="eastAsia"/>
          <w:lang w:eastAsia="zh-CN"/>
        </w:rPr>
        <w:t>[</w:t>
      </w:r>
      <w:r>
        <w:rPr>
          <w:rFonts w:eastAsiaTheme="minorEastAsia"/>
          <w:lang w:eastAsia="zh-CN"/>
        </w:rPr>
        <w:t xml:space="preserve">2] </w:t>
      </w:r>
      <w:r w:rsidR="00B533F1" w:rsidRPr="00B533F1">
        <w:rPr>
          <w:rFonts w:eastAsiaTheme="minorEastAsia"/>
          <w:lang w:eastAsia="zh-CN"/>
        </w:rPr>
        <w:t>R4-2007694</w:t>
      </w:r>
      <w:bookmarkStart w:id="0" w:name="_GoBack"/>
      <w:bookmarkEnd w:id="0"/>
    </w:p>
    <w:sectPr w:rsidR="007D0DF7" w:rsidRPr="00190532"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533" w:rsidRDefault="00990533">
      <w:pPr>
        <w:spacing w:after="0"/>
      </w:pPr>
      <w:r>
        <w:separator/>
      </w:r>
    </w:p>
  </w:endnote>
  <w:endnote w:type="continuationSeparator" w:id="0">
    <w:p w:rsidR="00990533" w:rsidRDefault="00990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532" w:rsidRDefault="0019053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90532" w:rsidRDefault="001905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532" w:rsidRDefault="0019053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533F1">
      <w:rPr>
        <w:rStyle w:val="a5"/>
      </w:rPr>
      <w:t>2</w:t>
    </w:r>
    <w:r>
      <w:rPr>
        <w:rStyle w:val="a5"/>
      </w:rPr>
      <w:fldChar w:fldCharType="end"/>
    </w:r>
  </w:p>
  <w:p w:rsidR="00190532" w:rsidRDefault="001905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533" w:rsidRDefault="00990533">
      <w:pPr>
        <w:spacing w:after="0"/>
      </w:pPr>
      <w:r>
        <w:separator/>
      </w:r>
    </w:p>
  </w:footnote>
  <w:footnote w:type="continuationSeparator" w:id="0">
    <w:p w:rsidR="00990533" w:rsidRDefault="009905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77CDE"/>
    <w:multiLevelType w:val="hybridMultilevel"/>
    <w:tmpl w:val="5BFADCC2"/>
    <w:lvl w:ilvl="0" w:tplc="B9986CCC">
      <w:start w:val="1"/>
      <w:numFmt w:val="bullet"/>
      <w:lvlText w:val="•"/>
      <w:lvlJc w:val="left"/>
      <w:pPr>
        <w:tabs>
          <w:tab w:val="num" w:pos="720"/>
        </w:tabs>
        <w:ind w:left="720" w:hanging="360"/>
      </w:pPr>
      <w:rPr>
        <w:rFonts w:ascii="Arial" w:hAnsi="Arial" w:hint="default"/>
      </w:rPr>
    </w:lvl>
    <w:lvl w:ilvl="1" w:tplc="344A53FE">
      <w:numFmt w:val="bullet"/>
      <w:lvlText w:val="•"/>
      <w:lvlJc w:val="left"/>
      <w:pPr>
        <w:tabs>
          <w:tab w:val="num" w:pos="1440"/>
        </w:tabs>
        <w:ind w:left="1440" w:hanging="360"/>
      </w:pPr>
      <w:rPr>
        <w:rFonts w:ascii="Arial" w:hAnsi="Arial" w:hint="default"/>
      </w:rPr>
    </w:lvl>
    <w:lvl w:ilvl="2" w:tplc="A12A4C0E" w:tentative="1">
      <w:start w:val="1"/>
      <w:numFmt w:val="bullet"/>
      <w:lvlText w:val="•"/>
      <w:lvlJc w:val="left"/>
      <w:pPr>
        <w:tabs>
          <w:tab w:val="num" w:pos="2160"/>
        </w:tabs>
        <w:ind w:left="2160" w:hanging="360"/>
      </w:pPr>
      <w:rPr>
        <w:rFonts w:ascii="Arial" w:hAnsi="Arial" w:hint="default"/>
      </w:rPr>
    </w:lvl>
    <w:lvl w:ilvl="3" w:tplc="1A860B62" w:tentative="1">
      <w:start w:val="1"/>
      <w:numFmt w:val="bullet"/>
      <w:lvlText w:val="•"/>
      <w:lvlJc w:val="left"/>
      <w:pPr>
        <w:tabs>
          <w:tab w:val="num" w:pos="2880"/>
        </w:tabs>
        <w:ind w:left="2880" w:hanging="360"/>
      </w:pPr>
      <w:rPr>
        <w:rFonts w:ascii="Arial" w:hAnsi="Arial" w:hint="default"/>
      </w:rPr>
    </w:lvl>
    <w:lvl w:ilvl="4" w:tplc="F148F420" w:tentative="1">
      <w:start w:val="1"/>
      <w:numFmt w:val="bullet"/>
      <w:lvlText w:val="•"/>
      <w:lvlJc w:val="left"/>
      <w:pPr>
        <w:tabs>
          <w:tab w:val="num" w:pos="3600"/>
        </w:tabs>
        <w:ind w:left="3600" w:hanging="360"/>
      </w:pPr>
      <w:rPr>
        <w:rFonts w:ascii="Arial" w:hAnsi="Arial" w:hint="default"/>
      </w:rPr>
    </w:lvl>
    <w:lvl w:ilvl="5" w:tplc="0B18D984" w:tentative="1">
      <w:start w:val="1"/>
      <w:numFmt w:val="bullet"/>
      <w:lvlText w:val="•"/>
      <w:lvlJc w:val="left"/>
      <w:pPr>
        <w:tabs>
          <w:tab w:val="num" w:pos="4320"/>
        </w:tabs>
        <w:ind w:left="4320" w:hanging="360"/>
      </w:pPr>
      <w:rPr>
        <w:rFonts w:ascii="Arial" w:hAnsi="Arial" w:hint="default"/>
      </w:rPr>
    </w:lvl>
    <w:lvl w:ilvl="6" w:tplc="246E1044" w:tentative="1">
      <w:start w:val="1"/>
      <w:numFmt w:val="bullet"/>
      <w:lvlText w:val="•"/>
      <w:lvlJc w:val="left"/>
      <w:pPr>
        <w:tabs>
          <w:tab w:val="num" w:pos="5040"/>
        </w:tabs>
        <w:ind w:left="5040" w:hanging="360"/>
      </w:pPr>
      <w:rPr>
        <w:rFonts w:ascii="Arial" w:hAnsi="Arial" w:hint="default"/>
      </w:rPr>
    </w:lvl>
    <w:lvl w:ilvl="7" w:tplc="64FC7968" w:tentative="1">
      <w:start w:val="1"/>
      <w:numFmt w:val="bullet"/>
      <w:lvlText w:val="•"/>
      <w:lvlJc w:val="left"/>
      <w:pPr>
        <w:tabs>
          <w:tab w:val="num" w:pos="5760"/>
        </w:tabs>
        <w:ind w:left="5760" w:hanging="360"/>
      </w:pPr>
      <w:rPr>
        <w:rFonts w:ascii="Arial" w:hAnsi="Arial" w:hint="default"/>
      </w:rPr>
    </w:lvl>
    <w:lvl w:ilvl="8" w:tplc="2BE8F2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6"/>
  </w:num>
  <w:num w:numId="4">
    <w:abstractNumId w:val="18"/>
  </w:num>
  <w:num w:numId="5">
    <w:abstractNumId w:val="13"/>
  </w:num>
  <w:num w:numId="6">
    <w:abstractNumId w:val="7"/>
  </w:num>
  <w:num w:numId="7">
    <w:abstractNumId w:val="12"/>
  </w:num>
  <w:num w:numId="8">
    <w:abstractNumId w:val="3"/>
  </w:num>
  <w:num w:numId="9">
    <w:abstractNumId w:val="6"/>
  </w:num>
  <w:num w:numId="10">
    <w:abstractNumId w:val="4"/>
  </w:num>
  <w:num w:numId="11">
    <w:abstractNumId w:val="8"/>
  </w:num>
  <w:num w:numId="12">
    <w:abstractNumId w:val="9"/>
  </w:num>
  <w:num w:numId="13">
    <w:abstractNumId w:val="11"/>
  </w:num>
  <w:num w:numId="14">
    <w:abstractNumId w:val="1"/>
  </w:num>
  <w:num w:numId="15">
    <w:abstractNumId w:val="2"/>
  </w:num>
  <w:num w:numId="16">
    <w:abstractNumId w:val="14"/>
  </w:num>
  <w:num w:numId="17">
    <w:abstractNumId w:val="5"/>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85C8F"/>
    <w:rsid w:val="000A2ED7"/>
    <w:rsid w:val="000A4BCB"/>
    <w:rsid w:val="000B28A4"/>
    <w:rsid w:val="000D2930"/>
    <w:rsid w:val="000E2C03"/>
    <w:rsid w:val="00100360"/>
    <w:rsid w:val="00187A32"/>
    <w:rsid w:val="00190532"/>
    <w:rsid w:val="00192DA7"/>
    <w:rsid w:val="001E7174"/>
    <w:rsid w:val="001F2AE4"/>
    <w:rsid w:val="0020033A"/>
    <w:rsid w:val="002129CD"/>
    <w:rsid w:val="002221AC"/>
    <w:rsid w:val="00222D7E"/>
    <w:rsid w:val="002328DD"/>
    <w:rsid w:val="0025326F"/>
    <w:rsid w:val="00254F38"/>
    <w:rsid w:val="00282D3C"/>
    <w:rsid w:val="002A5E54"/>
    <w:rsid w:val="002B45C3"/>
    <w:rsid w:val="002E668C"/>
    <w:rsid w:val="002F579F"/>
    <w:rsid w:val="00311CF9"/>
    <w:rsid w:val="00336939"/>
    <w:rsid w:val="0034444C"/>
    <w:rsid w:val="00356FB6"/>
    <w:rsid w:val="00363379"/>
    <w:rsid w:val="003664ED"/>
    <w:rsid w:val="003A5E2B"/>
    <w:rsid w:val="003F37DD"/>
    <w:rsid w:val="003F37F1"/>
    <w:rsid w:val="003F5BF9"/>
    <w:rsid w:val="003F762D"/>
    <w:rsid w:val="00406810"/>
    <w:rsid w:val="0042073A"/>
    <w:rsid w:val="00430F24"/>
    <w:rsid w:val="00435EBD"/>
    <w:rsid w:val="00453A1E"/>
    <w:rsid w:val="00466D02"/>
    <w:rsid w:val="00477263"/>
    <w:rsid w:val="00490A38"/>
    <w:rsid w:val="0049501A"/>
    <w:rsid w:val="004A678E"/>
    <w:rsid w:val="004A7CF2"/>
    <w:rsid w:val="004C4868"/>
    <w:rsid w:val="004E0927"/>
    <w:rsid w:val="004F0167"/>
    <w:rsid w:val="0050339C"/>
    <w:rsid w:val="005235DB"/>
    <w:rsid w:val="00530EB0"/>
    <w:rsid w:val="005449A0"/>
    <w:rsid w:val="00545EC2"/>
    <w:rsid w:val="0054734A"/>
    <w:rsid w:val="00574536"/>
    <w:rsid w:val="005A2871"/>
    <w:rsid w:val="005C02B4"/>
    <w:rsid w:val="005F5231"/>
    <w:rsid w:val="0061475E"/>
    <w:rsid w:val="006A7217"/>
    <w:rsid w:val="006C6191"/>
    <w:rsid w:val="006D43CD"/>
    <w:rsid w:val="00701598"/>
    <w:rsid w:val="00712608"/>
    <w:rsid w:val="007200C7"/>
    <w:rsid w:val="00720F54"/>
    <w:rsid w:val="00723883"/>
    <w:rsid w:val="00736D84"/>
    <w:rsid w:val="0077159B"/>
    <w:rsid w:val="007902A8"/>
    <w:rsid w:val="007A37DA"/>
    <w:rsid w:val="007B692E"/>
    <w:rsid w:val="007B71D5"/>
    <w:rsid w:val="007D0DF7"/>
    <w:rsid w:val="007D3409"/>
    <w:rsid w:val="007E5F97"/>
    <w:rsid w:val="007E67EC"/>
    <w:rsid w:val="007F1E46"/>
    <w:rsid w:val="007F2E6A"/>
    <w:rsid w:val="00803073"/>
    <w:rsid w:val="00804945"/>
    <w:rsid w:val="00806262"/>
    <w:rsid w:val="008446CE"/>
    <w:rsid w:val="00845CFE"/>
    <w:rsid w:val="00865708"/>
    <w:rsid w:val="00865DAD"/>
    <w:rsid w:val="0087326D"/>
    <w:rsid w:val="00873C1C"/>
    <w:rsid w:val="00892EAE"/>
    <w:rsid w:val="008A1C4E"/>
    <w:rsid w:val="008B4853"/>
    <w:rsid w:val="008B4F73"/>
    <w:rsid w:val="008D2271"/>
    <w:rsid w:val="008D3137"/>
    <w:rsid w:val="008D55C5"/>
    <w:rsid w:val="008E2591"/>
    <w:rsid w:val="008E4053"/>
    <w:rsid w:val="00914A03"/>
    <w:rsid w:val="009450D8"/>
    <w:rsid w:val="00951825"/>
    <w:rsid w:val="009708D0"/>
    <w:rsid w:val="00985077"/>
    <w:rsid w:val="00990533"/>
    <w:rsid w:val="009968CF"/>
    <w:rsid w:val="009B2DFC"/>
    <w:rsid w:val="009C4E39"/>
    <w:rsid w:val="009C7D5E"/>
    <w:rsid w:val="009D03C6"/>
    <w:rsid w:val="009D2942"/>
    <w:rsid w:val="009E6763"/>
    <w:rsid w:val="009E6DC8"/>
    <w:rsid w:val="009F06FB"/>
    <w:rsid w:val="00A1597D"/>
    <w:rsid w:val="00A22790"/>
    <w:rsid w:val="00A26AB0"/>
    <w:rsid w:val="00A42E3A"/>
    <w:rsid w:val="00A65DB0"/>
    <w:rsid w:val="00A90E6D"/>
    <w:rsid w:val="00AC2C97"/>
    <w:rsid w:val="00AD69AA"/>
    <w:rsid w:val="00AE6BE0"/>
    <w:rsid w:val="00AF0E37"/>
    <w:rsid w:val="00AF5966"/>
    <w:rsid w:val="00B10C6E"/>
    <w:rsid w:val="00B23292"/>
    <w:rsid w:val="00B41E6D"/>
    <w:rsid w:val="00B474B6"/>
    <w:rsid w:val="00B533F1"/>
    <w:rsid w:val="00B53963"/>
    <w:rsid w:val="00B73A82"/>
    <w:rsid w:val="00BA0200"/>
    <w:rsid w:val="00BB2A32"/>
    <w:rsid w:val="00BB4FB2"/>
    <w:rsid w:val="00BC47AB"/>
    <w:rsid w:val="00BD2AB1"/>
    <w:rsid w:val="00BE1FD4"/>
    <w:rsid w:val="00BE677A"/>
    <w:rsid w:val="00BF00A7"/>
    <w:rsid w:val="00BF33D9"/>
    <w:rsid w:val="00C11B10"/>
    <w:rsid w:val="00C27B5D"/>
    <w:rsid w:val="00C338CA"/>
    <w:rsid w:val="00C50A0A"/>
    <w:rsid w:val="00C83525"/>
    <w:rsid w:val="00CA1729"/>
    <w:rsid w:val="00CA1DAE"/>
    <w:rsid w:val="00CC7D05"/>
    <w:rsid w:val="00CD397C"/>
    <w:rsid w:val="00CE0DA0"/>
    <w:rsid w:val="00CF40B2"/>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266DF"/>
    <w:rsid w:val="00F303F4"/>
    <w:rsid w:val="00F413E7"/>
    <w:rsid w:val="00FA4943"/>
    <w:rsid w:val="00FC0F9D"/>
    <w:rsid w:val="00FC27EC"/>
    <w:rsid w:val="00FC3492"/>
    <w:rsid w:val="00FC625D"/>
    <w:rsid w:val="00FD645F"/>
    <w:rsid w:val="00FE3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90532"/>
    <w:pPr>
      <w:ind w:left="568" w:firstLineChars="0" w:hanging="284"/>
      <w:contextualSpacing w:val="0"/>
    </w:pPr>
    <w:rPr>
      <w:rFonts w:eastAsiaTheme="minorEastAsia"/>
    </w:rPr>
  </w:style>
  <w:style w:type="character" w:customStyle="1" w:styleId="B1Char">
    <w:name w:val="B1 Char"/>
    <w:link w:val="B1"/>
    <w:rsid w:val="00190532"/>
    <w:rPr>
      <w:rFonts w:ascii="Times New Roman" w:hAnsi="Times New Roman" w:cs="Times New Roman"/>
      <w:kern w:val="0"/>
      <w:sz w:val="20"/>
      <w:szCs w:val="20"/>
      <w:lang w:val="en-GB" w:eastAsia="en-US"/>
    </w:rPr>
  </w:style>
  <w:style w:type="paragraph" w:styleId="aa">
    <w:name w:val="List"/>
    <w:basedOn w:val="a"/>
    <w:uiPriority w:val="99"/>
    <w:semiHidden/>
    <w:unhideWhenUsed/>
    <w:rsid w:val="0019053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7590">
      <w:bodyDiv w:val="1"/>
      <w:marLeft w:val="0"/>
      <w:marRight w:val="0"/>
      <w:marTop w:val="0"/>
      <w:marBottom w:val="0"/>
      <w:divBdr>
        <w:top w:val="none" w:sz="0" w:space="0" w:color="auto"/>
        <w:left w:val="none" w:sz="0" w:space="0" w:color="auto"/>
        <w:bottom w:val="none" w:sz="0" w:space="0" w:color="auto"/>
        <w:right w:val="none" w:sz="0" w:space="0" w:color="auto"/>
      </w:divBdr>
      <w:divsChild>
        <w:div w:id="1296639139">
          <w:marLeft w:val="360"/>
          <w:marRight w:val="0"/>
          <w:marTop w:val="200"/>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19559181">
      <w:bodyDiv w:val="1"/>
      <w:marLeft w:val="0"/>
      <w:marRight w:val="0"/>
      <w:marTop w:val="0"/>
      <w:marBottom w:val="0"/>
      <w:divBdr>
        <w:top w:val="none" w:sz="0" w:space="0" w:color="auto"/>
        <w:left w:val="none" w:sz="0" w:space="0" w:color="auto"/>
        <w:bottom w:val="none" w:sz="0" w:space="0" w:color="auto"/>
        <w:right w:val="none" w:sz="0" w:space="0" w:color="auto"/>
      </w:divBdr>
    </w:div>
    <w:div w:id="280456602">
      <w:bodyDiv w:val="1"/>
      <w:marLeft w:val="0"/>
      <w:marRight w:val="0"/>
      <w:marTop w:val="0"/>
      <w:marBottom w:val="0"/>
      <w:divBdr>
        <w:top w:val="none" w:sz="0" w:space="0" w:color="auto"/>
        <w:left w:val="none" w:sz="0" w:space="0" w:color="auto"/>
        <w:bottom w:val="none" w:sz="0" w:space="0" w:color="auto"/>
        <w:right w:val="none" w:sz="0" w:space="0" w:color="auto"/>
      </w:divBdr>
    </w:div>
    <w:div w:id="359865775">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2735703">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12352661">
      <w:bodyDiv w:val="1"/>
      <w:marLeft w:val="0"/>
      <w:marRight w:val="0"/>
      <w:marTop w:val="0"/>
      <w:marBottom w:val="0"/>
      <w:divBdr>
        <w:top w:val="none" w:sz="0" w:space="0" w:color="auto"/>
        <w:left w:val="none" w:sz="0" w:space="0" w:color="auto"/>
        <w:bottom w:val="none" w:sz="0" w:space="0" w:color="auto"/>
        <w:right w:val="none" w:sz="0" w:space="0" w:color="auto"/>
      </w:divBdr>
      <w:divsChild>
        <w:div w:id="839538738">
          <w:marLeft w:val="360"/>
          <w:marRight w:val="0"/>
          <w:marTop w:val="200"/>
          <w:marBottom w:val="0"/>
          <w:divBdr>
            <w:top w:val="none" w:sz="0" w:space="0" w:color="auto"/>
            <w:left w:val="none" w:sz="0" w:space="0" w:color="auto"/>
            <w:bottom w:val="none" w:sz="0" w:space="0" w:color="auto"/>
            <w:right w:val="none" w:sz="0" w:space="0" w:color="auto"/>
          </w:divBdr>
        </w:div>
        <w:div w:id="247816188">
          <w:marLeft w:val="360"/>
          <w:marRight w:val="0"/>
          <w:marTop w:val="200"/>
          <w:marBottom w:val="0"/>
          <w:divBdr>
            <w:top w:val="none" w:sz="0" w:space="0" w:color="auto"/>
            <w:left w:val="none" w:sz="0" w:space="0" w:color="auto"/>
            <w:bottom w:val="none" w:sz="0" w:space="0" w:color="auto"/>
            <w:right w:val="none" w:sz="0" w:space="0" w:color="auto"/>
          </w:divBdr>
        </w:div>
        <w:div w:id="1221868066">
          <w:marLeft w:val="360"/>
          <w:marRight w:val="0"/>
          <w:marTop w:val="200"/>
          <w:marBottom w:val="0"/>
          <w:divBdr>
            <w:top w:val="none" w:sz="0" w:space="0" w:color="auto"/>
            <w:left w:val="none" w:sz="0" w:space="0" w:color="auto"/>
            <w:bottom w:val="none" w:sz="0" w:space="0" w:color="auto"/>
            <w:right w:val="none" w:sz="0" w:space="0" w:color="auto"/>
          </w:divBdr>
        </w:div>
        <w:div w:id="339936718">
          <w:marLeft w:val="360"/>
          <w:marRight w:val="0"/>
          <w:marTop w:val="200"/>
          <w:marBottom w:val="0"/>
          <w:divBdr>
            <w:top w:val="none" w:sz="0" w:space="0" w:color="auto"/>
            <w:left w:val="none" w:sz="0" w:space="0" w:color="auto"/>
            <w:bottom w:val="none" w:sz="0" w:space="0" w:color="auto"/>
            <w:right w:val="none" w:sz="0" w:space="0" w:color="auto"/>
          </w:divBdr>
        </w:div>
        <w:div w:id="665089242">
          <w:marLeft w:val="1080"/>
          <w:marRight w:val="0"/>
          <w:marTop w:val="100"/>
          <w:marBottom w:val="0"/>
          <w:divBdr>
            <w:top w:val="none" w:sz="0" w:space="0" w:color="auto"/>
            <w:left w:val="none" w:sz="0" w:space="0" w:color="auto"/>
            <w:bottom w:val="none" w:sz="0" w:space="0" w:color="auto"/>
            <w:right w:val="none" w:sz="0" w:space="0" w:color="auto"/>
          </w:divBdr>
        </w:div>
        <w:div w:id="790243547">
          <w:marLeft w:val="1080"/>
          <w:marRight w:val="0"/>
          <w:marTop w:val="100"/>
          <w:marBottom w:val="0"/>
          <w:divBdr>
            <w:top w:val="none" w:sz="0" w:space="0" w:color="auto"/>
            <w:left w:val="none" w:sz="0" w:space="0" w:color="auto"/>
            <w:bottom w:val="none" w:sz="0" w:space="0" w:color="auto"/>
            <w:right w:val="none" w:sz="0" w:space="0" w:color="auto"/>
          </w:divBdr>
        </w:div>
        <w:div w:id="1106773861">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36831401">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3080611">
      <w:bodyDiv w:val="1"/>
      <w:marLeft w:val="0"/>
      <w:marRight w:val="0"/>
      <w:marTop w:val="0"/>
      <w:marBottom w:val="0"/>
      <w:divBdr>
        <w:top w:val="none" w:sz="0" w:space="0" w:color="auto"/>
        <w:left w:val="none" w:sz="0" w:space="0" w:color="auto"/>
        <w:bottom w:val="none" w:sz="0" w:space="0" w:color="auto"/>
        <w:right w:val="none" w:sz="0" w:space="0" w:color="auto"/>
      </w:divBdr>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63006007">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67992984">
      <w:bodyDiv w:val="1"/>
      <w:marLeft w:val="0"/>
      <w:marRight w:val="0"/>
      <w:marTop w:val="0"/>
      <w:marBottom w:val="0"/>
      <w:divBdr>
        <w:top w:val="none" w:sz="0" w:space="0" w:color="auto"/>
        <w:left w:val="none" w:sz="0" w:space="0" w:color="auto"/>
        <w:bottom w:val="none" w:sz="0" w:space="0" w:color="auto"/>
        <w:right w:val="none" w:sz="0" w:space="0" w:color="auto"/>
      </w:divBdr>
      <w:divsChild>
        <w:div w:id="76441077">
          <w:marLeft w:val="360"/>
          <w:marRight w:val="0"/>
          <w:marTop w:val="200"/>
          <w:marBottom w:val="0"/>
          <w:divBdr>
            <w:top w:val="none" w:sz="0" w:space="0" w:color="auto"/>
            <w:left w:val="none" w:sz="0" w:space="0" w:color="auto"/>
            <w:bottom w:val="none" w:sz="0" w:space="0" w:color="auto"/>
            <w:right w:val="none" w:sz="0" w:space="0" w:color="auto"/>
          </w:divBdr>
        </w:div>
        <w:div w:id="1462191674">
          <w:marLeft w:val="360"/>
          <w:marRight w:val="0"/>
          <w:marTop w:val="200"/>
          <w:marBottom w:val="0"/>
          <w:divBdr>
            <w:top w:val="none" w:sz="0" w:space="0" w:color="auto"/>
            <w:left w:val="none" w:sz="0" w:space="0" w:color="auto"/>
            <w:bottom w:val="none" w:sz="0" w:space="0" w:color="auto"/>
            <w:right w:val="none" w:sz="0" w:space="0" w:color="auto"/>
          </w:divBdr>
        </w:div>
        <w:div w:id="1838500623">
          <w:marLeft w:val="1080"/>
          <w:marRight w:val="0"/>
          <w:marTop w:val="100"/>
          <w:marBottom w:val="0"/>
          <w:divBdr>
            <w:top w:val="none" w:sz="0" w:space="0" w:color="auto"/>
            <w:left w:val="none" w:sz="0" w:space="0" w:color="auto"/>
            <w:bottom w:val="none" w:sz="0" w:space="0" w:color="auto"/>
            <w:right w:val="none" w:sz="0" w:space="0" w:color="auto"/>
          </w:divBdr>
        </w:div>
        <w:div w:id="408968498">
          <w:marLeft w:val="360"/>
          <w:marRight w:val="0"/>
          <w:marTop w:val="200"/>
          <w:marBottom w:val="0"/>
          <w:divBdr>
            <w:top w:val="none" w:sz="0" w:space="0" w:color="auto"/>
            <w:left w:val="none" w:sz="0" w:space="0" w:color="auto"/>
            <w:bottom w:val="none" w:sz="0" w:space="0" w:color="auto"/>
            <w:right w:val="none" w:sz="0" w:space="0" w:color="auto"/>
          </w:divBdr>
        </w:div>
        <w:div w:id="1642928178">
          <w:marLeft w:val="360"/>
          <w:marRight w:val="0"/>
          <w:marTop w:val="200"/>
          <w:marBottom w:val="0"/>
          <w:divBdr>
            <w:top w:val="none" w:sz="0" w:space="0" w:color="auto"/>
            <w:left w:val="none" w:sz="0" w:space="0" w:color="auto"/>
            <w:bottom w:val="none" w:sz="0" w:space="0" w:color="auto"/>
            <w:right w:val="none" w:sz="0" w:space="0" w:color="auto"/>
          </w:divBdr>
        </w:div>
        <w:div w:id="1227497878">
          <w:marLeft w:val="360"/>
          <w:marRight w:val="0"/>
          <w:marTop w:val="200"/>
          <w:marBottom w:val="0"/>
          <w:divBdr>
            <w:top w:val="none" w:sz="0" w:space="0" w:color="auto"/>
            <w:left w:val="none" w:sz="0" w:space="0" w:color="auto"/>
            <w:bottom w:val="none" w:sz="0" w:space="0" w:color="auto"/>
            <w:right w:val="none" w:sz="0" w:space="0" w:color="auto"/>
          </w:divBdr>
        </w:div>
        <w:div w:id="1050616784">
          <w:marLeft w:val="360"/>
          <w:marRight w:val="0"/>
          <w:marTop w:val="20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714070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2309</TotalTime>
  <Pages>1</Pages>
  <Words>678</Words>
  <Characters>3867</Characters>
  <Application>Microsoft Office Word</Application>
  <DocSecurity>0</DocSecurity>
  <Lines>32</Lines>
  <Paragraphs>9</Paragraphs>
  <ScaleCrop>false</ScaleCrop>
  <Company>HUAWEI</Company>
  <LinksUpToDate>false</LinksUpToDate>
  <CharactersWithSpaces>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73</cp:revision>
  <dcterms:created xsi:type="dcterms:W3CDTF">2019-09-18T02:52:00Z</dcterms:created>
  <dcterms:modified xsi:type="dcterms:W3CDTF">2020-05-15T15:55:00Z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(3)jcT+xoHFlvB08Wjdt2O3QzXDDz36oUDT6aKiyWEwLvAkTGVfTe3VnKNb2CzFVixxaAKnFfGf
hH+vMhuNGor/Iv/GjiIKu6KFsrQBVHMQpjboLuazAClILfDfYIXxJjmAMT0S7lY88r2XqLf2
CFNwsMFBhLgXNmpiczFW9wmQ/AWA+xvCx5uj7hJqHjQaJdUqSDMpMEP/AKfvt7vC/dIkv6f0
tpdXZ0lsnBKYo3dDPf</vt:lpwstr>
  </property>
  <property fmtid="{D5CDD505-2E9C-101B-9397-08002B2CF9AE}" pid="3" name="_2015_ms_pID_7253431">
    <vt:lpwstr>gjkgqYjkw8OdL2eTbM3khwThWL0rMGDdc/e/Yr+3JXlViUp8p5h/GH
27n7nDXi4T1tlwsAwhqR3/N0PbYmedIhGLz2pE7lGUGSXFHHZDiLe2uh2S/jVEekuu5ukkqJ
0w0+34xEhhGvrmGZuAZ3dprbd8BT9c3FbdFzmyTcSNGsNvTS2rTqaFSEpR3Rxo6ZlNOMKrX4
MrlWJ1VcoaQ3QLn2qr9vkg8LDd+pEvS99n08</vt:lpwstr>
  </property>
  <property fmtid="{D5CDD505-2E9C-101B-9397-08002B2CF9AE}" pid="4" name="_2015_ms_pID_7253432">
    <vt:lpwstr>rzwT1o1kTTbp3L2BKZKjkkY=</vt:lpwstr>
  </property>
</Properties>
</file>