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E46" w:rsidRPr="007F1E46" w:rsidRDefault="007F1E46" w:rsidP="007F1E46">
      <w:pPr>
        <w:pStyle w:val="a3"/>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1803C7" w:rsidRPr="001803C7">
        <w:rPr>
          <w:rFonts w:cs="Arial"/>
          <w:noProof w:val="0"/>
          <w:sz w:val="24"/>
          <w:szCs w:val="24"/>
        </w:rPr>
        <w:t>R4-2007700</w:t>
      </w:r>
      <w:bookmarkStart w:id="0" w:name="_GoBack"/>
      <w:bookmarkEnd w:id="0"/>
    </w:p>
    <w:p w:rsidR="00DF0231" w:rsidRPr="007F1E46" w:rsidRDefault="007F1E46" w:rsidP="007F1E46">
      <w:pPr>
        <w:pStyle w:val="a3"/>
        <w:rPr>
          <w:rFonts w:eastAsia="宋体"/>
          <w:noProof w:val="0"/>
          <w:sz w:val="24"/>
          <w:szCs w:val="24"/>
          <w:lang w:eastAsia="zh-CN"/>
        </w:rPr>
      </w:pPr>
      <w:r w:rsidRPr="007F1E46">
        <w:rPr>
          <w:rFonts w:cs="Arial"/>
          <w:noProof w:val="0"/>
          <w:sz w:val="24"/>
          <w:szCs w:val="24"/>
        </w:rPr>
        <w:t>Electronic Meeting, 25 May – 5 June, 2020</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2073A" w:rsidRPr="0042073A">
        <w:rPr>
          <w:rFonts w:ascii="Arial" w:hAnsi="Arial"/>
          <w:sz w:val="24"/>
          <w:lang w:val="en-US"/>
        </w:rPr>
        <w:t>6.1.5.9</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5326F" w:rsidRPr="0025326F">
        <w:rPr>
          <w:rFonts w:ascii="Arial" w:hAnsi="Arial"/>
          <w:sz w:val="24"/>
          <w:lang w:val="en-US"/>
        </w:rPr>
        <w:t xml:space="preserve">Discussion </w:t>
      </w:r>
      <w:r w:rsidR="0042073A">
        <w:rPr>
          <w:rFonts w:ascii="Arial" w:hAnsi="Arial"/>
          <w:sz w:val="24"/>
          <w:lang w:val="en-US"/>
        </w:rPr>
        <w:t>on active BWP switch delay</w:t>
      </w:r>
      <w:r w:rsidR="0025326F" w:rsidRPr="0025326F">
        <w:rPr>
          <w:rFonts w:ascii="Arial" w:hAnsi="Arial"/>
          <w:sz w:val="24"/>
          <w:lang w:val="en-US"/>
        </w:rPr>
        <w:t xml:space="preserve">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w:t>
      </w:r>
      <w:r w:rsidR="009F06FB">
        <w:rPr>
          <w:rFonts w:eastAsiaTheme="minorEastAsia"/>
          <w:lang w:val="en-US" w:eastAsia="zh-CN"/>
        </w:rPr>
        <w:t xml:space="preserve">the </w:t>
      </w:r>
      <w:r w:rsidR="00363379">
        <w:rPr>
          <w:rFonts w:eastAsiaTheme="minorEastAsia"/>
          <w:lang w:val="en-US" w:eastAsia="zh-CN"/>
        </w:rPr>
        <w:t>last</w:t>
      </w:r>
      <w:r w:rsidR="009F06FB">
        <w:rPr>
          <w:rFonts w:eastAsiaTheme="minorEastAsia"/>
          <w:lang w:val="en-US" w:eastAsia="zh-CN"/>
        </w:rPr>
        <w:t xml:space="preserve"> RAN</w:t>
      </w:r>
      <w:r w:rsidR="00865DAD">
        <w:rPr>
          <w:rFonts w:eastAsiaTheme="minorEastAsia"/>
          <w:lang w:val="en-US" w:eastAsia="zh-CN"/>
        </w:rPr>
        <w:t>4</w:t>
      </w:r>
      <w:r w:rsidR="00363379">
        <w:rPr>
          <w:rFonts w:eastAsiaTheme="minorEastAsia"/>
          <w:lang w:val="en-US" w:eastAsia="zh-CN"/>
        </w:rPr>
        <w:t xml:space="preserve"> 94-e-bis</w:t>
      </w:r>
      <w:r w:rsidR="008E4053">
        <w:rPr>
          <w:rFonts w:eastAsiaTheme="minorEastAsia"/>
          <w:lang w:val="en-US" w:eastAsia="zh-CN"/>
        </w:rPr>
        <w:t xml:space="preserve"> meeting</w:t>
      </w:r>
      <w:r w:rsidRPr="002D2977">
        <w:rPr>
          <w:rFonts w:eastAsiaTheme="minorEastAsia"/>
          <w:lang w:val="en-US" w:eastAsia="zh-CN"/>
        </w:rPr>
        <w:t xml:space="preserve">, </w:t>
      </w:r>
      <w:r w:rsidR="00DD38B2">
        <w:rPr>
          <w:rFonts w:eastAsiaTheme="minorEastAsia"/>
          <w:lang w:val="en-US" w:eastAsia="zh-CN"/>
        </w:rPr>
        <w:t>the RRM measurement</w:t>
      </w:r>
      <w:r w:rsidR="00AF0E37">
        <w:rPr>
          <w:rFonts w:eastAsiaTheme="minorEastAsia"/>
          <w:lang w:val="en-US" w:eastAsia="zh-CN"/>
        </w:rPr>
        <w:t xml:space="preserve"> for </w:t>
      </w:r>
      <w:r w:rsidR="00363379">
        <w:rPr>
          <w:rFonts w:eastAsiaTheme="minorEastAsia"/>
          <w:lang w:val="en-US" w:eastAsia="zh-CN"/>
        </w:rPr>
        <w:t>NR-U</w:t>
      </w:r>
      <w:r w:rsidR="00AF0E37">
        <w:rPr>
          <w:rFonts w:eastAsiaTheme="minorEastAsia"/>
          <w:lang w:val="en-US" w:eastAsia="zh-CN"/>
        </w:rPr>
        <w:t xml:space="preserve"> were discussed. There are some remaining issues about </w:t>
      </w:r>
      <w:r w:rsidR="0042073A" w:rsidRPr="0042073A">
        <w:rPr>
          <w:rFonts w:eastAsiaTheme="minorEastAsia"/>
          <w:lang w:val="en-US" w:eastAsia="zh-CN"/>
        </w:rPr>
        <w:t>active BWP switch delay</w:t>
      </w:r>
      <w:r w:rsidR="00363379">
        <w:rPr>
          <w:rFonts w:eastAsiaTheme="minorEastAsia"/>
          <w:lang w:val="en-US" w:eastAsia="zh-CN"/>
        </w:rPr>
        <w:t xml:space="preserve"> which are captured in [1]</w:t>
      </w:r>
      <w:r w:rsidR="00AF0E37">
        <w:rPr>
          <w:rFonts w:eastAsiaTheme="minorEastAsia"/>
          <w:lang w:val="en-US" w:eastAsia="zh-CN"/>
        </w:rPr>
        <w:t>. We further investigate these issues and present views in this paper.</w:t>
      </w:r>
    </w:p>
    <w:p w:rsidR="00DF0231" w:rsidRDefault="00DF0231" w:rsidP="00DF0231">
      <w:pPr>
        <w:pStyle w:val="1"/>
        <w:numPr>
          <w:ilvl w:val="0"/>
          <w:numId w:val="1"/>
        </w:numPr>
        <w:rPr>
          <w:lang w:val="en-US"/>
        </w:rPr>
      </w:pPr>
      <w:r w:rsidRPr="002D2977">
        <w:rPr>
          <w:lang w:val="en-US"/>
        </w:rPr>
        <w:t>Discussion</w:t>
      </w:r>
    </w:p>
    <w:p w:rsidR="0025326F" w:rsidRDefault="00085C8F" w:rsidP="001F2AE4">
      <w:pPr>
        <w:rPr>
          <w:rFonts w:eastAsiaTheme="minorEastAsia"/>
          <w:lang w:eastAsia="zh-CN"/>
        </w:rPr>
      </w:pPr>
      <w:r>
        <w:rPr>
          <w:rFonts w:eastAsiaTheme="minorEastAsia"/>
          <w:lang w:eastAsia="zh-CN"/>
        </w:rPr>
        <w:t>The agreements and open issues from RAN4 94-e-bis meeting are summarized as follows:</w:t>
      </w:r>
    </w:p>
    <w:tbl>
      <w:tblPr>
        <w:tblStyle w:val="a7"/>
        <w:tblW w:w="0" w:type="auto"/>
        <w:tblLook w:val="04A0" w:firstRow="1" w:lastRow="0" w:firstColumn="1" w:lastColumn="0" w:noHBand="0" w:noVBand="1"/>
      </w:tblPr>
      <w:tblGrid>
        <w:gridCol w:w="9562"/>
      </w:tblGrid>
      <w:tr w:rsidR="00085C8F" w:rsidTr="00085C8F">
        <w:tc>
          <w:tcPr>
            <w:tcW w:w="9562" w:type="dxa"/>
          </w:tcPr>
          <w:p w:rsidR="0042073A" w:rsidRDefault="0042073A" w:rsidP="0042073A">
            <w:pPr>
              <w:rPr>
                <w:rFonts w:eastAsiaTheme="minorEastAsia"/>
                <w:lang w:val="en-US" w:eastAsia="zh-CN"/>
              </w:rPr>
            </w:pPr>
          </w:p>
          <w:p w:rsidR="0042073A" w:rsidRPr="0042073A" w:rsidRDefault="0042073A" w:rsidP="0042073A">
            <w:pPr>
              <w:numPr>
                <w:ilvl w:val="0"/>
                <w:numId w:val="19"/>
              </w:numPr>
              <w:rPr>
                <w:rFonts w:eastAsiaTheme="minorEastAsia"/>
                <w:lang w:val="en-US" w:eastAsia="zh-CN"/>
              </w:rPr>
            </w:pPr>
            <w:r w:rsidRPr="0042073A">
              <w:rPr>
                <w:rFonts w:eastAsiaTheme="minorEastAsia"/>
                <w:lang w:val="en-US" w:eastAsia="zh-CN"/>
              </w:rPr>
              <w:t>The UL BWP switching delay upon detection of consistent UL LBT failure is the same as the delay of DCI and timer based BWP switching</w:t>
            </w:r>
          </w:p>
          <w:p w:rsidR="0042073A" w:rsidRPr="0042073A" w:rsidRDefault="0042073A" w:rsidP="0042073A">
            <w:pPr>
              <w:numPr>
                <w:ilvl w:val="0"/>
                <w:numId w:val="19"/>
              </w:numPr>
              <w:rPr>
                <w:rFonts w:eastAsiaTheme="minorEastAsia"/>
                <w:lang w:val="en-US" w:eastAsia="zh-CN"/>
              </w:rPr>
            </w:pPr>
            <w:r w:rsidRPr="0042073A">
              <w:rPr>
                <w:rFonts w:eastAsiaTheme="minorEastAsia"/>
                <w:lang w:val="en-US" w:eastAsia="zh-CN"/>
              </w:rPr>
              <w:t>The interruption requirement (starting time and duration) of UL BWP switching upon detection of consistent UL LBT failure follow existing interruption requirements for DCI and timer based BWP switch</w:t>
            </w:r>
          </w:p>
          <w:p w:rsidR="0042073A" w:rsidRPr="0042073A" w:rsidRDefault="0042073A" w:rsidP="0042073A">
            <w:pPr>
              <w:numPr>
                <w:ilvl w:val="0"/>
                <w:numId w:val="19"/>
              </w:numPr>
              <w:rPr>
                <w:rFonts w:eastAsiaTheme="minorEastAsia"/>
                <w:lang w:val="en-US" w:eastAsia="zh-CN"/>
              </w:rPr>
            </w:pPr>
            <w:r w:rsidRPr="0042073A">
              <w:rPr>
                <w:rFonts w:eastAsiaTheme="minorEastAsia"/>
                <w:lang w:val="en-US" w:eastAsia="zh-CN"/>
              </w:rPr>
              <w:t>Upon detecting consistent UL LBT failure at slot#n when UE detects lbt-FailureInstanceMaxCount number of LBT failure within lbt-FailureDetectionTimer, UE starts UL BWP switch at slot#n+1</w:t>
            </w:r>
          </w:p>
          <w:p w:rsidR="0042073A" w:rsidRPr="0042073A" w:rsidRDefault="0042073A" w:rsidP="0042073A">
            <w:pPr>
              <w:numPr>
                <w:ilvl w:val="0"/>
                <w:numId w:val="19"/>
              </w:numPr>
              <w:rPr>
                <w:rFonts w:eastAsiaTheme="minorEastAsia"/>
                <w:lang w:val="en-US" w:eastAsia="zh-CN"/>
              </w:rPr>
            </w:pPr>
            <w:r w:rsidRPr="0042073A">
              <w:rPr>
                <w:rFonts w:eastAsiaTheme="minorEastAsia"/>
                <w:lang w:val="en-US" w:eastAsia="zh-CN"/>
              </w:rPr>
              <w:t xml:space="preserve">The ending point of UL BWP switching delay upon detection of consistent UL LBT failure </w:t>
            </w:r>
          </w:p>
          <w:p w:rsidR="0042073A" w:rsidRPr="0042073A" w:rsidRDefault="0042073A" w:rsidP="0042073A">
            <w:pPr>
              <w:numPr>
                <w:ilvl w:val="1"/>
                <w:numId w:val="19"/>
              </w:numPr>
              <w:rPr>
                <w:rFonts w:eastAsiaTheme="minorEastAsia"/>
                <w:lang w:val="en-US" w:eastAsia="zh-CN"/>
              </w:rPr>
            </w:pPr>
            <w:r w:rsidRPr="0042073A">
              <w:rPr>
                <w:rFonts w:eastAsiaTheme="minorEastAsia"/>
                <w:lang w:val="en-US" w:eastAsia="zh-CN"/>
              </w:rPr>
              <w:t>Option 1: UE transmits RACH</w:t>
            </w:r>
          </w:p>
          <w:p w:rsidR="0042073A" w:rsidRPr="0042073A" w:rsidRDefault="0042073A" w:rsidP="0042073A">
            <w:pPr>
              <w:numPr>
                <w:ilvl w:val="1"/>
                <w:numId w:val="19"/>
              </w:numPr>
              <w:rPr>
                <w:rFonts w:eastAsiaTheme="minorEastAsia"/>
                <w:lang w:val="en-US" w:eastAsia="zh-CN"/>
              </w:rPr>
            </w:pPr>
            <w:r w:rsidRPr="0042073A">
              <w:rPr>
                <w:rFonts w:eastAsiaTheme="minorEastAsia"/>
                <w:lang w:val="en-US" w:eastAsia="zh-CN"/>
              </w:rPr>
              <w:t>Option 2: UE is ready to transmit RACH</w:t>
            </w:r>
          </w:p>
          <w:p w:rsidR="0042073A" w:rsidRPr="0042073A" w:rsidRDefault="0042073A" w:rsidP="0042073A">
            <w:pPr>
              <w:numPr>
                <w:ilvl w:val="0"/>
                <w:numId w:val="19"/>
              </w:numPr>
              <w:rPr>
                <w:rFonts w:eastAsiaTheme="minorEastAsia"/>
                <w:lang w:val="en-US" w:eastAsia="zh-CN"/>
              </w:rPr>
            </w:pPr>
            <w:r w:rsidRPr="0042073A">
              <w:rPr>
                <w:rFonts w:eastAsiaTheme="minorEastAsia"/>
                <w:lang w:val="en-US" w:eastAsia="zh-CN"/>
              </w:rPr>
              <w:t xml:space="preserve">FFS whether to add the condition about the relative frequency locations for the old and new UL BWPs </w:t>
            </w:r>
          </w:p>
          <w:p w:rsidR="00085C8F" w:rsidRPr="00085C8F" w:rsidRDefault="00085C8F" w:rsidP="0042073A">
            <w:pPr>
              <w:ind w:left="360"/>
              <w:rPr>
                <w:rFonts w:eastAsiaTheme="minorEastAsia"/>
                <w:lang w:val="en-US" w:eastAsia="zh-CN"/>
              </w:rPr>
            </w:pPr>
          </w:p>
        </w:tc>
      </w:tr>
    </w:tbl>
    <w:p w:rsidR="00085C8F" w:rsidRDefault="00085C8F" w:rsidP="001F2AE4">
      <w:pPr>
        <w:rPr>
          <w:rFonts w:eastAsiaTheme="minorEastAsia"/>
          <w:lang w:eastAsia="zh-CN"/>
        </w:rPr>
      </w:pPr>
    </w:p>
    <w:p w:rsidR="00453A1E" w:rsidRDefault="00720F54" w:rsidP="0042073A">
      <w:pPr>
        <w:rPr>
          <w:rFonts w:eastAsiaTheme="minorEastAsia"/>
          <w:lang w:eastAsia="zh-CN"/>
        </w:rPr>
      </w:pPr>
      <w:r w:rsidRPr="00720F54">
        <w:rPr>
          <w:rFonts w:eastAsiaTheme="minorEastAsia"/>
          <w:lang w:eastAsia="zh-CN"/>
        </w:rPr>
        <w:t>One remaining issue is whether to include the delay to obtain RACH resource in the delay requirement of active BWP switch.</w:t>
      </w:r>
      <w:r>
        <w:rPr>
          <w:rFonts w:eastAsiaTheme="minorEastAsia"/>
          <w:lang w:eastAsia="zh-CN"/>
        </w:rPr>
        <w:t xml:space="preserve"> It could be observed from the existing requirements of active BWP switch, the end point of the delay is that UE is able to </w:t>
      </w:r>
      <w:r w:rsidRPr="00720F54">
        <w:rPr>
          <w:rFonts w:eastAsiaTheme="minorEastAsia"/>
          <w:lang w:eastAsia="zh-CN"/>
        </w:rPr>
        <w:t>PDSCH (for DL active BWP switch) or transmit PUSCH (for UL active BWP switch) on the new BWP</w:t>
      </w:r>
      <w:r>
        <w:rPr>
          <w:rFonts w:eastAsiaTheme="minorEastAsia"/>
          <w:lang w:eastAsia="zh-CN"/>
        </w:rPr>
        <w:t xml:space="preserve">. For the PRACH transmission, it is the corresponding UE behaviour after switched to the new BWP triggered by consistent UL LBT failures by should not be considered in the delay requirements for BWP switch delay. It could also be observed from the test cases that the BWP switch delay is </w:t>
      </w:r>
      <w:r w:rsidR="005A2871">
        <w:rPr>
          <w:rFonts w:eastAsiaTheme="minorEastAsia"/>
          <w:lang w:eastAsia="zh-CN"/>
        </w:rPr>
        <w:t xml:space="preserve">tested by </w:t>
      </w:r>
      <w:r>
        <w:rPr>
          <w:rFonts w:eastAsiaTheme="minorEastAsia"/>
          <w:lang w:eastAsia="zh-CN"/>
        </w:rPr>
        <w:t>report</w:t>
      </w:r>
      <w:r w:rsidR="005A2871">
        <w:rPr>
          <w:rFonts w:eastAsiaTheme="minorEastAsia"/>
          <w:lang w:eastAsia="zh-CN"/>
        </w:rPr>
        <w:t>ing</w:t>
      </w:r>
      <w:r>
        <w:rPr>
          <w:rFonts w:eastAsiaTheme="minorEastAsia"/>
          <w:lang w:eastAsia="zh-CN"/>
        </w:rPr>
        <w:t xml:space="preserve"> the </w:t>
      </w:r>
      <w:r w:rsidR="005A2871">
        <w:rPr>
          <w:rFonts w:eastAsiaTheme="minorEastAsia"/>
          <w:lang w:eastAsia="zh-CN"/>
        </w:rPr>
        <w:t>ACK, while the time to the actual scheduled DL or UL transmission is also not considered as the BWP switching delay.</w:t>
      </w:r>
    </w:p>
    <w:p w:rsidR="005A2871" w:rsidRPr="00A65DB0" w:rsidRDefault="005A2871" w:rsidP="0042073A">
      <w:pPr>
        <w:rPr>
          <w:rFonts w:eastAsiaTheme="minorEastAsia"/>
          <w:b/>
          <w:lang w:eastAsia="zh-CN"/>
        </w:rPr>
      </w:pPr>
      <w:r w:rsidRPr="00A65DB0">
        <w:rPr>
          <w:rFonts w:eastAsiaTheme="minorEastAsia"/>
          <w:b/>
          <w:lang w:eastAsia="zh-CN"/>
        </w:rPr>
        <w:t>Proposal 1: The availability of RACH resource in the delay requirement of BWP switch delay on consistent UL LBT recovery</w:t>
      </w:r>
      <w:r w:rsidR="0031018A">
        <w:rPr>
          <w:rFonts w:eastAsiaTheme="minorEastAsia"/>
          <w:b/>
          <w:lang w:eastAsia="zh-CN"/>
        </w:rPr>
        <w:t xml:space="preserve"> shall not be considered in the core requirements</w:t>
      </w:r>
      <w:r w:rsidRPr="00A65DB0">
        <w:rPr>
          <w:rFonts w:eastAsiaTheme="minorEastAsia"/>
          <w:b/>
          <w:lang w:eastAsia="zh-CN"/>
        </w:rPr>
        <w:t>. It could be reflected in the performance part.</w:t>
      </w:r>
    </w:p>
    <w:p w:rsidR="005A2871" w:rsidRDefault="005A2871" w:rsidP="0042073A">
      <w:pPr>
        <w:rPr>
          <w:rFonts w:eastAsiaTheme="minorEastAsia"/>
          <w:lang w:val="en-US" w:eastAsia="zh-CN"/>
        </w:rPr>
      </w:pPr>
      <w:r>
        <w:rPr>
          <w:rFonts w:eastAsiaTheme="minorEastAsia"/>
          <w:lang w:eastAsia="zh-CN"/>
        </w:rPr>
        <w:t xml:space="preserve">The other issues is whether to define the condition about the </w:t>
      </w:r>
      <w:r w:rsidRPr="0042073A">
        <w:rPr>
          <w:rFonts w:eastAsiaTheme="minorEastAsia"/>
          <w:lang w:val="en-US" w:eastAsia="zh-CN"/>
        </w:rPr>
        <w:t>relative frequency locations for the old and new UL BWPs</w:t>
      </w:r>
      <w:r>
        <w:rPr>
          <w:rFonts w:eastAsiaTheme="minorEastAsia"/>
          <w:lang w:val="en-US" w:eastAsia="zh-CN"/>
        </w:rPr>
        <w:t>. Based on the LBT mechanism for UL, if the n</w:t>
      </w:r>
      <w:r w:rsidR="00A65DB0">
        <w:rPr>
          <w:rFonts w:eastAsiaTheme="minorEastAsia"/>
          <w:lang w:val="en-US" w:eastAsia="zh-CN"/>
        </w:rPr>
        <w:t>ew BWP contains the old one, UE will still declare LBT failure, and the switching cannot bring much benefits. But we didn’t see the need to specify the restriction, which could be handled by UE implementation. If it is agreed to specify such restrictions, RAN4 shall inform RAN2 the consideration.</w:t>
      </w:r>
    </w:p>
    <w:p w:rsidR="00085C8F" w:rsidRPr="00A65DB0" w:rsidRDefault="00A65DB0" w:rsidP="001F2AE4">
      <w:pPr>
        <w:rPr>
          <w:rFonts w:eastAsiaTheme="minorEastAsia"/>
          <w:b/>
          <w:lang w:val="en-US" w:eastAsia="zh-CN"/>
        </w:rPr>
      </w:pPr>
      <w:r w:rsidRPr="00A65DB0">
        <w:rPr>
          <w:rFonts w:eastAsiaTheme="minorEastAsia"/>
          <w:b/>
          <w:lang w:val="en-US" w:eastAsia="zh-CN"/>
        </w:rPr>
        <w:lastRenderedPageBreak/>
        <w:t>Proposal 2: If it is agreed to define the restriction on frequency locations of old and new BWPs, RAN2 shall be informed of the conclusion.</w:t>
      </w:r>
    </w:p>
    <w:p w:rsidR="0050339C" w:rsidRDefault="0050339C" w:rsidP="0050339C">
      <w:pPr>
        <w:pStyle w:val="1"/>
        <w:numPr>
          <w:ilvl w:val="0"/>
          <w:numId w:val="1"/>
        </w:numPr>
        <w:rPr>
          <w:lang w:val="en-US"/>
        </w:rPr>
      </w:pPr>
      <w:r>
        <w:rPr>
          <w:lang w:val="en-US"/>
        </w:rPr>
        <w:t>Conclusion</w:t>
      </w:r>
    </w:p>
    <w:p w:rsidR="00A65DB0" w:rsidRPr="00A65DB0" w:rsidRDefault="00A65DB0" w:rsidP="00A65DB0">
      <w:pPr>
        <w:rPr>
          <w:rFonts w:eastAsiaTheme="minorEastAsia"/>
          <w:b/>
          <w:lang w:eastAsia="zh-CN"/>
        </w:rPr>
      </w:pPr>
      <w:r w:rsidRPr="00A65DB0">
        <w:rPr>
          <w:rFonts w:eastAsiaTheme="minorEastAsia"/>
          <w:b/>
          <w:lang w:eastAsia="zh-CN"/>
        </w:rPr>
        <w:t>Proposal 1: The availability of RACH resource in the delay requirement of BWP switch delay on consistent UL LBT recovery</w:t>
      </w:r>
      <w:r w:rsidR="0031018A">
        <w:rPr>
          <w:rFonts w:eastAsiaTheme="minorEastAsia"/>
          <w:b/>
          <w:lang w:eastAsia="zh-CN"/>
        </w:rPr>
        <w:t xml:space="preserve"> shall not be considered in the core requirements</w:t>
      </w:r>
      <w:r w:rsidRPr="00A65DB0">
        <w:rPr>
          <w:rFonts w:eastAsiaTheme="minorEastAsia"/>
          <w:b/>
          <w:lang w:eastAsia="zh-CN"/>
        </w:rPr>
        <w:t>. It could be reflected in the performance part.</w:t>
      </w:r>
    </w:p>
    <w:p w:rsidR="00A65DB0" w:rsidRPr="00A65DB0" w:rsidRDefault="00A65DB0" w:rsidP="00BA0200">
      <w:pPr>
        <w:rPr>
          <w:rFonts w:eastAsiaTheme="minorEastAsia"/>
          <w:b/>
          <w:lang w:val="en-US" w:eastAsia="zh-CN"/>
        </w:rPr>
      </w:pPr>
      <w:r w:rsidRPr="00A65DB0">
        <w:rPr>
          <w:rFonts w:eastAsiaTheme="minorEastAsia"/>
          <w:b/>
          <w:lang w:val="en-US" w:eastAsia="zh-CN"/>
        </w:rPr>
        <w:t>Proposal 2: If it is agreed to define the restriction on frequency locations of old and new BWPs, RAN2 shall be informed of the conclusion.</w:t>
      </w:r>
    </w:p>
    <w:p w:rsidR="00DF0231" w:rsidRPr="002D2977" w:rsidRDefault="00DF0231" w:rsidP="00DF0231">
      <w:pPr>
        <w:pStyle w:val="1"/>
        <w:tabs>
          <w:tab w:val="clear" w:pos="432"/>
        </w:tabs>
        <w:ind w:left="0" w:firstLine="0"/>
        <w:rPr>
          <w:lang w:val="en-US"/>
        </w:rPr>
      </w:pPr>
      <w:r w:rsidRPr="002D2977">
        <w:rPr>
          <w:lang w:val="en-US"/>
        </w:rPr>
        <w:t>References</w:t>
      </w:r>
    </w:p>
    <w:p w:rsidR="00806262" w:rsidRPr="00363379" w:rsidRDefault="00806262" w:rsidP="00806262">
      <w:pPr>
        <w:rPr>
          <w:lang w:val="en-US"/>
        </w:rPr>
      </w:pPr>
      <w:r w:rsidRPr="002D2977">
        <w:rPr>
          <w:lang w:val="en-US"/>
        </w:rPr>
        <w:t xml:space="preserve">[1] </w:t>
      </w:r>
      <w:r w:rsidRPr="00363379">
        <w:rPr>
          <w:lang w:val="en-US"/>
        </w:rPr>
        <w:t>R4-2005367</w:t>
      </w:r>
      <w:r>
        <w:rPr>
          <w:lang w:val="en-US"/>
        </w:rPr>
        <w:t xml:space="preserve">, </w:t>
      </w:r>
      <w:r w:rsidRPr="00363379">
        <w:t>WF on NR-U RRM Requirements (Part 2)</w:t>
      </w:r>
      <w:r>
        <w:t xml:space="preserve">, </w:t>
      </w:r>
      <w:r w:rsidRPr="00363379">
        <w:rPr>
          <w:lang w:val="en-US"/>
        </w:rPr>
        <w:t>MediaTek inc.</w:t>
      </w:r>
    </w:p>
    <w:p w:rsidR="007D0DF7" w:rsidRDefault="007D0DF7" w:rsidP="007B692E"/>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DF9" w:rsidRDefault="00F45DF9">
      <w:pPr>
        <w:spacing w:after="0"/>
      </w:pPr>
      <w:r>
        <w:separator/>
      </w:r>
    </w:p>
  </w:endnote>
  <w:endnote w:type="continuationSeparator" w:id="0">
    <w:p w:rsidR="00F45DF9" w:rsidRDefault="00F45D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871" w:rsidRDefault="005A28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5A2871" w:rsidRDefault="005A287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871" w:rsidRDefault="005A28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803C7">
      <w:rPr>
        <w:rStyle w:val="a5"/>
      </w:rPr>
      <w:t>2</w:t>
    </w:r>
    <w:r>
      <w:rPr>
        <w:rStyle w:val="a5"/>
      </w:rPr>
      <w:fldChar w:fldCharType="end"/>
    </w:r>
  </w:p>
  <w:p w:rsidR="005A2871" w:rsidRDefault="005A287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DF9" w:rsidRDefault="00F45DF9">
      <w:pPr>
        <w:spacing w:after="0"/>
      </w:pPr>
      <w:r>
        <w:separator/>
      </w:r>
    </w:p>
  </w:footnote>
  <w:footnote w:type="continuationSeparator" w:id="0">
    <w:p w:rsidR="00F45DF9" w:rsidRDefault="00F45DF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7237E6"/>
    <w:multiLevelType w:val="hybridMultilevel"/>
    <w:tmpl w:val="8402AE92"/>
    <w:lvl w:ilvl="0" w:tplc="ABB49BE4">
      <w:start w:val="1"/>
      <w:numFmt w:val="bullet"/>
      <w:lvlText w:val="•"/>
      <w:lvlJc w:val="left"/>
      <w:pPr>
        <w:tabs>
          <w:tab w:val="num" w:pos="720"/>
        </w:tabs>
        <w:ind w:left="720" w:hanging="360"/>
      </w:pPr>
      <w:rPr>
        <w:rFonts w:ascii="Arial" w:hAnsi="Arial" w:hint="default"/>
      </w:rPr>
    </w:lvl>
    <w:lvl w:ilvl="1" w:tplc="26CA8348">
      <w:numFmt w:val="bullet"/>
      <w:lvlText w:val="–"/>
      <w:lvlJc w:val="left"/>
      <w:pPr>
        <w:tabs>
          <w:tab w:val="num" w:pos="1440"/>
        </w:tabs>
        <w:ind w:left="1440" w:hanging="360"/>
      </w:pPr>
      <w:rPr>
        <w:rFonts w:ascii="Arial" w:hAnsi="Arial" w:hint="default"/>
      </w:rPr>
    </w:lvl>
    <w:lvl w:ilvl="2" w:tplc="DBE8E200" w:tentative="1">
      <w:start w:val="1"/>
      <w:numFmt w:val="bullet"/>
      <w:lvlText w:val="•"/>
      <w:lvlJc w:val="left"/>
      <w:pPr>
        <w:tabs>
          <w:tab w:val="num" w:pos="2160"/>
        </w:tabs>
        <w:ind w:left="2160" w:hanging="360"/>
      </w:pPr>
      <w:rPr>
        <w:rFonts w:ascii="Arial" w:hAnsi="Arial" w:hint="default"/>
      </w:rPr>
    </w:lvl>
    <w:lvl w:ilvl="3" w:tplc="96F235BC" w:tentative="1">
      <w:start w:val="1"/>
      <w:numFmt w:val="bullet"/>
      <w:lvlText w:val="•"/>
      <w:lvlJc w:val="left"/>
      <w:pPr>
        <w:tabs>
          <w:tab w:val="num" w:pos="2880"/>
        </w:tabs>
        <w:ind w:left="2880" w:hanging="360"/>
      </w:pPr>
      <w:rPr>
        <w:rFonts w:ascii="Arial" w:hAnsi="Arial" w:hint="default"/>
      </w:rPr>
    </w:lvl>
    <w:lvl w:ilvl="4" w:tplc="FB8EFAAE" w:tentative="1">
      <w:start w:val="1"/>
      <w:numFmt w:val="bullet"/>
      <w:lvlText w:val="•"/>
      <w:lvlJc w:val="left"/>
      <w:pPr>
        <w:tabs>
          <w:tab w:val="num" w:pos="3600"/>
        </w:tabs>
        <w:ind w:left="3600" w:hanging="360"/>
      </w:pPr>
      <w:rPr>
        <w:rFonts w:ascii="Arial" w:hAnsi="Arial" w:hint="default"/>
      </w:rPr>
    </w:lvl>
    <w:lvl w:ilvl="5" w:tplc="6FDEFBC2" w:tentative="1">
      <w:start w:val="1"/>
      <w:numFmt w:val="bullet"/>
      <w:lvlText w:val="•"/>
      <w:lvlJc w:val="left"/>
      <w:pPr>
        <w:tabs>
          <w:tab w:val="num" w:pos="4320"/>
        </w:tabs>
        <w:ind w:left="4320" w:hanging="360"/>
      </w:pPr>
      <w:rPr>
        <w:rFonts w:ascii="Arial" w:hAnsi="Arial" w:hint="default"/>
      </w:rPr>
    </w:lvl>
    <w:lvl w:ilvl="6" w:tplc="CE52DE10" w:tentative="1">
      <w:start w:val="1"/>
      <w:numFmt w:val="bullet"/>
      <w:lvlText w:val="•"/>
      <w:lvlJc w:val="left"/>
      <w:pPr>
        <w:tabs>
          <w:tab w:val="num" w:pos="5040"/>
        </w:tabs>
        <w:ind w:left="5040" w:hanging="360"/>
      </w:pPr>
      <w:rPr>
        <w:rFonts w:ascii="Arial" w:hAnsi="Arial" w:hint="default"/>
      </w:rPr>
    </w:lvl>
    <w:lvl w:ilvl="7" w:tplc="8ABA7AE8" w:tentative="1">
      <w:start w:val="1"/>
      <w:numFmt w:val="bullet"/>
      <w:lvlText w:val="•"/>
      <w:lvlJc w:val="left"/>
      <w:pPr>
        <w:tabs>
          <w:tab w:val="num" w:pos="5760"/>
        </w:tabs>
        <w:ind w:left="5760" w:hanging="360"/>
      </w:pPr>
      <w:rPr>
        <w:rFonts w:ascii="Arial" w:hAnsi="Arial" w:hint="default"/>
      </w:rPr>
    </w:lvl>
    <w:lvl w:ilvl="8" w:tplc="BB94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6D6612"/>
    <w:multiLevelType w:val="hybridMultilevel"/>
    <w:tmpl w:val="0BC0076C"/>
    <w:lvl w:ilvl="0" w:tplc="11622EEE">
      <w:start w:val="1"/>
      <w:numFmt w:val="bullet"/>
      <w:lvlText w:val="•"/>
      <w:lvlJc w:val="left"/>
      <w:pPr>
        <w:tabs>
          <w:tab w:val="num" w:pos="720"/>
        </w:tabs>
        <w:ind w:left="720" w:hanging="360"/>
      </w:pPr>
      <w:rPr>
        <w:rFonts w:ascii="Arial" w:hAnsi="Arial" w:hint="default"/>
      </w:rPr>
    </w:lvl>
    <w:lvl w:ilvl="1" w:tplc="D172B67C" w:tentative="1">
      <w:start w:val="1"/>
      <w:numFmt w:val="bullet"/>
      <w:lvlText w:val="•"/>
      <w:lvlJc w:val="left"/>
      <w:pPr>
        <w:tabs>
          <w:tab w:val="num" w:pos="1440"/>
        </w:tabs>
        <w:ind w:left="1440" w:hanging="360"/>
      </w:pPr>
      <w:rPr>
        <w:rFonts w:ascii="Arial" w:hAnsi="Arial" w:hint="default"/>
      </w:rPr>
    </w:lvl>
    <w:lvl w:ilvl="2" w:tplc="589024D8" w:tentative="1">
      <w:start w:val="1"/>
      <w:numFmt w:val="bullet"/>
      <w:lvlText w:val="•"/>
      <w:lvlJc w:val="left"/>
      <w:pPr>
        <w:tabs>
          <w:tab w:val="num" w:pos="2160"/>
        </w:tabs>
        <w:ind w:left="2160" w:hanging="360"/>
      </w:pPr>
      <w:rPr>
        <w:rFonts w:ascii="Arial" w:hAnsi="Arial" w:hint="default"/>
      </w:rPr>
    </w:lvl>
    <w:lvl w:ilvl="3" w:tplc="BA2A7554" w:tentative="1">
      <w:start w:val="1"/>
      <w:numFmt w:val="bullet"/>
      <w:lvlText w:val="•"/>
      <w:lvlJc w:val="left"/>
      <w:pPr>
        <w:tabs>
          <w:tab w:val="num" w:pos="2880"/>
        </w:tabs>
        <w:ind w:left="2880" w:hanging="360"/>
      </w:pPr>
      <w:rPr>
        <w:rFonts w:ascii="Arial" w:hAnsi="Arial" w:hint="default"/>
      </w:rPr>
    </w:lvl>
    <w:lvl w:ilvl="4" w:tplc="717CFAA4" w:tentative="1">
      <w:start w:val="1"/>
      <w:numFmt w:val="bullet"/>
      <w:lvlText w:val="•"/>
      <w:lvlJc w:val="left"/>
      <w:pPr>
        <w:tabs>
          <w:tab w:val="num" w:pos="3600"/>
        </w:tabs>
        <w:ind w:left="3600" w:hanging="360"/>
      </w:pPr>
      <w:rPr>
        <w:rFonts w:ascii="Arial" w:hAnsi="Arial" w:hint="default"/>
      </w:rPr>
    </w:lvl>
    <w:lvl w:ilvl="5" w:tplc="1200112E" w:tentative="1">
      <w:start w:val="1"/>
      <w:numFmt w:val="bullet"/>
      <w:lvlText w:val="•"/>
      <w:lvlJc w:val="left"/>
      <w:pPr>
        <w:tabs>
          <w:tab w:val="num" w:pos="4320"/>
        </w:tabs>
        <w:ind w:left="4320" w:hanging="360"/>
      </w:pPr>
      <w:rPr>
        <w:rFonts w:ascii="Arial" w:hAnsi="Arial" w:hint="default"/>
      </w:rPr>
    </w:lvl>
    <w:lvl w:ilvl="6" w:tplc="4EBABE5C" w:tentative="1">
      <w:start w:val="1"/>
      <w:numFmt w:val="bullet"/>
      <w:lvlText w:val="•"/>
      <w:lvlJc w:val="left"/>
      <w:pPr>
        <w:tabs>
          <w:tab w:val="num" w:pos="5040"/>
        </w:tabs>
        <w:ind w:left="5040" w:hanging="360"/>
      </w:pPr>
      <w:rPr>
        <w:rFonts w:ascii="Arial" w:hAnsi="Arial" w:hint="default"/>
      </w:rPr>
    </w:lvl>
    <w:lvl w:ilvl="7" w:tplc="48683AC0" w:tentative="1">
      <w:start w:val="1"/>
      <w:numFmt w:val="bullet"/>
      <w:lvlText w:val="•"/>
      <w:lvlJc w:val="left"/>
      <w:pPr>
        <w:tabs>
          <w:tab w:val="num" w:pos="5760"/>
        </w:tabs>
        <w:ind w:left="5760" w:hanging="360"/>
      </w:pPr>
      <w:rPr>
        <w:rFonts w:ascii="Arial" w:hAnsi="Arial" w:hint="default"/>
      </w:rPr>
    </w:lvl>
    <w:lvl w:ilvl="8" w:tplc="65E68E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977CDE"/>
    <w:multiLevelType w:val="hybridMultilevel"/>
    <w:tmpl w:val="5BFADCC2"/>
    <w:lvl w:ilvl="0" w:tplc="B9986CCC">
      <w:start w:val="1"/>
      <w:numFmt w:val="bullet"/>
      <w:lvlText w:val="•"/>
      <w:lvlJc w:val="left"/>
      <w:pPr>
        <w:tabs>
          <w:tab w:val="num" w:pos="720"/>
        </w:tabs>
        <w:ind w:left="720" w:hanging="360"/>
      </w:pPr>
      <w:rPr>
        <w:rFonts w:ascii="Arial" w:hAnsi="Arial" w:hint="default"/>
      </w:rPr>
    </w:lvl>
    <w:lvl w:ilvl="1" w:tplc="344A53FE">
      <w:numFmt w:val="bullet"/>
      <w:lvlText w:val="•"/>
      <w:lvlJc w:val="left"/>
      <w:pPr>
        <w:tabs>
          <w:tab w:val="num" w:pos="1440"/>
        </w:tabs>
        <w:ind w:left="1440" w:hanging="360"/>
      </w:pPr>
      <w:rPr>
        <w:rFonts w:ascii="Arial" w:hAnsi="Arial" w:hint="default"/>
      </w:rPr>
    </w:lvl>
    <w:lvl w:ilvl="2" w:tplc="A12A4C0E" w:tentative="1">
      <w:start w:val="1"/>
      <w:numFmt w:val="bullet"/>
      <w:lvlText w:val="•"/>
      <w:lvlJc w:val="left"/>
      <w:pPr>
        <w:tabs>
          <w:tab w:val="num" w:pos="2160"/>
        </w:tabs>
        <w:ind w:left="2160" w:hanging="360"/>
      </w:pPr>
      <w:rPr>
        <w:rFonts w:ascii="Arial" w:hAnsi="Arial" w:hint="default"/>
      </w:rPr>
    </w:lvl>
    <w:lvl w:ilvl="3" w:tplc="1A860B62" w:tentative="1">
      <w:start w:val="1"/>
      <w:numFmt w:val="bullet"/>
      <w:lvlText w:val="•"/>
      <w:lvlJc w:val="left"/>
      <w:pPr>
        <w:tabs>
          <w:tab w:val="num" w:pos="2880"/>
        </w:tabs>
        <w:ind w:left="2880" w:hanging="360"/>
      </w:pPr>
      <w:rPr>
        <w:rFonts w:ascii="Arial" w:hAnsi="Arial" w:hint="default"/>
      </w:rPr>
    </w:lvl>
    <w:lvl w:ilvl="4" w:tplc="F148F420" w:tentative="1">
      <w:start w:val="1"/>
      <w:numFmt w:val="bullet"/>
      <w:lvlText w:val="•"/>
      <w:lvlJc w:val="left"/>
      <w:pPr>
        <w:tabs>
          <w:tab w:val="num" w:pos="3600"/>
        </w:tabs>
        <w:ind w:left="3600" w:hanging="360"/>
      </w:pPr>
      <w:rPr>
        <w:rFonts w:ascii="Arial" w:hAnsi="Arial" w:hint="default"/>
      </w:rPr>
    </w:lvl>
    <w:lvl w:ilvl="5" w:tplc="0B18D984" w:tentative="1">
      <w:start w:val="1"/>
      <w:numFmt w:val="bullet"/>
      <w:lvlText w:val="•"/>
      <w:lvlJc w:val="left"/>
      <w:pPr>
        <w:tabs>
          <w:tab w:val="num" w:pos="4320"/>
        </w:tabs>
        <w:ind w:left="4320" w:hanging="360"/>
      </w:pPr>
      <w:rPr>
        <w:rFonts w:ascii="Arial" w:hAnsi="Arial" w:hint="default"/>
      </w:rPr>
    </w:lvl>
    <w:lvl w:ilvl="6" w:tplc="246E1044" w:tentative="1">
      <w:start w:val="1"/>
      <w:numFmt w:val="bullet"/>
      <w:lvlText w:val="•"/>
      <w:lvlJc w:val="left"/>
      <w:pPr>
        <w:tabs>
          <w:tab w:val="num" w:pos="5040"/>
        </w:tabs>
        <w:ind w:left="5040" w:hanging="360"/>
      </w:pPr>
      <w:rPr>
        <w:rFonts w:ascii="Arial" w:hAnsi="Arial" w:hint="default"/>
      </w:rPr>
    </w:lvl>
    <w:lvl w:ilvl="7" w:tplc="64FC7968" w:tentative="1">
      <w:start w:val="1"/>
      <w:numFmt w:val="bullet"/>
      <w:lvlText w:val="•"/>
      <w:lvlJc w:val="left"/>
      <w:pPr>
        <w:tabs>
          <w:tab w:val="num" w:pos="5760"/>
        </w:tabs>
        <w:ind w:left="5760" w:hanging="360"/>
      </w:pPr>
      <w:rPr>
        <w:rFonts w:ascii="Arial" w:hAnsi="Arial" w:hint="default"/>
      </w:rPr>
    </w:lvl>
    <w:lvl w:ilvl="8" w:tplc="2BE8F2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0"/>
  </w:num>
  <w:num w:numId="2">
    <w:abstractNumId w:val="0"/>
  </w:num>
  <w:num w:numId="3">
    <w:abstractNumId w:val="16"/>
  </w:num>
  <w:num w:numId="4">
    <w:abstractNumId w:val="18"/>
  </w:num>
  <w:num w:numId="5">
    <w:abstractNumId w:val="13"/>
  </w:num>
  <w:num w:numId="6">
    <w:abstractNumId w:val="7"/>
  </w:num>
  <w:num w:numId="7">
    <w:abstractNumId w:val="12"/>
  </w:num>
  <w:num w:numId="8">
    <w:abstractNumId w:val="3"/>
  </w:num>
  <w:num w:numId="9">
    <w:abstractNumId w:val="6"/>
  </w:num>
  <w:num w:numId="10">
    <w:abstractNumId w:val="4"/>
  </w:num>
  <w:num w:numId="11">
    <w:abstractNumId w:val="8"/>
  </w:num>
  <w:num w:numId="12">
    <w:abstractNumId w:val="9"/>
  </w:num>
  <w:num w:numId="13">
    <w:abstractNumId w:val="11"/>
  </w:num>
  <w:num w:numId="14">
    <w:abstractNumId w:val="1"/>
  </w:num>
  <w:num w:numId="15">
    <w:abstractNumId w:val="2"/>
  </w:num>
  <w:num w:numId="16">
    <w:abstractNumId w:val="14"/>
  </w:num>
  <w:num w:numId="17">
    <w:abstractNumId w:val="5"/>
  </w:num>
  <w:num w:numId="18">
    <w:abstractNumId w:val="1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85C8F"/>
    <w:rsid w:val="000A2ED7"/>
    <w:rsid w:val="000A4BCB"/>
    <w:rsid w:val="000D2930"/>
    <w:rsid w:val="000E2C03"/>
    <w:rsid w:val="00100360"/>
    <w:rsid w:val="001803C7"/>
    <w:rsid w:val="00187A32"/>
    <w:rsid w:val="00192DA7"/>
    <w:rsid w:val="001E7174"/>
    <w:rsid w:val="001F2AE4"/>
    <w:rsid w:val="0020033A"/>
    <w:rsid w:val="002129CD"/>
    <w:rsid w:val="002221AC"/>
    <w:rsid w:val="00222D7E"/>
    <w:rsid w:val="002328DD"/>
    <w:rsid w:val="0025326F"/>
    <w:rsid w:val="00254F38"/>
    <w:rsid w:val="00282D3C"/>
    <w:rsid w:val="002A5E54"/>
    <w:rsid w:val="002B45C3"/>
    <w:rsid w:val="002E668C"/>
    <w:rsid w:val="002F579F"/>
    <w:rsid w:val="0031018A"/>
    <w:rsid w:val="00311CF9"/>
    <w:rsid w:val="00336939"/>
    <w:rsid w:val="0034444C"/>
    <w:rsid w:val="00356FB6"/>
    <w:rsid w:val="00363379"/>
    <w:rsid w:val="003664ED"/>
    <w:rsid w:val="003A5E2B"/>
    <w:rsid w:val="003F37DD"/>
    <w:rsid w:val="003F37F1"/>
    <w:rsid w:val="003F5BF9"/>
    <w:rsid w:val="003F762D"/>
    <w:rsid w:val="00406810"/>
    <w:rsid w:val="0042073A"/>
    <w:rsid w:val="00430F24"/>
    <w:rsid w:val="00435EBD"/>
    <w:rsid w:val="00453A1E"/>
    <w:rsid w:val="00466D02"/>
    <w:rsid w:val="00476D03"/>
    <w:rsid w:val="00477263"/>
    <w:rsid w:val="00490A38"/>
    <w:rsid w:val="0049501A"/>
    <w:rsid w:val="004A678E"/>
    <w:rsid w:val="004A7CF2"/>
    <w:rsid w:val="004C4868"/>
    <w:rsid w:val="004E0927"/>
    <w:rsid w:val="004F0167"/>
    <w:rsid w:val="0050339C"/>
    <w:rsid w:val="005235DB"/>
    <w:rsid w:val="00530EB0"/>
    <w:rsid w:val="005449A0"/>
    <w:rsid w:val="00545EC2"/>
    <w:rsid w:val="0054734A"/>
    <w:rsid w:val="00574536"/>
    <w:rsid w:val="005A2871"/>
    <w:rsid w:val="005F5231"/>
    <w:rsid w:val="0061475E"/>
    <w:rsid w:val="006A7217"/>
    <w:rsid w:val="006C6191"/>
    <w:rsid w:val="006D43CD"/>
    <w:rsid w:val="00701598"/>
    <w:rsid w:val="00712608"/>
    <w:rsid w:val="007200C7"/>
    <w:rsid w:val="00720F54"/>
    <w:rsid w:val="00723883"/>
    <w:rsid w:val="00736D84"/>
    <w:rsid w:val="0077159B"/>
    <w:rsid w:val="007902A8"/>
    <w:rsid w:val="007A37DA"/>
    <w:rsid w:val="007B692E"/>
    <w:rsid w:val="007B71D5"/>
    <w:rsid w:val="007D0DF7"/>
    <w:rsid w:val="007D3409"/>
    <w:rsid w:val="007E5F97"/>
    <w:rsid w:val="007E67EC"/>
    <w:rsid w:val="007F1E46"/>
    <w:rsid w:val="007F2E6A"/>
    <w:rsid w:val="00803073"/>
    <w:rsid w:val="00804945"/>
    <w:rsid w:val="00806262"/>
    <w:rsid w:val="008446CE"/>
    <w:rsid w:val="00865708"/>
    <w:rsid w:val="00865DAD"/>
    <w:rsid w:val="0087326D"/>
    <w:rsid w:val="00873C1C"/>
    <w:rsid w:val="00892EAE"/>
    <w:rsid w:val="008A1C4E"/>
    <w:rsid w:val="008B4F73"/>
    <w:rsid w:val="008D2271"/>
    <w:rsid w:val="008D3137"/>
    <w:rsid w:val="008D55C5"/>
    <w:rsid w:val="008E2591"/>
    <w:rsid w:val="008E4053"/>
    <w:rsid w:val="00914A03"/>
    <w:rsid w:val="009450D8"/>
    <w:rsid w:val="00951825"/>
    <w:rsid w:val="009708D0"/>
    <w:rsid w:val="00985077"/>
    <w:rsid w:val="009968CF"/>
    <w:rsid w:val="009B2DFC"/>
    <w:rsid w:val="009C4E39"/>
    <w:rsid w:val="009C7D5E"/>
    <w:rsid w:val="009D03C6"/>
    <w:rsid w:val="009D2942"/>
    <w:rsid w:val="009E6763"/>
    <w:rsid w:val="009E6DC8"/>
    <w:rsid w:val="009F06FB"/>
    <w:rsid w:val="00A1597D"/>
    <w:rsid w:val="00A22790"/>
    <w:rsid w:val="00A26AB0"/>
    <w:rsid w:val="00A42E3A"/>
    <w:rsid w:val="00A65DB0"/>
    <w:rsid w:val="00A90E6D"/>
    <w:rsid w:val="00AC2C97"/>
    <w:rsid w:val="00AD69AA"/>
    <w:rsid w:val="00AE6BE0"/>
    <w:rsid w:val="00AF0E37"/>
    <w:rsid w:val="00AF5966"/>
    <w:rsid w:val="00B10C6E"/>
    <w:rsid w:val="00B23292"/>
    <w:rsid w:val="00B41E6D"/>
    <w:rsid w:val="00B474B6"/>
    <w:rsid w:val="00B53963"/>
    <w:rsid w:val="00B73A82"/>
    <w:rsid w:val="00BA0200"/>
    <w:rsid w:val="00BB2A32"/>
    <w:rsid w:val="00BB4FB2"/>
    <w:rsid w:val="00BC47AB"/>
    <w:rsid w:val="00BD2AB1"/>
    <w:rsid w:val="00BE1FD4"/>
    <w:rsid w:val="00BE677A"/>
    <w:rsid w:val="00BF00A7"/>
    <w:rsid w:val="00BF33D9"/>
    <w:rsid w:val="00C11B10"/>
    <w:rsid w:val="00C27B5D"/>
    <w:rsid w:val="00C338CA"/>
    <w:rsid w:val="00C50A0A"/>
    <w:rsid w:val="00C83525"/>
    <w:rsid w:val="00CA1729"/>
    <w:rsid w:val="00CA1DAE"/>
    <w:rsid w:val="00CE0DA0"/>
    <w:rsid w:val="00CF40B2"/>
    <w:rsid w:val="00D41D2D"/>
    <w:rsid w:val="00DB1DD4"/>
    <w:rsid w:val="00DB61B3"/>
    <w:rsid w:val="00DD1DFF"/>
    <w:rsid w:val="00DD38B2"/>
    <w:rsid w:val="00DF0231"/>
    <w:rsid w:val="00E17F78"/>
    <w:rsid w:val="00E52FB0"/>
    <w:rsid w:val="00E5666B"/>
    <w:rsid w:val="00E577DD"/>
    <w:rsid w:val="00E9184C"/>
    <w:rsid w:val="00EA4E79"/>
    <w:rsid w:val="00EA5149"/>
    <w:rsid w:val="00EB02DF"/>
    <w:rsid w:val="00EE6F45"/>
    <w:rsid w:val="00F0497C"/>
    <w:rsid w:val="00F076D1"/>
    <w:rsid w:val="00F12F0F"/>
    <w:rsid w:val="00F14AB2"/>
    <w:rsid w:val="00F303F4"/>
    <w:rsid w:val="00F413E7"/>
    <w:rsid w:val="00F45DF9"/>
    <w:rsid w:val="00FA4943"/>
    <w:rsid w:val="00FC0F9D"/>
    <w:rsid w:val="00FC27EC"/>
    <w:rsid w:val="00FC3492"/>
    <w:rsid w:val="00FC625D"/>
    <w:rsid w:val="00FE3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R4_bullets,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7590">
      <w:bodyDiv w:val="1"/>
      <w:marLeft w:val="0"/>
      <w:marRight w:val="0"/>
      <w:marTop w:val="0"/>
      <w:marBottom w:val="0"/>
      <w:divBdr>
        <w:top w:val="none" w:sz="0" w:space="0" w:color="auto"/>
        <w:left w:val="none" w:sz="0" w:space="0" w:color="auto"/>
        <w:bottom w:val="none" w:sz="0" w:space="0" w:color="auto"/>
        <w:right w:val="none" w:sz="0" w:space="0" w:color="auto"/>
      </w:divBdr>
      <w:divsChild>
        <w:div w:id="1296639139">
          <w:marLeft w:val="360"/>
          <w:marRight w:val="0"/>
          <w:marTop w:val="200"/>
          <w:marBottom w:val="0"/>
          <w:divBdr>
            <w:top w:val="none" w:sz="0" w:space="0" w:color="auto"/>
            <w:left w:val="none" w:sz="0" w:space="0" w:color="auto"/>
            <w:bottom w:val="none" w:sz="0" w:space="0" w:color="auto"/>
            <w:right w:val="none" w:sz="0" w:space="0" w:color="auto"/>
          </w:divBdr>
        </w:div>
      </w:divsChild>
    </w:div>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219559181">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2735703">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63803196">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12352661">
      <w:bodyDiv w:val="1"/>
      <w:marLeft w:val="0"/>
      <w:marRight w:val="0"/>
      <w:marTop w:val="0"/>
      <w:marBottom w:val="0"/>
      <w:divBdr>
        <w:top w:val="none" w:sz="0" w:space="0" w:color="auto"/>
        <w:left w:val="none" w:sz="0" w:space="0" w:color="auto"/>
        <w:bottom w:val="none" w:sz="0" w:space="0" w:color="auto"/>
        <w:right w:val="none" w:sz="0" w:space="0" w:color="auto"/>
      </w:divBdr>
      <w:divsChild>
        <w:div w:id="839538738">
          <w:marLeft w:val="360"/>
          <w:marRight w:val="0"/>
          <w:marTop w:val="200"/>
          <w:marBottom w:val="0"/>
          <w:divBdr>
            <w:top w:val="none" w:sz="0" w:space="0" w:color="auto"/>
            <w:left w:val="none" w:sz="0" w:space="0" w:color="auto"/>
            <w:bottom w:val="none" w:sz="0" w:space="0" w:color="auto"/>
            <w:right w:val="none" w:sz="0" w:space="0" w:color="auto"/>
          </w:divBdr>
        </w:div>
        <w:div w:id="247816188">
          <w:marLeft w:val="360"/>
          <w:marRight w:val="0"/>
          <w:marTop w:val="200"/>
          <w:marBottom w:val="0"/>
          <w:divBdr>
            <w:top w:val="none" w:sz="0" w:space="0" w:color="auto"/>
            <w:left w:val="none" w:sz="0" w:space="0" w:color="auto"/>
            <w:bottom w:val="none" w:sz="0" w:space="0" w:color="auto"/>
            <w:right w:val="none" w:sz="0" w:space="0" w:color="auto"/>
          </w:divBdr>
        </w:div>
        <w:div w:id="1221868066">
          <w:marLeft w:val="360"/>
          <w:marRight w:val="0"/>
          <w:marTop w:val="200"/>
          <w:marBottom w:val="0"/>
          <w:divBdr>
            <w:top w:val="none" w:sz="0" w:space="0" w:color="auto"/>
            <w:left w:val="none" w:sz="0" w:space="0" w:color="auto"/>
            <w:bottom w:val="none" w:sz="0" w:space="0" w:color="auto"/>
            <w:right w:val="none" w:sz="0" w:space="0" w:color="auto"/>
          </w:divBdr>
        </w:div>
        <w:div w:id="339936718">
          <w:marLeft w:val="360"/>
          <w:marRight w:val="0"/>
          <w:marTop w:val="200"/>
          <w:marBottom w:val="0"/>
          <w:divBdr>
            <w:top w:val="none" w:sz="0" w:space="0" w:color="auto"/>
            <w:left w:val="none" w:sz="0" w:space="0" w:color="auto"/>
            <w:bottom w:val="none" w:sz="0" w:space="0" w:color="auto"/>
            <w:right w:val="none" w:sz="0" w:space="0" w:color="auto"/>
          </w:divBdr>
        </w:div>
        <w:div w:id="665089242">
          <w:marLeft w:val="1080"/>
          <w:marRight w:val="0"/>
          <w:marTop w:val="100"/>
          <w:marBottom w:val="0"/>
          <w:divBdr>
            <w:top w:val="none" w:sz="0" w:space="0" w:color="auto"/>
            <w:left w:val="none" w:sz="0" w:space="0" w:color="auto"/>
            <w:bottom w:val="none" w:sz="0" w:space="0" w:color="auto"/>
            <w:right w:val="none" w:sz="0" w:space="0" w:color="auto"/>
          </w:divBdr>
        </w:div>
        <w:div w:id="790243547">
          <w:marLeft w:val="1080"/>
          <w:marRight w:val="0"/>
          <w:marTop w:val="100"/>
          <w:marBottom w:val="0"/>
          <w:divBdr>
            <w:top w:val="none" w:sz="0" w:space="0" w:color="auto"/>
            <w:left w:val="none" w:sz="0" w:space="0" w:color="auto"/>
            <w:bottom w:val="none" w:sz="0" w:space="0" w:color="auto"/>
            <w:right w:val="none" w:sz="0" w:space="0" w:color="auto"/>
          </w:divBdr>
        </w:div>
        <w:div w:id="1106773861">
          <w:marLeft w:val="360"/>
          <w:marRight w:val="0"/>
          <w:marTop w:val="2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4302551">
      <w:bodyDiv w:val="1"/>
      <w:marLeft w:val="0"/>
      <w:marRight w:val="0"/>
      <w:marTop w:val="0"/>
      <w:marBottom w:val="0"/>
      <w:divBdr>
        <w:top w:val="none" w:sz="0" w:space="0" w:color="auto"/>
        <w:left w:val="none" w:sz="0" w:space="0" w:color="auto"/>
        <w:bottom w:val="none" w:sz="0" w:space="0" w:color="auto"/>
        <w:right w:val="none" w:sz="0" w:space="0" w:color="auto"/>
      </w:divBdr>
      <w:divsChild>
        <w:div w:id="2006321602">
          <w:marLeft w:val="547"/>
          <w:marRight w:val="0"/>
          <w:marTop w:val="134"/>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67992984">
      <w:bodyDiv w:val="1"/>
      <w:marLeft w:val="0"/>
      <w:marRight w:val="0"/>
      <w:marTop w:val="0"/>
      <w:marBottom w:val="0"/>
      <w:divBdr>
        <w:top w:val="none" w:sz="0" w:space="0" w:color="auto"/>
        <w:left w:val="none" w:sz="0" w:space="0" w:color="auto"/>
        <w:bottom w:val="none" w:sz="0" w:space="0" w:color="auto"/>
        <w:right w:val="none" w:sz="0" w:space="0" w:color="auto"/>
      </w:divBdr>
      <w:divsChild>
        <w:div w:id="76441077">
          <w:marLeft w:val="360"/>
          <w:marRight w:val="0"/>
          <w:marTop w:val="200"/>
          <w:marBottom w:val="0"/>
          <w:divBdr>
            <w:top w:val="none" w:sz="0" w:space="0" w:color="auto"/>
            <w:left w:val="none" w:sz="0" w:space="0" w:color="auto"/>
            <w:bottom w:val="none" w:sz="0" w:space="0" w:color="auto"/>
            <w:right w:val="none" w:sz="0" w:space="0" w:color="auto"/>
          </w:divBdr>
        </w:div>
        <w:div w:id="1462191674">
          <w:marLeft w:val="360"/>
          <w:marRight w:val="0"/>
          <w:marTop w:val="200"/>
          <w:marBottom w:val="0"/>
          <w:divBdr>
            <w:top w:val="none" w:sz="0" w:space="0" w:color="auto"/>
            <w:left w:val="none" w:sz="0" w:space="0" w:color="auto"/>
            <w:bottom w:val="none" w:sz="0" w:space="0" w:color="auto"/>
            <w:right w:val="none" w:sz="0" w:space="0" w:color="auto"/>
          </w:divBdr>
        </w:div>
        <w:div w:id="1838500623">
          <w:marLeft w:val="1080"/>
          <w:marRight w:val="0"/>
          <w:marTop w:val="100"/>
          <w:marBottom w:val="0"/>
          <w:divBdr>
            <w:top w:val="none" w:sz="0" w:space="0" w:color="auto"/>
            <w:left w:val="none" w:sz="0" w:space="0" w:color="auto"/>
            <w:bottom w:val="none" w:sz="0" w:space="0" w:color="auto"/>
            <w:right w:val="none" w:sz="0" w:space="0" w:color="auto"/>
          </w:divBdr>
        </w:div>
        <w:div w:id="408968498">
          <w:marLeft w:val="360"/>
          <w:marRight w:val="0"/>
          <w:marTop w:val="200"/>
          <w:marBottom w:val="0"/>
          <w:divBdr>
            <w:top w:val="none" w:sz="0" w:space="0" w:color="auto"/>
            <w:left w:val="none" w:sz="0" w:space="0" w:color="auto"/>
            <w:bottom w:val="none" w:sz="0" w:space="0" w:color="auto"/>
            <w:right w:val="none" w:sz="0" w:space="0" w:color="auto"/>
          </w:divBdr>
        </w:div>
        <w:div w:id="1642928178">
          <w:marLeft w:val="360"/>
          <w:marRight w:val="0"/>
          <w:marTop w:val="200"/>
          <w:marBottom w:val="0"/>
          <w:divBdr>
            <w:top w:val="none" w:sz="0" w:space="0" w:color="auto"/>
            <w:left w:val="none" w:sz="0" w:space="0" w:color="auto"/>
            <w:bottom w:val="none" w:sz="0" w:space="0" w:color="auto"/>
            <w:right w:val="none" w:sz="0" w:space="0" w:color="auto"/>
          </w:divBdr>
        </w:div>
        <w:div w:id="1227497878">
          <w:marLeft w:val="360"/>
          <w:marRight w:val="0"/>
          <w:marTop w:val="200"/>
          <w:marBottom w:val="0"/>
          <w:divBdr>
            <w:top w:val="none" w:sz="0" w:space="0" w:color="auto"/>
            <w:left w:val="none" w:sz="0" w:space="0" w:color="auto"/>
            <w:bottom w:val="none" w:sz="0" w:space="0" w:color="auto"/>
            <w:right w:val="none" w:sz="0" w:space="0" w:color="auto"/>
          </w:divBdr>
        </w:div>
        <w:div w:id="1050616784">
          <w:marLeft w:val="360"/>
          <w:marRight w:val="0"/>
          <w:marTop w:val="20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17614557">
      <w:bodyDiv w:val="1"/>
      <w:marLeft w:val="0"/>
      <w:marRight w:val="0"/>
      <w:marTop w:val="0"/>
      <w:marBottom w:val="0"/>
      <w:divBdr>
        <w:top w:val="none" w:sz="0" w:space="0" w:color="auto"/>
        <w:left w:val="none" w:sz="0" w:space="0" w:color="auto"/>
        <w:bottom w:val="none" w:sz="0" w:space="0" w:color="auto"/>
        <w:right w:val="none" w:sz="0" w:space="0" w:color="auto"/>
      </w:divBdr>
      <w:divsChild>
        <w:div w:id="698701343">
          <w:marLeft w:val="547"/>
          <w:marRight w:val="0"/>
          <w:marTop w:val="134"/>
          <w:marBottom w:val="0"/>
          <w:divBdr>
            <w:top w:val="none" w:sz="0" w:space="0" w:color="auto"/>
            <w:left w:val="none" w:sz="0" w:space="0" w:color="auto"/>
            <w:bottom w:val="none" w:sz="0" w:space="0" w:color="auto"/>
            <w:right w:val="none" w:sz="0" w:space="0" w:color="auto"/>
          </w:divBdr>
        </w:div>
        <w:div w:id="930548914">
          <w:marLeft w:val="1166"/>
          <w:marRight w:val="0"/>
          <w:marTop w:val="118"/>
          <w:marBottom w:val="0"/>
          <w:divBdr>
            <w:top w:val="none" w:sz="0" w:space="0" w:color="auto"/>
            <w:left w:val="none" w:sz="0" w:space="0" w:color="auto"/>
            <w:bottom w:val="none" w:sz="0" w:space="0" w:color="auto"/>
            <w:right w:val="none" w:sz="0" w:space="0" w:color="auto"/>
          </w:divBdr>
        </w:div>
        <w:div w:id="878395012">
          <w:marLeft w:val="1166"/>
          <w:marRight w:val="0"/>
          <w:marTop w:val="134"/>
          <w:marBottom w:val="0"/>
          <w:divBdr>
            <w:top w:val="none" w:sz="0" w:space="0" w:color="auto"/>
            <w:left w:val="none" w:sz="0" w:space="0" w:color="auto"/>
            <w:bottom w:val="none" w:sz="0" w:space="0" w:color="auto"/>
            <w:right w:val="none" w:sz="0" w:space="0" w:color="auto"/>
          </w:divBdr>
        </w:div>
        <w:div w:id="1387484556">
          <w:marLeft w:val="1166"/>
          <w:marRight w:val="0"/>
          <w:marTop w:val="134"/>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2260</TotalTime>
  <Pages>2</Pages>
  <Words>508</Words>
  <Characters>2898</Characters>
  <Application>Microsoft Office Word</Application>
  <DocSecurity>0</DocSecurity>
  <Lines>24</Lines>
  <Paragraphs>6</Paragraphs>
  <ScaleCrop>false</ScaleCrop>
  <Company>HUAWEI</Company>
  <LinksUpToDate>false</LinksUpToDate>
  <CharactersWithSpaces>3400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72</cp:revision>
  <dcterms:created xsi:type="dcterms:W3CDTF">2019-09-18T02:52:00Z</dcterms:created>
  <dcterms:modified xsi:type="dcterms:W3CDTF">2020-05-15T15:53:00Z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(3)LiAcRX77PP2UzjipLW5B8RLHs1DDYgWe/I6NQjViOg7aINg1+mQUBhL0qdo5NT7fzWXroazo
n+4BgicmyzkyN93VrjuSqfp7XXA46dyzbaAtzyP+3pSAzeUX2T3m5iha/52r8JZm0ez5oatM
a4j5a/KUQhtSUVnwgH35k5kbuLBPOa26OEuoP31b9Y7vqi92wM/vZ4ktWHtgy7jimgjLQYPV
9xiwJgkDIKLMz4Dcrh</vt:lpwstr>
  </property>
  <property fmtid="{D5CDD505-2E9C-101B-9397-08002B2CF9AE}" pid="3" name="_2015_ms_pID_7253431">
    <vt:lpwstr>4wquZKbkS9JEMrwXUD5QJ9fF0G5ttzOAT/mMHyVqVrXvsNWAWVsCMM
Fiic3TS1UMLnr+t2bkpndEtQzI6cq/g7xitd6hGXP1cygI9aAurVRYs7eD2B5A8LgskJ6vLZ
+N+ytgl5ZYIETVa4ooUL6TbT0OaiZKPlYDC/5kc24E9aaxRAzo5luHLOX0cJ29vs6J0+33kH
8bWalUjMxvigWyEPozWiZdXONWhS24TFO0dL</vt:lpwstr>
  </property>
  <property fmtid="{D5CDD505-2E9C-101B-9397-08002B2CF9AE}" pid="4" name="_2015_ms_pID_7253432">
    <vt:lpwstr>Jo4AfvGNQpaSGtS0AH1qRMg=</vt:lpwstr>
  </property>
</Properties>
</file>