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92A466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C71A19">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20</w:t>
      </w:r>
      <w:r w:rsidR="004E3C86">
        <w:rPr>
          <w:rFonts w:ascii="Arial" w:eastAsia="SimSun" w:hAnsi="Arial" w:cs="Times New Roman"/>
          <w:b/>
          <w:bCs/>
          <w:sz w:val="24"/>
          <w:szCs w:val="20"/>
          <w:lang w:val="en-GB" w:eastAsia="zh-CN"/>
        </w:rPr>
        <w:t>0</w:t>
      </w:r>
      <w:r w:rsidR="004E3C86" w:rsidRPr="004E3C86">
        <w:rPr>
          <w:rFonts w:ascii="Arial" w:eastAsia="SimSun" w:hAnsi="Arial" w:cs="Times New Roman"/>
          <w:b/>
          <w:bCs/>
          <w:sz w:val="24"/>
          <w:szCs w:val="20"/>
          <w:lang w:val="en-GB" w:eastAsia="zh-CN"/>
        </w:rPr>
        <w:t>7146</w:t>
      </w:r>
    </w:p>
    <w:p w14:paraId="3DEDC117" w14:textId="0A41CB52" w:rsidR="00841BCD" w:rsidRPr="00841BCD" w:rsidRDefault="000F41D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 May 25</w:t>
      </w:r>
      <w:r>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 June </w:t>
      </w:r>
      <w:r w:rsidRPr="000F41D0">
        <w:rPr>
          <w:rFonts w:ascii="Arial" w:eastAsia="SimSun" w:hAnsi="Arial" w:cs="Times New Roman"/>
          <w:b/>
          <w:sz w:val="24"/>
          <w:szCs w:val="20"/>
          <w:lang w:val="en-GB"/>
        </w:rPr>
        <w:t>5</w:t>
      </w:r>
      <w:r w:rsidRPr="000F41D0">
        <w:rPr>
          <w:rFonts w:ascii="Arial" w:eastAsia="SimSun" w:hAnsi="Arial" w:cs="Times New Roman"/>
          <w:b/>
          <w:sz w:val="24"/>
          <w:szCs w:val="20"/>
          <w:vertAlign w:val="superscript"/>
          <w:lang w:val="en-GB"/>
        </w:rPr>
        <w:t>th</w:t>
      </w:r>
      <w:r w:rsidRPr="000F41D0">
        <w:rPr>
          <w:rFonts w:ascii="Arial" w:eastAsia="SimSun" w:hAnsi="Arial" w:cs="Times New Roman"/>
          <w:b/>
          <w:sz w:val="24"/>
          <w:szCs w:val="20"/>
          <w:lang w:val="en-GB"/>
        </w:rPr>
        <w:t xml:space="preserve">, </w:t>
      </w:r>
      <w:r w:rsidR="00176671" w:rsidRPr="000F41D0">
        <w:rPr>
          <w:rFonts w:ascii="Arial" w:eastAsia="SimSun" w:hAnsi="Arial" w:cs="Times New Roman"/>
          <w:b/>
          <w:bCs/>
          <w:noProof/>
          <w:sz w:val="24"/>
          <w:szCs w:val="20"/>
          <w:lang w:eastAsia="zh-CN"/>
        </w:rPr>
        <w:t>20</w:t>
      </w:r>
      <w:r w:rsidR="009C003D" w:rsidRPr="000F41D0">
        <w:rPr>
          <w:rFonts w:ascii="Arial" w:eastAsia="SimSun" w:hAnsi="Arial" w:cs="Times New Roman"/>
          <w:b/>
          <w:bCs/>
          <w:noProof/>
          <w:sz w:val="24"/>
          <w:szCs w:val="20"/>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6DF3CA5"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D12FA">
        <w:rPr>
          <w:rFonts w:ascii="Arial" w:eastAsia="Calibri" w:hAnsi="Arial" w:cs="Arial"/>
          <w:b/>
          <w:bCs/>
          <w:sz w:val="24"/>
          <w:lang w:val="en-GB"/>
        </w:rPr>
        <w:t>N</w:t>
      </w:r>
      <w:r w:rsidR="00AD12FA" w:rsidRPr="00D814AD">
        <w:rPr>
          <w:rFonts w:ascii="Arial" w:eastAsia="Calibri" w:hAnsi="Arial" w:cs="Arial"/>
          <w:b/>
          <w:bCs/>
          <w:sz w:val="24"/>
          <w:lang w:val="en-GB"/>
        </w:rPr>
        <w:t xml:space="preserve">umber of carriers to measure in </w:t>
      </w:r>
      <w:proofErr w:type="spellStart"/>
      <w:r w:rsidR="00AD12FA" w:rsidRPr="00D814AD">
        <w:rPr>
          <w:rFonts w:ascii="Arial" w:eastAsia="Calibri" w:hAnsi="Arial" w:cs="Arial"/>
          <w:b/>
          <w:bCs/>
          <w:sz w:val="24"/>
          <w:lang w:val="en-GB"/>
        </w:rPr>
        <w:t>euCA</w:t>
      </w:r>
      <w:proofErr w:type="spellEnd"/>
      <w:r w:rsidRPr="00841BCD" w:rsidDel="000A742C">
        <w:rPr>
          <w:rFonts w:ascii="Arial" w:eastAsia="Calibri" w:hAnsi="Arial" w:cs="Arial"/>
          <w:b/>
          <w:bCs/>
          <w:sz w:val="24"/>
          <w:lang w:val="en-GB"/>
        </w:rPr>
        <w:t xml:space="preserve"> </w:t>
      </w:r>
    </w:p>
    <w:p w14:paraId="53921647" w14:textId="320C422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43176">
        <w:rPr>
          <w:rFonts w:ascii="Arial" w:eastAsia="MS Mincho" w:hAnsi="Arial" w:cs="Arial"/>
          <w:b/>
          <w:bCs/>
          <w:sz w:val="24"/>
          <w:szCs w:val="20"/>
          <w:lang w:val="en-GB"/>
        </w:rPr>
        <w:t>12.3</w:t>
      </w:r>
      <w:bookmarkStart w:id="3" w:name="_GoBack"/>
      <w:bookmarkEnd w:id="3"/>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0F41D0">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58B18170" w:rsidR="00A22B78" w:rsidRDefault="00AD12FA" w:rsidP="00841BCD">
      <w:pPr>
        <w:ind w:right="-22"/>
        <w:rPr>
          <w:rFonts w:eastAsia="Calibri" w:cs="Times New Roman"/>
          <w:szCs w:val="20"/>
          <w:lang w:val="en-GB"/>
        </w:rPr>
      </w:pPr>
      <w:r>
        <w:rPr>
          <w:rFonts w:eastAsia="Calibri" w:cs="Times New Roman"/>
          <w:szCs w:val="20"/>
          <w:lang w:val="en-GB"/>
        </w:rPr>
        <w:t>In RAN4</w:t>
      </w:r>
      <w:r w:rsidR="00C43176">
        <w:rPr>
          <w:rFonts w:eastAsia="Calibri" w:cs="Times New Roman"/>
          <w:szCs w:val="20"/>
          <w:lang w:val="en-GB"/>
        </w:rPr>
        <w:t>#93 Reno,</w:t>
      </w:r>
      <w:r>
        <w:rPr>
          <w:rFonts w:eastAsia="Calibri" w:cs="Times New Roman"/>
          <w:szCs w:val="20"/>
          <w:lang w:val="en-GB"/>
        </w:rPr>
        <w:t xml:space="preserve"> it was agreed to align the RAN4 </w:t>
      </w:r>
      <w:proofErr w:type="spellStart"/>
      <w:r>
        <w:rPr>
          <w:rFonts w:eastAsia="Calibri" w:cs="Times New Roman"/>
          <w:szCs w:val="20"/>
          <w:lang w:val="en-GB"/>
        </w:rPr>
        <w:t>euCA</w:t>
      </w:r>
      <w:proofErr w:type="spellEnd"/>
      <w:r>
        <w:rPr>
          <w:rFonts w:eastAsia="Calibri" w:cs="Times New Roman"/>
          <w:szCs w:val="20"/>
          <w:lang w:val="en-GB"/>
        </w:rPr>
        <w:t xml:space="preserve"> requirements with the RAN2 decision stating the inter-frequency search thresholds (</w:t>
      </w:r>
      <w:r w:rsidR="008025E0">
        <w:rPr>
          <w:rFonts w:eastAsia="Calibri" w:cs="Times New Roman"/>
          <w:szCs w:val="20"/>
          <w:lang w:val="en-GB"/>
        </w:rPr>
        <w:t>s-</w:t>
      </w:r>
      <w:proofErr w:type="spellStart"/>
      <w:r w:rsidR="008025E0">
        <w:rPr>
          <w:rFonts w:eastAsia="Calibri" w:cs="Times New Roman"/>
          <w:szCs w:val="20"/>
          <w:lang w:val="en-GB"/>
        </w:rPr>
        <w:t>NonIntraSearch</w:t>
      </w:r>
      <w:proofErr w:type="spellEnd"/>
      <w:r>
        <w:rPr>
          <w:rFonts w:eastAsia="Calibri" w:cs="Times New Roman"/>
          <w:szCs w:val="20"/>
          <w:lang w:val="en-GB"/>
        </w:rPr>
        <w:t>) are not applied for carrier</w:t>
      </w:r>
      <w:r w:rsidR="00C43176">
        <w:rPr>
          <w:rFonts w:eastAsia="Calibri" w:cs="Times New Roman"/>
          <w:szCs w:val="20"/>
          <w:lang w:val="en-GB"/>
        </w:rPr>
        <w:t>s</w:t>
      </w:r>
      <w:r>
        <w:rPr>
          <w:rFonts w:eastAsia="Calibri" w:cs="Times New Roman"/>
          <w:szCs w:val="20"/>
          <w:lang w:val="en-GB"/>
        </w:rPr>
        <w:t xml:space="preserve"> configured for early measurement reporting. The CR was </w:t>
      </w:r>
      <w:r w:rsidR="00C43176">
        <w:rPr>
          <w:rFonts w:eastAsia="Calibri" w:cs="Times New Roman"/>
          <w:szCs w:val="20"/>
          <w:lang w:val="en-GB"/>
        </w:rPr>
        <w:t>agreed</w:t>
      </w:r>
      <w:r>
        <w:rPr>
          <w:rFonts w:eastAsia="Calibri" w:cs="Times New Roman"/>
          <w:szCs w:val="20"/>
          <w:lang w:val="en-GB"/>
        </w:rPr>
        <w:t xml:space="preserve"> in [</w:t>
      </w:r>
      <w:r w:rsidR="008025E0">
        <w:rPr>
          <w:rFonts w:eastAsia="Calibri" w:cs="Times New Roman"/>
          <w:szCs w:val="20"/>
          <w:lang w:val="en-GB"/>
        </w:rPr>
        <w:t>2</w:t>
      </w:r>
      <w:r>
        <w:rPr>
          <w:rFonts w:eastAsia="Calibri" w:cs="Times New Roman"/>
          <w:szCs w:val="20"/>
          <w:lang w:val="en-GB"/>
        </w:rPr>
        <w:t xml:space="preserve">]. Left open in the RAN4#93 Reno meeting </w:t>
      </w:r>
      <w:r w:rsidR="00C43176">
        <w:rPr>
          <w:rFonts w:eastAsia="Calibri" w:cs="Times New Roman"/>
          <w:szCs w:val="20"/>
          <w:lang w:val="en-GB"/>
        </w:rPr>
        <w:t xml:space="preserve">was the discussion </w:t>
      </w:r>
      <w:r w:rsidR="008025E0">
        <w:rPr>
          <w:rFonts w:eastAsia="Calibri" w:cs="Times New Roman"/>
          <w:szCs w:val="20"/>
          <w:lang w:val="en-GB"/>
        </w:rPr>
        <w:t>related to</w:t>
      </w:r>
      <w:r>
        <w:rPr>
          <w:rFonts w:eastAsia="Calibri" w:cs="Times New Roman"/>
          <w:szCs w:val="20"/>
          <w:lang w:val="en-GB"/>
        </w:rPr>
        <w:t xml:space="preserve"> the number of carriers to monitor for early reporting in idle mode</w:t>
      </w:r>
      <w:r w:rsidR="008025E0">
        <w:rPr>
          <w:rFonts w:eastAsia="Calibri" w:cs="Times New Roman"/>
          <w:szCs w:val="20"/>
          <w:lang w:val="en-GB"/>
        </w:rPr>
        <w:t xml:space="preserve"> [1]</w:t>
      </w:r>
      <w:r>
        <w:rPr>
          <w:rFonts w:eastAsia="Calibri" w:cs="Times New Roman"/>
          <w:szCs w:val="20"/>
          <w:lang w:val="en-GB"/>
        </w:rPr>
        <w:t>. In this paper we address this topic</w:t>
      </w:r>
      <w:r w:rsidR="00DA2EF9">
        <w:rPr>
          <w:rFonts w:eastAsia="Calibri" w:cs="Times New Roman"/>
          <w:szCs w:val="20"/>
          <w:lang w:val="en-GB"/>
        </w:rPr>
        <w:t>.</w:t>
      </w:r>
    </w:p>
    <w:p w14:paraId="2FF6A72B" w14:textId="77777777" w:rsidR="003B659E" w:rsidRPr="00841BCD" w:rsidRDefault="003B659E" w:rsidP="00AE56B1">
      <w:pPr>
        <w:pStyle w:val="RAN4H1"/>
      </w:pPr>
      <w:r w:rsidRPr="00AE56B1">
        <w:t>Discussion</w:t>
      </w:r>
    </w:p>
    <w:p w14:paraId="7924C08B" w14:textId="1E37FFC0" w:rsidR="00430497" w:rsidRDefault="00430497" w:rsidP="00430497">
      <w:pPr>
        <w:ind w:right="-22"/>
        <w:rPr>
          <w:rFonts w:eastAsia="Calibri" w:cs="Times New Roman"/>
          <w:szCs w:val="20"/>
          <w:lang w:val="en-GB"/>
        </w:rPr>
      </w:pPr>
      <w:r>
        <w:rPr>
          <w:rFonts w:eastAsia="Calibri" w:cs="Times New Roman"/>
          <w:szCs w:val="20"/>
          <w:lang w:val="en-GB"/>
        </w:rPr>
        <w:t xml:space="preserve">It is still open in RAN4 to agree on the supported number of carriers in </w:t>
      </w:r>
      <w:proofErr w:type="spellStart"/>
      <w:r>
        <w:rPr>
          <w:rFonts w:eastAsia="Calibri" w:cs="Times New Roman"/>
          <w:szCs w:val="20"/>
          <w:lang w:val="en-GB"/>
        </w:rPr>
        <w:t>euCA</w:t>
      </w:r>
      <w:proofErr w:type="spellEnd"/>
      <w:r>
        <w:rPr>
          <w:rFonts w:eastAsia="Calibri" w:cs="Times New Roman"/>
          <w:szCs w:val="20"/>
          <w:lang w:val="en-GB"/>
        </w:rPr>
        <w:t xml:space="preserve"> considering the agreements in former RAN4 meetings.</w:t>
      </w:r>
    </w:p>
    <w:p w14:paraId="11FB930E" w14:textId="38F35048" w:rsidR="00430497" w:rsidRDefault="00430497" w:rsidP="00430497">
      <w:pPr>
        <w:ind w:right="-22"/>
        <w:rPr>
          <w:rFonts w:eastAsia="Calibri" w:cs="Times New Roman"/>
          <w:szCs w:val="20"/>
          <w:lang w:val="en-GB"/>
        </w:rPr>
      </w:pPr>
      <w:r>
        <w:rPr>
          <w:rFonts w:eastAsia="Calibri" w:cs="Times New Roman"/>
          <w:szCs w:val="20"/>
          <w:lang w:val="en-GB"/>
        </w:rPr>
        <w:t xml:space="preserve">In </w:t>
      </w:r>
      <w:proofErr w:type="spellStart"/>
      <w:r>
        <w:rPr>
          <w:rFonts w:eastAsia="Calibri" w:cs="Times New Roman"/>
          <w:szCs w:val="20"/>
          <w:lang w:val="en-GB"/>
        </w:rPr>
        <w:t>euCA</w:t>
      </w:r>
      <w:proofErr w:type="spellEnd"/>
      <w:r w:rsidR="00C43176">
        <w:rPr>
          <w:rFonts w:eastAsia="Calibri" w:cs="Times New Roman"/>
          <w:szCs w:val="20"/>
          <w:lang w:val="en-GB"/>
        </w:rPr>
        <w:t>,</w:t>
      </w:r>
      <w:r>
        <w:rPr>
          <w:rFonts w:eastAsia="Calibri" w:cs="Times New Roman"/>
          <w:szCs w:val="20"/>
          <w:lang w:val="en-GB"/>
        </w:rPr>
        <w:t xml:space="preserve"> </w:t>
      </w:r>
      <w:r w:rsidR="00C43176">
        <w:rPr>
          <w:rFonts w:eastAsia="Calibri" w:cs="Times New Roman"/>
          <w:szCs w:val="20"/>
          <w:lang w:val="en-GB"/>
        </w:rPr>
        <w:t xml:space="preserve">the </w:t>
      </w:r>
      <w:r>
        <w:rPr>
          <w:rFonts w:eastAsia="Calibri" w:cs="Times New Roman"/>
          <w:szCs w:val="20"/>
          <w:lang w:val="en-GB"/>
        </w:rPr>
        <w:t xml:space="preserve">network can configure </w:t>
      </w:r>
      <w:r w:rsidR="00C43176">
        <w:rPr>
          <w:rFonts w:eastAsia="Calibri" w:cs="Times New Roman"/>
          <w:szCs w:val="20"/>
          <w:lang w:val="en-GB"/>
        </w:rPr>
        <w:t xml:space="preserve">the UE with </w:t>
      </w:r>
      <w:r>
        <w:rPr>
          <w:rFonts w:eastAsia="Calibri" w:cs="Times New Roman"/>
          <w:szCs w:val="20"/>
          <w:lang w:val="en-GB"/>
        </w:rPr>
        <w:t>both overlapping and non-overlapping carrier</w:t>
      </w:r>
      <w:r w:rsidR="00C43176">
        <w:rPr>
          <w:rFonts w:eastAsia="Calibri" w:cs="Times New Roman"/>
          <w:szCs w:val="20"/>
          <w:lang w:val="en-GB"/>
        </w:rPr>
        <w:t>s</w:t>
      </w:r>
      <w:r>
        <w:rPr>
          <w:rFonts w:eastAsia="Calibri" w:cs="Times New Roman"/>
          <w:szCs w:val="20"/>
          <w:lang w:val="en-GB"/>
        </w:rPr>
        <w:t xml:space="preserve"> for UE to measure for early reporting. For overlapping </w:t>
      </w:r>
      <w:r w:rsidR="00C43176">
        <w:rPr>
          <w:rFonts w:eastAsia="Calibri" w:cs="Times New Roman"/>
          <w:szCs w:val="20"/>
          <w:lang w:val="en-GB"/>
        </w:rPr>
        <w:t>carriers,</w:t>
      </w:r>
      <w:r>
        <w:rPr>
          <w:rFonts w:eastAsia="Calibri" w:cs="Times New Roman"/>
          <w:szCs w:val="20"/>
          <w:lang w:val="en-GB"/>
        </w:rPr>
        <w:t xml:space="preserve"> the requirements are the same as for carriers used for mobility with the exception that s-</w:t>
      </w:r>
      <w:proofErr w:type="spellStart"/>
      <w:r>
        <w:rPr>
          <w:rFonts w:eastAsia="Calibri" w:cs="Times New Roman"/>
          <w:szCs w:val="20"/>
          <w:lang w:val="en-GB"/>
        </w:rPr>
        <w:t>NonIntraSearch</w:t>
      </w:r>
      <w:proofErr w:type="spellEnd"/>
      <w:r>
        <w:rPr>
          <w:rFonts w:eastAsia="Calibri" w:cs="Times New Roman"/>
          <w:szCs w:val="20"/>
          <w:lang w:val="en-GB"/>
        </w:rPr>
        <w:t xml:space="preserve"> thresholds do not apply.</w:t>
      </w:r>
    </w:p>
    <w:p w14:paraId="69A9F0C0" w14:textId="77777777" w:rsidR="00C43176" w:rsidRDefault="00430497" w:rsidP="00430497">
      <w:pPr>
        <w:ind w:right="-22"/>
        <w:rPr>
          <w:rFonts w:eastAsia="Calibri" w:cs="Times New Roman"/>
          <w:szCs w:val="20"/>
          <w:lang w:val="en-GB"/>
        </w:rPr>
      </w:pPr>
      <w:r>
        <w:rPr>
          <w:rFonts w:eastAsia="Calibri" w:cs="Times New Roman"/>
          <w:szCs w:val="20"/>
          <w:lang w:val="en-GB"/>
        </w:rPr>
        <w:t xml:space="preserve">The fact that the UE is not able to apply these thresholds for the configured overlapping carriers may of course lead to that UE would have to perform additional measurements in idle compared to if the thresholds </w:t>
      </w:r>
      <w:r w:rsidR="00C43176">
        <w:rPr>
          <w:rFonts w:eastAsia="Calibri" w:cs="Times New Roman"/>
          <w:szCs w:val="20"/>
          <w:lang w:val="en-GB"/>
        </w:rPr>
        <w:t>would</w:t>
      </w:r>
      <w:r>
        <w:rPr>
          <w:rFonts w:eastAsia="Calibri" w:cs="Times New Roman"/>
          <w:szCs w:val="20"/>
          <w:lang w:val="en-GB"/>
        </w:rPr>
        <w:t xml:space="preserve"> be applied. And this increase in measurement effort may lead to some increase in the UE power consumption.</w:t>
      </w:r>
      <w:r w:rsidR="00C43176">
        <w:rPr>
          <w:rFonts w:eastAsia="Calibri" w:cs="Times New Roman"/>
          <w:szCs w:val="20"/>
          <w:lang w:val="en-GB"/>
        </w:rPr>
        <w:t xml:space="preserve"> </w:t>
      </w:r>
    </w:p>
    <w:p w14:paraId="7372BB94" w14:textId="0EEA942E" w:rsidR="00430497" w:rsidRDefault="00C43176" w:rsidP="00430497">
      <w:pPr>
        <w:ind w:right="-22"/>
        <w:rPr>
          <w:rFonts w:eastAsia="Calibri" w:cs="Times New Roman"/>
          <w:szCs w:val="20"/>
          <w:lang w:val="en-GB"/>
        </w:rPr>
      </w:pPr>
      <w:r>
        <w:rPr>
          <w:rFonts w:eastAsia="Calibri" w:cs="Times New Roman"/>
          <w:szCs w:val="20"/>
          <w:lang w:val="en-GB"/>
        </w:rPr>
        <w:t>However, not applying the search thresholds for the overlapping and non-overlapping carriers could also lead to improved UE power saving as the UE would not have to measure all configured mobility carriers if serving cell conditions are good enough. Under these conditions the UE would only be required to measure carriers for idle mode reporting.</w:t>
      </w:r>
    </w:p>
    <w:p w14:paraId="7947777F" w14:textId="77777777" w:rsidR="00F36177" w:rsidRDefault="003810E2" w:rsidP="003810E2">
      <w:pPr>
        <w:ind w:right="-22"/>
        <w:rPr>
          <w:rFonts w:eastAsia="Calibri" w:cs="Times New Roman"/>
          <w:szCs w:val="20"/>
          <w:lang w:val="en-GB"/>
        </w:rPr>
      </w:pPr>
      <w:r>
        <w:rPr>
          <w:rFonts w:eastAsia="Calibri" w:cs="Times New Roman"/>
          <w:szCs w:val="20"/>
          <w:lang w:val="en-GB"/>
        </w:rPr>
        <w:t>When the s-</w:t>
      </w:r>
      <w:proofErr w:type="spellStart"/>
      <w:r>
        <w:rPr>
          <w:rFonts w:eastAsia="Calibri" w:cs="Times New Roman"/>
          <w:szCs w:val="20"/>
          <w:lang w:val="en-GB"/>
        </w:rPr>
        <w:t>NonIntraSearch</w:t>
      </w:r>
      <w:proofErr w:type="spellEnd"/>
      <w:r>
        <w:rPr>
          <w:rFonts w:eastAsia="Calibri" w:cs="Times New Roman"/>
          <w:szCs w:val="20"/>
          <w:lang w:val="en-GB"/>
        </w:rPr>
        <w:t xml:space="preserve"> is configured</w:t>
      </w:r>
      <w:r w:rsidR="00C43176">
        <w:rPr>
          <w:rFonts w:eastAsia="Calibri" w:cs="Times New Roman"/>
          <w:szCs w:val="20"/>
          <w:lang w:val="en-GB"/>
        </w:rPr>
        <w:t>,</w:t>
      </w:r>
      <w:r>
        <w:rPr>
          <w:rFonts w:eastAsia="Calibri" w:cs="Times New Roman"/>
          <w:szCs w:val="20"/>
          <w:lang w:val="en-GB"/>
        </w:rPr>
        <w:t xml:space="preserve"> the UE would not have to measure any inter-frequency and inter-RAT carriers </w:t>
      </w:r>
      <w:r w:rsidR="00C43176">
        <w:rPr>
          <w:rFonts w:eastAsia="Calibri" w:cs="Times New Roman"/>
          <w:szCs w:val="20"/>
          <w:lang w:val="en-GB"/>
        </w:rPr>
        <w:t xml:space="preserve">only configured </w:t>
      </w:r>
      <w:r>
        <w:rPr>
          <w:rFonts w:eastAsia="Calibri" w:cs="Times New Roman"/>
          <w:szCs w:val="20"/>
          <w:lang w:val="en-GB"/>
        </w:rPr>
        <w:t>for mobility</w:t>
      </w:r>
      <w:r w:rsidR="00C43176">
        <w:rPr>
          <w:rFonts w:eastAsia="Calibri" w:cs="Times New Roman"/>
          <w:szCs w:val="20"/>
          <w:lang w:val="en-GB"/>
        </w:rPr>
        <w:t>. The UE</w:t>
      </w:r>
      <w:r>
        <w:rPr>
          <w:rFonts w:eastAsia="Calibri" w:cs="Times New Roman"/>
          <w:szCs w:val="20"/>
          <w:lang w:val="en-GB"/>
        </w:rPr>
        <w:t xml:space="preserve"> would only have to measure carriers configured for early reporting</w:t>
      </w:r>
      <w:r w:rsidR="00C43176">
        <w:rPr>
          <w:rFonts w:eastAsia="Calibri" w:cs="Times New Roman"/>
          <w:szCs w:val="20"/>
          <w:lang w:val="en-GB"/>
        </w:rPr>
        <w:t xml:space="preserve"> (EMR carriers)</w:t>
      </w:r>
      <w:r>
        <w:rPr>
          <w:rFonts w:eastAsia="Calibri" w:cs="Times New Roman"/>
          <w:szCs w:val="20"/>
          <w:lang w:val="en-GB"/>
        </w:rPr>
        <w:t>. It is expected that if the s-</w:t>
      </w:r>
      <w:proofErr w:type="spellStart"/>
      <w:r>
        <w:rPr>
          <w:rFonts w:eastAsia="Calibri" w:cs="Times New Roman"/>
          <w:szCs w:val="20"/>
          <w:lang w:val="en-GB"/>
        </w:rPr>
        <w:t>NonIntraSearch</w:t>
      </w:r>
      <w:proofErr w:type="spellEnd"/>
      <w:r>
        <w:rPr>
          <w:rFonts w:eastAsia="Calibri" w:cs="Times New Roman"/>
          <w:szCs w:val="20"/>
          <w:lang w:val="en-GB"/>
        </w:rPr>
        <w:t xml:space="preserve"> is configured it would be such that the threshold would be set at a coverage point that would leave the UE time to perform inter-frequency/RAT measurements for mobility in a timely manner. Hence, the s-</w:t>
      </w:r>
      <w:proofErr w:type="spellStart"/>
      <w:r>
        <w:rPr>
          <w:rFonts w:eastAsia="Calibri" w:cs="Times New Roman"/>
          <w:szCs w:val="20"/>
          <w:lang w:val="en-GB"/>
        </w:rPr>
        <w:t>NonIntraSearch</w:t>
      </w:r>
      <w:proofErr w:type="spellEnd"/>
      <w:r>
        <w:rPr>
          <w:rFonts w:eastAsia="Calibri" w:cs="Times New Roman"/>
          <w:szCs w:val="20"/>
          <w:lang w:val="en-GB"/>
        </w:rPr>
        <w:t xml:space="preserve"> thresholds would be </w:t>
      </w:r>
      <w:proofErr w:type="spellStart"/>
      <w:r>
        <w:rPr>
          <w:rFonts w:eastAsia="Calibri" w:cs="Times New Roman"/>
          <w:szCs w:val="20"/>
          <w:lang w:val="en-GB"/>
        </w:rPr>
        <w:t>be</w:t>
      </w:r>
      <w:proofErr w:type="spellEnd"/>
      <w:r>
        <w:rPr>
          <w:rFonts w:eastAsia="Calibri" w:cs="Times New Roman"/>
          <w:szCs w:val="20"/>
          <w:lang w:val="en-GB"/>
        </w:rPr>
        <w:t xml:space="preserve"> set at a higher threshold than current minimum requirements limit of -6dB. </w:t>
      </w:r>
    </w:p>
    <w:p w14:paraId="1D0544C9" w14:textId="7CFE9E0C" w:rsidR="003810E2" w:rsidRDefault="003810E2" w:rsidP="003810E2">
      <w:pPr>
        <w:ind w:right="-22"/>
        <w:rPr>
          <w:rFonts w:eastAsia="Calibri" w:cs="Times New Roman"/>
          <w:szCs w:val="20"/>
          <w:lang w:val="en-GB"/>
        </w:rPr>
      </w:pPr>
      <w:r>
        <w:rPr>
          <w:rFonts w:eastAsia="Calibri" w:cs="Times New Roman"/>
          <w:szCs w:val="20"/>
          <w:lang w:val="en-GB"/>
        </w:rPr>
        <w:t xml:space="preserve">This also means that when </w:t>
      </w:r>
      <w:proofErr w:type="spellStart"/>
      <w:r>
        <w:rPr>
          <w:szCs w:val="20"/>
        </w:rPr>
        <w:t>Srxlev</w:t>
      </w:r>
      <w:proofErr w:type="spellEnd"/>
      <w:r>
        <w:rPr>
          <w:szCs w:val="20"/>
        </w:rPr>
        <w:t xml:space="preserve"> &gt; </w:t>
      </w:r>
      <w:proofErr w:type="spellStart"/>
      <w:r>
        <w:rPr>
          <w:szCs w:val="20"/>
        </w:rPr>
        <w:t>S</w:t>
      </w:r>
      <w:r>
        <w:rPr>
          <w:sz w:val="13"/>
          <w:szCs w:val="13"/>
        </w:rPr>
        <w:t>nonIntraSearchP</w:t>
      </w:r>
      <w:proofErr w:type="spellEnd"/>
      <w:r>
        <w:rPr>
          <w:sz w:val="13"/>
          <w:szCs w:val="13"/>
        </w:rPr>
        <w:t xml:space="preserve"> </w:t>
      </w:r>
      <w:r>
        <w:rPr>
          <w:szCs w:val="20"/>
        </w:rPr>
        <w:t xml:space="preserve">and </w:t>
      </w:r>
      <w:proofErr w:type="spellStart"/>
      <w:r>
        <w:rPr>
          <w:szCs w:val="20"/>
        </w:rPr>
        <w:t>Squal</w:t>
      </w:r>
      <w:proofErr w:type="spellEnd"/>
      <w:r>
        <w:rPr>
          <w:szCs w:val="20"/>
        </w:rPr>
        <w:t xml:space="preserve"> &gt; </w:t>
      </w:r>
      <w:proofErr w:type="spellStart"/>
      <w:r>
        <w:rPr>
          <w:szCs w:val="20"/>
        </w:rPr>
        <w:t>S</w:t>
      </w:r>
      <w:r>
        <w:rPr>
          <w:sz w:val="13"/>
          <w:szCs w:val="13"/>
        </w:rPr>
        <w:t>nonIntraSearchQ</w:t>
      </w:r>
      <w:proofErr w:type="spellEnd"/>
      <w:r>
        <w:rPr>
          <w:rFonts w:eastAsia="Calibri" w:cs="Times New Roman"/>
          <w:szCs w:val="20"/>
          <w:lang w:val="en-GB"/>
        </w:rPr>
        <w:t xml:space="preserve"> the cell detection and measurement </w:t>
      </w:r>
      <w:r w:rsidR="00F36177">
        <w:rPr>
          <w:rFonts w:eastAsia="Calibri" w:cs="Times New Roman"/>
          <w:szCs w:val="20"/>
          <w:lang w:val="en-GB"/>
        </w:rPr>
        <w:t>delays</w:t>
      </w:r>
      <w:r>
        <w:rPr>
          <w:rFonts w:eastAsia="Calibri" w:cs="Times New Roman"/>
          <w:szCs w:val="20"/>
          <w:lang w:val="en-GB"/>
        </w:rPr>
        <w:t xml:space="preserve"> would be </w:t>
      </w:r>
      <w:r w:rsidR="00F36177">
        <w:rPr>
          <w:rFonts w:eastAsia="Calibri" w:cs="Times New Roman"/>
          <w:szCs w:val="20"/>
          <w:lang w:val="en-GB"/>
        </w:rPr>
        <w:t xml:space="preserve">expected to be </w:t>
      </w:r>
      <w:r>
        <w:rPr>
          <w:rFonts w:eastAsia="Calibri" w:cs="Times New Roman"/>
          <w:szCs w:val="20"/>
          <w:lang w:val="en-GB"/>
        </w:rPr>
        <w:t xml:space="preserve">shorter than </w:t>
      </w:r>
      <w:r w:rsidR="00F36177">
        <w:rPr>
          <w:rFonts w:eastAsia="Calibri" w:cs="Times New Roman"/>
          <w:szCs w:val="20"/>
          <w:lang w:val="en-GB"/>
        </w:rPr>
        <w:t>the</w:t>
      </w:r>
      <w:r>
        <w:rPr>
          <w:rFonts w:eastAsia="Calibri" w:cs="Times New Roman"/>
          <w:szCs w:val="20"/>
          <w:lang w:val="en-GB"/>
        </w:rPr>
        <w:t xml:space="preserve"> maximum time allowed (UE minimum cell detection and measurement delays). Hence, the active measurement time spend on measuring carriers for early reporting even when s-</w:t>
      </w:r>
      <w:proofErr w:type="spellStart"/>
      <w:r>
        <w:rPr>
          <w:rFonts w:eastAsia="Calibri" w:cs="Times New Roman"/>
          <w:szCs w:val="20"/>
          <w:lang w:val="en-GB"/>
        </w:rPr>
        <w:t>NonIntraSearch</w:t>
      </w:r>
      <w:proofErr w:type="spellEnd"/>
      <w:r>
        <w:rPr>
          <w:rFonts w:eastAsia="Calibri" w:cs="Times New Roman"/>
          <w:szCs w:val="20"/>
          <w:lang w:val="en-GB"/>
        </w:rPr>
        <w:t xml:space="preserve"> is configured </w:t>
      </w:r>
      <w:r w:rsidR="00F36177">
        <w:rPr>
          <w:rFonts w:eastAsia="Calibri" w:cs="Times New Roman"/>
          <w:szCs w:val="20"/>
          <w:lang w:val="en-GB"/>
        </w:rPr>
        <w:t xml:space="preserve">and when </w:t>
      </w:r>
      <w:proofErr w:type="spellStart"/>
      <w:r w:rsidR="00F36177">
        <w:rPr>
          <w:szCs w:val="20"/>
        </w:rPr>
        <w:t>Srxlev</w:t>
      </w:r>
      <w:proofErr w:type="spellEnd"/>
      <w:r w:rsidR="00F36177">
        <w:rPr>
          <w:szCs w:val="20"/>
        </w:rPr>
        <w:t xml:space="preserve"> &gt; </w:t>
      </w:r>
      <w:proofErr w:type="spellStart"/>
      <w:r w:rsidR="00F36177">
        <w:rPr>
          <w:szCs w:val="20"/>
        </w:rPr>
        <w:t>S</w:t>
      </w:r>
      <w:r w:rsidR="00F36177">
        <w:rPr>
          <w:sz w:val="13"/>
          <w:szCs w:val="13"/>
        </w:rPr>
        <w:t>nonIntraSearchP</w:t>
      </w:r>
      <w:proofErr w:type="spellEnd"/>
      <w:r w:rsidR="00F36177">
        <w:rPr>
          <w:sz w:val="13"/>
          <w:szCs w:val="13"/>
        </w:rPr>
        <w:t xml:space="preserve"> </w:t>
      </w:r>
      <w:r w:rsidR="00F36177">
        <w:rPr>
          <w:szCs w:val="20"/>
        </w:rPr>
        <w:t xml:space="preserve">and </w:t>
      </w:r>
      <w:proofErr w:type="spellStart"/>
      <w:r w:rsidR="00F36177">
        <w:rPr>
          <w:szCs w:val="20"/>
        </w:rPr>
        <w:t>Squal</w:t>
      </w:r>
      <w:proofErr w:type="spellEnd"/>
      <w:r w:rsidR="00F36177">
        <w:rPr>
          <w:szCs w:val="20"/>
        </w:rPr>
        <w:t xml:space="preserve"> &gt; </w:t>
      </w:r>
      <w:proofErr w:type="spellStart"/>
      <w:r w:rsidR="00F36177">
        <w:rPr>
          <w:szCs w:val="20"/>
        </w:rPr>
        <w:t>S</w:t>
      </w:r>
      <w:r w:rsidR="00F36177">
        <w:rPr>
          <w:sz w:val="13"/>
          <w:szCs w:val="13"/>
        </w:rPr>
        <w:t>nonIntraSearchQ</w:t>
      </w:r>
      <w:proofErr w:type="spellEnd"/>
      <w:r w:rsidR="00F36177">
        <w:rPr>
          <w:rFonts w:eastAsia="Calibri" w:cs="Times New Roman"/>
          <w:szCs w:val="20"/>
          <w:lang w:val="en-GB"/>
        </w:rPr>
        <w:t>, is</w:t>
      </w:r>
      <w:r>
        <w:rPr>
          <w:rFonts w:eastAsia="Calibri" w:cs="Times New Roman"/>
          <w:szCs w:val="20"/>
          <w:lang w:val="en-GB"/>
        </w:rPr>
        <w:t xml:space="preserve"> expected to be reduced (compared to defined minimum requirement for cell detection and measurement period). </w:t>
      </w:r>
    </w:p>
    <w:p w14:paraId="5467310E" w14:textId="73C8E14C" w:rsidR="003810E2" w:rsidRDefault="003810E2" w:rsidP="003810E2">
      <w:pPr>
        <w:ind w:right="-22"/>
        <w:rPr>
          <w:rFonts w:eastAsia="Calibri" w:cs="Times New Roman"/>
          <w:szCs w:val="20"/>
          <w:lang w:val="en-GB"/>
        </w:rPr>
      </w:pPr>
      <w:r>
        <w:rPr>
          <w:rFonts w:eastAsia="Calibri" w:cs="Times New Roman"/>
          <w:szCs w:val="20"/>
          <w:lang w:val="en-GB"/>
        </w:rPr>
        <w:t>Based on this we expect that the impact on the UE side from measuring carriers for early reporting, even when s-</w:t>
      </w:r>
      <w:proofErr w:type="spellStart"/>
      <w:r>
        <w:rPr>
          <w:rFonts w:eastAsia="Calibri" w:cs="Times New Roman"/>
          <w:szCs w:val="20"/>
          <w:lang w:val="en-GB"/>
        </w:rPr>
        <w:t>NonIntraSearch</w:t>
      </w:r>
      <w:proofErr w:type="spellEnd"/>
      <w:r>
        <w:rPr>
          <w:rFonts w:eastAsia="Calibri" w:cs="Times New Roman"/>
          <w:szCs w:val="20"/>
          <w:lang w:val="en-GB"/>
        </w:rPr>
        <w:t xml:space="preserve"> is configured, would be present but should not be significant (although some small impact is expected). Additionally, the time duration during which the carriers would have to be measured is time limited by timer T311, which also helps in keeping the UE impact small.</w:t>
      </w:r>
    </w:p>
    <w:p w14:paraId="15D1CB04" w14:textId="2E8A3D6E" w:rsidR="003810E2" w:rsidRDefault="003810E2" w:rsidP="003810E2">
      <w:pPr>
        <w:ind w:right="-22"/>
        <w:rPr>
          <w:rFonts w:eastAsia="Calibri" w:cs="Times New Roman"/>
          <w:szCs w:val="20"/>
          <w:lang w:val="en-GB"/>
        </w:rPr>
      </w:pPr>
      <w:r>
        <w:rPr>
          <w:rFonts w:eastAsia="Calibri" w:cs="Times New Roman"/>
          <w:szCs w:val="20"/>
          <w:lang w:val="en-GB"/>
        </w:rPr>
        <w:t xml:space="preserve">To ensure a good system design both UE and network needs would need to be considered. Based on this we propose that the UE </w:t>
      </w:r>
      <w:r w:rsidRPr="00CB1B16">
        <w:rPr>
          <w:lang w:eastAsia="ko-KR"/>
        </w:rPr>
        <w:t xml:space="preserve">shall support the idle mode CA measurements of at least </w:t>
      </w:r>
      <w:r>
        <w:rPr>
          <w:lang w:eastAsia="ko-KR"/>
        </w:rPr>
        <w:t xml:space="preserve">2 </w:t>
      </w:r>
      <w:r w:rsidRPr="00CB1B16">
        <w:rPr>
          <w:lang w:eastAsia="ko-KR"/>
        </w:rPr>
        <w:t>inter-frequency carriers of which zero or one inter-frequency carrier may be a non-overlapping carrier</w:t>
      </w:r>
      <w:r w:rsidR="00280412">
        <w:rPr>
          <w:lang w:eastAsia="ko-KR"/>
        </w:rPr>
        <w:t xml:space="preserve"> and at most 1 carrier can be overlapping</w:t>
      </w:r>
      <w:r>
        <w:rPr>
          <w:rFonts w:eastAsia="Calibri" w:cs="Times New Roman"/>
          <w:szCs w:val="20"/>
          <w:lang w:val="en-GB"/>
        </w:rPr>
        <w:t>.</w:t>
      </w:r>
    </w:p>
    <w:p w14:paraId="379ED011" w14:textId="3BB82801" w:rsidR="00496718" w:rsidRDefault="00496718" w:rsidP="00496718">
      <w:pPr>
        <w:pStyle w:val="RAN4proposal"/>
        <w:rPr>
          <w:lang w:val="en-GB"/>
        </w:rPr>
      </w:pPr>
      <w:r>
        <w:rPr>
          <w:rFonts w:eastAsia="Calibri" w:cs="Times New Roman"/>
          <w:szCs w:val="20"/>
          <w:lang w:val="en-GB"/>
        </w:rPr>
        <w:lastRenderedPageBreak/>
        <w:t xml:space="preserve">UE </w:t>
      </w:r>
      <w:r w:rsidRPr="00CB1B16">
        <w:rPr>
          <w:lang w:eastAsia="ko-KR"/>
        </w:rPr>
        <w:t xml:space="preserve">shall support the idle mode CA measurements of at least </w:t>
      </w:r>
      <w:r>
        <w:rPr>
          <w:lang w:eastAsia="ko-KR"/>
        </w:rPr>
        <w:t xml:space="preserve">2 </w:t>
      </w:r>
      <w:r w:rsidRPr="00CB1B16">
        <w:rPr>
          <w:lang w:eastAsia="ko-KR"/>
        </w:rPr>
        <w:t>inter-frequency carriers of which zero or one inter-frequency carrier may be a non-overlapping carrier</w:t>
      </w:r>
      <w:r w:rsidRPr="00496718">
        <w:rPr>
          <w:lang w:eastAsia="ko-KR"/>
        </w:rPr>
        <w:t xml:space="preserve"> </w:t>
      </w:r>
      <w:r>
        <w:rPr>
          <w:lang w:eastAsia="ko-KR"/>
        </w:rPr>
        <w:t>and at most 1 inter-frequency carrier can be overlapping</w:t>
      </w:r>
      <w:r>
        <w:rPr>
          <w:rFonts w:eastAsia="Calibri" w:cs="Times New Roman"/>
          <w:szCs w:val="20"/>
          <w:lang w:val="en-GB"/>
        </w:rPr>
        <w:t>.</w:t>
      </w:r>
    </w:p>
    <w:p w14:paraId="62A0F2A4" w14:textId="77777777" w:rsidR="00496718" w:rsidRDefault="00496718" w:rsidP="00496718">
      <w:pPr>
        <w:ind w:right="-22"/>
        <w:rPr>
          <w:rFonts w:eastAsia="Calibri" w:cs="Times New Roman"/>
          <w:szCs w:val="20"/>
          <w:lang w:val="en-GB"/>
        </w:rPr>
      </w:pPr>
    </w:p>
    <w:p w14:paraId="53896EF2" w14:textId="2839FFA2" w:rsidR="00496718" w:rsidRPr="00ED74AC" w:rsidRDefault="00496718" w:rsidP="00496718">
      <w:pPr>
        <w:ind w:right="-22"/>
        <w:rPr>
          <w:rFonts w:eastAsia="Calibri" w:cs="Times New Roman"/>
          <w:szCs w:val="20"/>
          <w:lang w:val="en-GB"/>
        </w:rPr>
      </w:pPr>
      <w:r>
        <w:rPr>
          <w:rFonts w:eastAsia="Calibri" w:cs="Times New Roman"/>
          <w:szCs w:val="20"/>
          <w:lang w:val="en-GB"/>
        </w:rPr>
        <w:t>Additionally, as the RAN4 requirements in 36.133 section 4.9.2.2 refers to requirements in section 4.2.2.4, in which the s-</w:t>
      </w:r>
      <w:proofErr w:type="spellStart"/>
      <w:r>
        <w:rPr>
          <w:rFonts w:eastAsia="Calibri" w:cs="Times New Roman"/>
          <w:szCs w:val="20"/>
          <w:lang w:val="en-GB"/>
        </w:rPr>
        <w:t>NonIntraSearch</w:t>
      </w:r>
      <w:proofErr w:type="spellEnd"/>
      <w:r>
        <w:rPr>
          <w:rFonts w:eastAsia="Calibri" w:cs="Times New Roman"/>
          <w:szCs w:val="20"/>
          <w:lang w:val="en-GB"/>
        </w:rPr>
        <w:t xml:space="preserve"> may be applied, we propose to </w:t>
      </w:r>
      <w:r w:rsidR="00142B46">
        <w:rPr>
          <w:rFonts w:eastAsia="Calibri" w:cs="Times New Roman"/>
          <w:szCs w:val="20"/>
          <w:lang w:val="en-GB"/>
        </w:rPr>
        <w:t>clarify</w:t>
      </w:r>
      <w:r>
        <w:rPr>
          <w:rFonts w:eastAsia="Calibri" w:cs="Times New Roman"/>
          <w:szCs w:val="20"/>
          <w:lang w:val="en-GB"/>
        </w:rPr>
        <w:t xml:space="preserve"> in the RAN4 specification 36.133 section 4.9.2.2, that</w:t>
      </w:r>
      <w:r w:rsidR="00142B46">
        <w:rPr>
          <w:rFonts w:eastAsia="Calibri" w:cs="Times New Roman"/>
          <w:szCs w:val="20"/>
          <w:lang w:val="en-GB"/>
        </w:rPr>
        <w:t xml:space="preserve"> the</w:t>
      </w:r>
      <w:r>
        <w:rPr>
          <w:rFonts w:eastAsia="Calibri" w:cs="Times New Roman"/>
          <w:szCs w:val="20"/>
          <w:lang w:val="en-GB"/>
        </w:rPr>
        <w:t xml:space="preserve"> s-</w:t>
      </w:r>
      <w:proofErr w:type="spellStart"/>
      <w:r>
        <w:rPr>
          <w:rFonts w:eastAsia="Calibri" w:cs="Times New Roman"/>
          <w:szCs w:val="20"/>
          <w:lang w:val="en-GB"/>
        </w:rPr>
        <w:t>NonIntraSearch</w:t>
      </w:r>
      <w:proofErr w:type="spellEnd"/>
      <w:r>
        <w:rPr>
          <w:rFonts w:eastAsia="Calibri" w:cs="Times New Roman"/>
          <w:szCs w:val="20"/>
          <w:lang w:val="en-GB"/>
        </w:rPr>
        <w:t xml:space="preserve"> </w:t>
      </w:r>
      <w:r w:rsidR="00142B46">
        <w:rPr>
          <w:rFonts w:eastAsia="Calibri" w:cs="Times New Roman"/>
          <w:szCs w:val="20"/>
          <w:lang w:val="en-GB"/>
        </w:rPr>
        <w:t xml:space="preserve">thresholds </w:t>
      </w:r>
      <w:r>
        <w:rPr>
          <w:rFonts w:eastAsia="Calibri" w:cs="Times New Roman"/>
          <w:szCs w:val="20"/>
          <w:lang w:val="en-GB"/>
        </w:rPr>
        <w:t xml:space="preserve">do not apply </w:t>
      </w:r>
      <w:r w:rsidR="00142B46">
        <w:rPr>
          <w:rFonts w:eastAsia="Calibri" w:cs="Times New Roman"/>
          <w:szCs w:val="20"/>
          <w:lang w:val="en-GB"/>
        </w:rPr>
        <w:t>to</w:t>
      </w:r>
      <w:r>
        <w:rPr>
          <w:rFonts w:eastAsia="Calibri" w:cs="Times New Roman"/>
          <w:szCs w:val="20"/>
          <w:lang w:val="en-GB"/>
        </w:rPr>
        <w:t xml:space="preserve"> carriers configured for early measurement r</w:t>
      </w:r>
      <w:r w:rsidRPr="00ED74AC">
        <w:rPr>
          <w:rFonts w:eastAsia="Calibri" w:cs="Times New Roman"/>
          <w:szCs w:val="20"/>
          <w:lang w:val="en-GB"/>
        </w:rPr>
        <w:t>eporting.</w:t>
      </w:r>
    </w:p>
    <w:p w14:paraId="5A720CEF" w14:textId="6E960D00" w:rsidR="00496718" w:rsidRDefault="00496718" w:rsidP="00496718">
      <w:pPr>
        <w:pStyle w:val="RAN4proposal"/>
        <w:rPr>
          <w:lang w:val="en-GB"/>
        </w:rPr>
      </w:pPr>
      <w:r w:rsidRPr="00ED74AC">
        <w:rPr>
          <w:lang w:val="en-GB"/>
        </w:rPr>
        <w:t xml:space="preserve">Clarify </w:t>
      </w:r>
      <w:r>
        <w:rPr>
          <w:lang w:val="en-GB"/>
        </w:rPr>
        <w:t>in 36.133</w:t>
      </w:r>
      <w:r w:rsidRPr="00ED74AC">
        <w:rPr>
          <w:lang w:val="en-GB"/>
        </w:rPr>
        <w:t xml:space="preserve"> that </w:t>
      </w:r>
      <w:r w:rsidRPr="00ED74AC">
        <w:rPr>
          <w:noProof/>
        </w:rPr>
        <w:t xml:space="preserve">the fields s-NonIntraSearch in SystemInformationBlockType3 do not affect </w:t>
      </w:r>
      <w:r w:rsidRPr="00ED74AC">
        <w:rPr>
          <w:lang w:val="en-GB"/>
        </w:rPr>
        <w:t>measurements of inter-frequency CA candidate cells</w:t>
      </w:r>
      <w:r>
        <w:rPr>
          <w:lang w:val="en-GB"/>
        </w:rPr>
        <w:t>.</w:t>
      </w:r>
    </w:p>
    <w:p w14:paraId="6229BBC3" w14:textId="77777777" w:rsidR="002C2D19" w:rsidRDefault="002C2D19" w:rsidP="003B659E">
      <w:pPr>
        <w:ind w:right="-22"/>
        <w:rPr>
          <w:rFonts w:cs="Times New Roman"/>
        </w:rPr>
      </w:pPr>
    </w:p>
    <w:p w14:paraId="761516E1" w14:textId="6E453E05" w:rsidR="00CD7492" w:rsidRDefault="00CD7492" w:rsidP="00A37002">
      <w:pPr>
        <w:pStyle w:val="RAN4H1"/>
      </w:pPr>
      <w:r w:rsidRPr="00A37002">
        <w:t>Conclusion</w:t>
      </w:r>
    </w:p>
    <w:p w14:paraId="716935C2" w14:textId="208C5570" w:rsidR="00B56590" w:rsidRDefault="00B56590" w:rsidP="00B56590">
      <w:pPr>
        <w:rPr>
          <w:rFonts w:eastAsia="Calibri" w:cs="Times New Roman"/>
          <w:szCs w:val="20"/>
          <w:lang w:val="en-GB"/>
        </w:rPr>
      </w:pPr>
      <w:r>
        <w:rPr>
          <w:rFonts w:eastAsia="Calibri" w:cs="Times New Roman"/>
          <w:szCs w:val="20"/>
          <w:lang w:val="en-GB"/>
        </w:rPr>
        <w:t xml:space="preserve">In RAN4 it was agreed to align the RAN4 </w:t>
      </w:r>
      <w:proofErr w:type="spellStart"/>
      <w:r>
        <w:rPr>
          <w:rFonts w:eastAsia="Calibri" w:cs="Times New Roman"/>
          <w:szCs w:val="20"/>
          <w:lang w:val="en-GB"/>
        </w:rPr>
        <w:t>euCA</w:t>
      </w:r>
      <w:proofErr w:type="spellEnd"/>
      <w:r>
        <w:rPr>
          <w:rFonts w:eastAsia="Calibri" w:cs="Times New Roman"/>
          <w:szCs w:val="20"/>
          <w:lang w:val="en-GB"/>
        </w:rPr>
        <w:t xml:space="preserve"> requirements with the RAN2 decision stating th</w:t>
      </w:r>
      <w:r w:rsidR="001A0A82">
        <w:rPr>
          <w:rFonts w:eastAsia="Calibri" w:cs="Times New Roman"/>
          <w:szCs w:val="20"/>
          <w:lang w:val="en-GB"/>
        </w:rPr>
        <w:t>at</w:t>
      </w:r>
      <w:r>
        <w:rPr>
          <w:rFonts w:eastAsia="Calibri" w:cs="Times New Roman"/>
          <w:szCs w:val="20"/>
          <w:lang w:val="en-GB"/>
        </w:rPr>
        <w:t xml:space="preserve"> search thresholds (</w:t>
      </w:r>
      <w:r w:rsidR="008025E0">
        <w:rPr>
          <w:rFonts w:eastAsia="Calibri" w:cs="Times New Roman"/>
          <w:szCs w:val="20"/>
          <w:lang w:val="en-GB"/>
        </w:rPr>
        <w:t>s-</w:t>
      </w:r>
      <w:proofErr w:type="spellStart"/>
      <w:r w:rsidR="008025E0">
        <w:rPr>
          <w:rFonts w:eastAsia="Calibri" w:cs="Times New Roman"/>
          <w:szCs w:val="20"/>
          <w:lang w:val="en-GB"/>
        </w:rPr>
        <w:t>NonIntraSearch</w:t>
      </w:r>
      <w:proofErr w:type="spellEnd"/>
      <w:r>
        <w:rPr>
          <w:rFonts w:eastAsia="Calibri" w:cs="Times New Roman"/>
          <w:szCs w:val="20"/>
          <w:lang w:val="en-GB"/>
        </w:rPr>
        <w:t xml:space="preserve">) </w:t>
      </w:r>
      <w:r w:rsidR="001A0A82">
        <w:rPr>
          <w:rFonts w:eastAsia="Calibri" w:cs="Times New Roman"/>
          <w:szCs w:val="20"/>
          <w:lang w:val="en-GB"/>
        </w:rPr>
        <w:t>do</w:t>
      </w:r>
      <w:r>
        <w:rPr>
          <w:rFonts w:eastAsia="Calibri" w:cs="Times New Roman"/>
          <w:szCs w:val="20"/>
          <w:lang w:val="en-GB"/>
        </w:rPr>
        <w:t xml:space="preserve"> not appl</w:t>
      </w:r>
      <w:r w:rsidR="001A0A82">
        <w:rPr>
          <w:rFonts w:eastAsia="Calibri" w:cs="Times New Roman"/>
          <w:szCs w:val="20"/>
          <w:lang w:val="en-GB"/>
        </w:rPr>
        <w:t>y</w:t>
      </w:r>
      <w:r>
        <w:rPr>
          <w:rFonts w:eastAsia="Calibri" w:cs="Times New Roman"/>
          <w:szCs w:val="20"/>
          <w:lang w:val="en-GB"/>
        </w:rPr>
        <w:t xml:space="preserve"> </w:t>
      </w:r>
      <w:r w:rsidR="001A0A82">
        <w:rPr>
          <w:rFonts w:eastAsia="Calibri" w:cs="Times New Roman"/>
          <w:szCs w:val="20"/>
          <w:lang w:val="en-GB"/>
        </w:rPr>
        <w:t>to</w:t>
      </w:r>
      <w:r>
        <w:rPr>
          <w:rFonts w:eastAsia="Calibri" w:cs="Times New Roman"/>
          <w:szCs w:val="20"/>
          <w:lang w:val="en-GB"/>
        </w:rPr>
        <w:t xml:space="preserve"> carrier</w:t>
      </w:r>
      <w:r w:rsidR="001A0A82">
        <w:rPr>
          <w:rFonts w:eastAsia="Calibri" w:cs="Times New Roman"/>
          <w:szCs w:val="20"/>
          <w:lang w:val="en-GB"/>
        </w:rPr>
        <w:t>s</w:t>
      </w:r>
      <w:r>
        <w:rPr>
          <w:rFonts w:eastAsia="Calibri" w:cs="Times New Roman"/>
          <w:szCs w:val="20"/>
          <w:lang w:val="en-GB"/>
        </w:rPr>
        <w:t xml:space="preserve"> configured for early measurement reporting. The CR was endorsed in [</w:t>
      </w:r>
      <w:r w:rsidR="008025E0">
        <w:rPr>
          <w:rFonts w:eastAsia="Calibri" w:cs="Times New Roman"/>
          <w:szCs w:val="20"/>
          <w:lang w:val="en-GB"/>
        </w:rPr>
        <w:t>2</w:t>
      </w:r>
      <w:r>
        <w:rPr>
          <w:rFonts w:eastAsia="Calibri" w:cs="Times New Roman"/>
          <w:szCs w:val="20"/>
          <w:lang w:val="en-GB"/>
        </w:rPr>
        <w:t xml:space="preserve">]. </w:t>
      </w:r>
      <w:r w:rsidR="001A0A82">
        <w:rPr>
          <w:rFonts w:eastAsia="Calibri" w:cs="Times New Roman"/>
          <w:szCs w:val="20"/>
          <w:lang w:val="en-GB"/>
        </w:rPr>
        <w:t>However, there was n</w:t>
      </w:r>
      <w:r>
        <w:rPr>
          <w:rFonts w:eastAsia="Calibri" w:cs="Times New Roman"/>
          <w:szCs w:val="20"/>
          <w:lang w:val="en-GB"/>
        </w:rPr>
        <w:t xml:space="preserve">o agreement on the number of </w:t>
      </w:r>
      <w:r w:rsidR="001A0A82">
        <w:rPr>
          <w:rFonts w:eastAsia="Calibri" w:cs="Times New Roman"/>
          <w:szCs w:val="20"/>
          <w:lang w:val="en-GB"/>
        </w:rPr>
        <w:t xml:space="preserve">EMR </w:t>
      </w:r>
      <w:r>
        <w:rPr>
          <w:rFonts w:eastAsia="Calibri" w:cs="Times New Roman"/>
          <w:szCs w:val="20"/>
          <w:lang w:val="en-GB"/>
        </w:rPr>
        <w:t>carriers to monitor for early reporting in idle mode</w:t>
      </w:r>
      <w:r w:rsidR="008025E0">
        <w:rPr>
          <w:rFonts w:eastAsia="Calibri" w:cs="Times New Roman"/>
          <w:szCs w:val="20"/>
          <w:lang w:val="en-GB"/>
        </w:rPr>
        <w:t xml:space="preserve"> and based on the discussion in this paper we update our proposal:</w:t>
      </w:r>
    </w:p>
    <w:p w14:paraId="3190C2BA" w14:textId="77777777" w:rsidR="008025E0" w:rsidRPr="008025E0" w:rsidRDefault="008025E0" w:rsidP="008025E0">
      <w:pPr>
        <w:pStyle w:val="RAN4proposal"/>
        <w:numPr>
          <w:ilvl w:val="0"/>
          <w:numId w:val="21"/>
        </w:numPr>
        <w:rPr>
          <w:lang w:val="en-GB"/>
        </w:rPr>
      </w:pPr>
      <w:r w:rsidRPr="008025E0">
        <w:rPr>
          <w:rFonts w:eastAsia="Calibri" w:cs="Times New Roman"/>
          <w:szCs w:val="20"/>
          <w:lang w:val="en-GB"/>
        </w:rPr>
        <w:t xml:space="preserve">UE </w:t>
      </w:r>
      <w:r w:rsidRPr="00CB1B16">
        <w:rPr>
          <w:lang w:eastAsia="ko-KR"/>
        </w:rPr>
        <w:t xml:space="preserve">shall support the idle mode CA measurements of at least </w:t>
      </w:r>
      <w:r>
        <w:rPr>
          <w:lang w:eastAsia="ko-KR"/>
        </w:rPr>
        <w:t xml:space="preserve">2 </w:t>
      </w:r>
      <w:r w:rsidRPr="00CB1B16">
        <w:rPr>
          <w:lang w:eastAsia="ko-KR"/>
        </w:rPr>
        <w:t>inter-frequency carriers of which zero or one inter-frequency carrier may be a non-overlapping carrier</w:t>
      </w:r>
      <w:r w:rsidRPr="00496718">
        <w:rPr>
          <w:lang w:eastAsia="ko-KR"/>
        </w:rPr>
        <w:t xml:space="preserve"> </w:t>
      </w:r>
      <w:r>
        <w:rPr>
          <w:lang w:eastAsia="ko-KR"/>
        </w:rPr>
        <w:t>and at most 1 inter-frequency carrier can be overlapping</w:t>
      </w:r>
      <w:r w:rsidRPr="008025E0">
        <w:rPr>
          <w:rFonts w:eastAsia="Calibri" w:cs="Times New Roman"/>
          <w:szCs w:val="20"/>
          <w:lang w:val="en-GB"/>
        </w:rPr>
        <w:t>.</w:t>
      </w:r>
    </w:p>
    <w:p w14:paraId="276C6ED7" w14:textId="27966B63" w:rsidR="008025E0" w:rsidRDefault="008025E0" w:rsidP="00B56590">
      <w:pPr>
        <w:rPr>
          <w:lang w:val="en-GB"/>
        </w:rPr>
      </w:pPr>
      <w:r>
        <w:rPr>
          <w:rFonts w:eastAsia="Calibri" w:cs="Times New Roman"/>
          <w:szCs w:val="20"/>
          <w:lang w:val="en-GB"/>
        </w:rPr>
        <w:t>Additionally, we propose:</w:t>
      </w:r>
    </w:p>
    <w:p w14:paraId="1D3963A0" w14:textId="72D99B25" w:rsidR="002B4922" w:rsidRDefault="008025E0" w:rsidP="008025E0">
      <w:pPr>
        <w:pStyle w:val="RAN4proposal"/>
        <w:rPr>
          <w:lang w:val="en-GB"/>
        </w:rPr>
      </w:pPr>
      <w:r w:rsidRPr="00ED74AC">
        <w:rPr>
          <w:lang w:val="en-GB"/>
        </w:rPr>
        <w:t xml:space="preserve">Clarify </w:t>
      </w:r>
      <w:r>
        <w:rPr>
          <w:lang w:val="en-GB"/>
        </w:rPr>
        <w:t>in 36.133</w:t>
      </w:r>
      <w:r w:rsidRPr="00ED74AC">
        <w:rPr>
          <w:lang w:val="en-GB"/>
        </w:rPr>
        <w:t xml:space="preserve"> that </w:t>
      </w:r>
      <w:r w:rsidRPr="00ED74AC">
        <w:rPr>
          <w:noProof/>
        </w:rPr>
        <w:t xml:space="preserve">the fields s-NonIntraSearch in SystemInformationBlockType3 do not affect </w:t>
      </w:r>
      <w:r w:rsidRPr="00ED74AC">
        <w:rPr>
          <w:lang w:val="en-GB"/>
        </w:rPr>
        <w:t>measurements of inter-frequency CA candidate cells</w:t>
      </w:r>
      <w:r>
        <w:rPr>
          <w:lang w:val="en-GB"/>
        </w:rPr>
        <w:t>.</w:t>
      </w:r>
    </w:p>
    <w:p w14:paraId="2121C285" w14:textId="6E1F80BF" w:rsidR="008025E0" w:rsidRPr="008025E0" w:rsidRDefault="00DD4074" w:rsidP="008025E0">
      <w:pPr>
        <w:rPr>
          <w:lang w:val="en-GB"/>
        </w:rPr>
      </w:pPr>
      <w:r>
        <w:rPr>
          <w:lang w:val="en-GB"/>
        </w:rPr>
        <w:t>In [6] and [7] we have provided CRs.</w:t>
      </w:r>
    </w:p>
    <w:p w14:paraId="3DAFBD41" w14:textId="77777777" w:rsidR="003B659E" w:rsidRPr="0095295C" w:rsidRDefault="003B659E" w:rsidP="0008612A">
      <w:pPr>
        <w:pStyle w:val="RAN4H1"/>
      </w:pPr>
      <w:r w:rsidRPr="0095295C">
        <w:t>References</w:t>
      </w:r>
    </w:p>
    <w:p w14:paraId="19FC2F12" w14:textId="2AFE453B" w:rsidR="003B659E" w:rsidRPr="003F2C6A" w:rsidRDefault="008025E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3F2C6A">
        <w:rPr>
          <w:rFonts w:eastAsia="Times New Roman" w:cs="Times New Roman" w:hint="eastAsia"/>
          <w:szCs w:val="20"/>
          <w:lang w:val="en-GB"/>
        </w:rPr>
        <w:t>R</w:t>
      </w:r>
      <w:r w:rsidRPr="003F2C6A">
        <w:rPr>
          <w:rFonts w:eastAsia="Times New Roman" w:cs="Times New Roman"/>
          <w:szCs w:val="20"/>
          <w:lang w:val="en-GB"/>
        </w:rPr>
        <w:t>4</w:t>
      </w:r>
      <w:r w:rsidRPr="003F2C6A">
        <w:rPr>
          <w:rFonts w:eastAsia="Times New Roman" w:cs="Times New Roman" w:hint="eastAsia"/>
          <w:szCs w:val="20"/>
          <w:lang w:val="en-GB"/>
        </w:rPr>
        <w:t>-</w:t>
      </w:r>
      <w:r w:rsidRPr="003F2C6A">
        <w:rPr>
          <w:rFonts w:eastAsia="Times New Roman" w:cs="Times New Roman"/>
          <w:szCs w:val="20"/>
          <w:lang w:val="en-GB"/>
        </w:rPr>
        <w:t>1914463</w:t>
      </w:r>
      <w:r w:rsidR="003B659E" w:rsidRPr="003F2C6A">
        <w:rPr>
          <w:rFonts w:eastAsia="Times New Roman" w:cs="Times New Roman"/>
          <w:szCs w:val="20"/>
          <w:lang w:val="en-GB"/>
        </w:rPr>
        <w:t xml:space="preserve">, </w:t>
      </w:r>
      <w:r w:rsidRPr="003F2C6A">
        <w:rPr>
          <w:rFonts w:eastAsia="Times New Roman" w:cs="Times New Roman"/>
          <w:szCs w:val="20"/>
          <w:lang w:val="en-GB"/>
        </w:rPr>
        <w:t xml:space="preserve">Discussion on number of carriers to measure in </w:t>
      </w:r>
      <w:proofErr w:type="spellStart"/>
      <w:r w:rsidRPr="003F2C6A">
        <w:rPr>
          <w:rFonts w:eastAsia="Times New Roman" w:cs="Times New Roman"/>
          <w:szCs w:val="20"/>
          <w:lang w:val="en-GB"/>
        </w:rPr>
        <w:t>euCA</w:t>
      </w:r>
      <w:proofErr w:type="spellEnd"/>
      <w:r w:rsidR="003B659E" w:rsidRPr="003F2C6A">
        <w:rPr>
          <w:rFonts w:eastAsia="Times New Roman" w:cs="Times New Roman"/>
          <w:szCs w:val="20"/>
          <w:lang w:val="en-GB"/>
        </w:rPr>
        <w:t xml:space="preserve">, Nokia, </w:t>
      </w:r>
      <w:r w:rsidR="003F2C6A" w:rsidRPr="003F2C6A">
        <w:rPr>
          <w:rFonts w:eastAsia="Times New Roman" w:cs="Times New Roman"/>
          <w:szCs w:val="20"/>
          <w:lang w:val="en-GB"/>
        </w:rPr>
        <w:t>Nokia</w:t>
      </w:r>
      <w:r w:rsidR="003B659E" w:rsidRPr="003F2C6A">
        <w:rPr>
          <w:rFonts w:eastAsia="Times New Roman" w:cs="Times New Roman"/>
          <w:szCs w:val="20"/>
          <w:lang w:val="en-GB"/>
        </w:rPr>
        <w:t xml:space="preserve"> Shanghai Bell</w:t>
      </w:r>
      <w:r w:rsidR="003B659E" w:rsidRPr="003F2C6A" w:rsidDel="00C651B9">
        <w:rPr>
          <w:rFonts w:eastAsia="Times New Roman" w:cs="Times New Roman"/>
          <w:szCs w:val="20"/>
          <w:lang w:val="en-GB"/>
        </w:rPr>
        <w:t xml:space="preserve"> </w:t>
      </w:r>
      <w:bookmarkEnd w:id="4"/>
    </w:p>
    <w:p w14:paraId="6D7AAEFE" w14:textId="48F278C0" w:rsidR="008025E0" w:rsidRPr="003F2C6A" w:rsidRDefault="008025E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F2C6A">
        <w:rPr>
          <w:rFonts w:eastAsia="Times New Roman" w:cs="Times New Roman"/>
          <w:szCs w:val="20"/>
          <w:lang w:val="en-GB"/>
        </w:rPr>
        <w:fldChar w:fldCharType="begin"/>
      </w:r>
      <w:r w:rsidRPr="003F2C6A">
        <w:rPr>
          <w:rFonts w:eastAsia="Times New Roman" w:cs="Times New Roman"/>
          <w:szCs w:val="20"/>
          <w:lang w:val="en-GB"/>
        </w:rPr>
        <w:instrText xml:space="preserve"> DOCPROPERTY  Tdoc#  \* MERGEFORMAT </w:instrText>
      </w:r>
      <w:r w:rsidRPr="003F2C6A">
        <w:rPr>
          <w:rFonts w:eastAsia="Times New Roman" w:cs="Times New Roman"/>
          <w:szCs w:val="20"/>
          <w:lang w:val="en-GB"/>
        </w:rPr>
        <w:fldChar w:fldCharType="separate"/>
      </w:r>
      <w:r w:rsidRPr="003F2C6A">
        <w:rPr>
          <w:rFonts w:eastAsia="Times New Roman" w:cs="Times New Roman"/>
          <w:szCs w:val="20"/>
          <w:lang w:val="en-GB"/>
        </w:rPr>
        <w:t>R4-</w:t>
      </w:r>
      <w:r w:rsidRPr="003F2C6A">
        <w:rPr>
          <w:rFonts w:eastAsia="Times New Roman" w:cs="Times New Roman"/>
          <w:szCs w:val="20"/>
          <w:lang w:val="en-GB"/>
        </w:rPr>
        <w:fldChar w:fldCharType="end"/>
      </w:r>
      <w:r w:rsidRPr="003F2C6A">
        <w:rPr>
          <w:rFonts w:eastAsia="Times New Roman" w:cs="Times New Roman"/>
          <w:szCs w:val="20"/>
          <w:lang w:val="en-GB"/>
        </w:rPr>
        <w:t xml:space="preserve">1912845, </w:t>
      </w:r>
      <w:bookmarkStart w:id="5" w:name="_Hlk21016008"/>
      <w:r w:rsidRPr="003F2C6A">
        <w:rPr>
          <w:rFonts w:eastAsia="Times New Roman" w:cs="Times New Roman"/>
          <w:bCs/>
          <w:szCs w:val="20"/>
          <w:lang w:val="en-GB"/>
        </w:rPr>
        <w:t>Correction to S-measure threshold applicability in IDLE mode measurements</w:t>
      </w:r>
      <w:bookmarkEnd w:id="5"/>
      <w:r w:rsidRPr="003F2C6A">
        <w:rPr>
          <w:rFonts w:eastAsia="Times New Roman" w:cs="Times New Roman"/>
          <w:szCs w:val="20"/>
          <w:lang w:val="en-GB"/>
        </w:rPr>
        <w:t xml:space="preserve">, Nokia, </w:t>
      </w:r>
      <w:r w:rsidR="003F2C6A" w:rsidRPr="003F2C6A">
        <w:rPr>
          <w:rFonts w:eastAsia="Times New Roman" w:cs="Times New Roman"/>
          <w:szCs w:val="20"/>
          <w:lang w:val="en-GB"/>
        </w:rPr>
        <w:t xml:space="preserve">Nokia </w:t>
      </w:r>
      <w:r w:rsidRPr="003F2C6A">
        <w:rPr>
          <w:rFonts w:eastAsia="Times New Roman" w:cs="Times New Roman"/>
          <w:szCs w:val="20"/>
          <w:lang w:val="en-GB"/>
        </w:rPr>
        <w:t>Shanghai Bell</w:t>
      </w:r>
    </w:p>
    <w:p w14:paraId="190F42C2" w14:textId="01B8EEE9" w:rsidR="003F2C6A" w:rsidRPr="003F2C6A" w:rsidRDefault="003F2C6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F2C6A">
        <w:rPr>
          <w:rFonts w:eastAsia="Times New Roman" w:cs="Times New Roman"/>
          <w:szCs w:val="20"/>
          <w:lang w:val="en-GB"/>
        </w:rPr>
        <w:t xml:space="preserve">R4-1914463, Discussion on number of carriers to measure in </w:t>
      </w:r>
      <w:proofErr w:type="spellStart"/>
      <w:r w:rsidRPr="003F2C6A">
        <w:rPr>
          <w:rFonts w:eastAsia="Times New Roman" w:cs="Times New Roman"/>
          <w:szCs w:val="20"/>
          <w:lang w:val="en-GB"/>
        </w:rPr>
        <w:t>euCA</w:t>
      </w:r>
      <w:proofErr w:type="spellEnd"/>
      <w:r w:rsidRPr="003F2C6A">
        <w:rPr>
          <w:rFonts w:eastAsia="Times New Roman" w:cs="Times New Roman"/>
          <w:szCs w:val="20"/>
          <w:lang w:val="en-GB"/>
        </w:rPr>
        <w:t>, Nokia, Nokia Shanghai Bell</w:t>
      </w:r>
    </w:p>
    <w:p w14:paraId="2DE5D0AB" w14:textId="0139F6A1" w:rsidR="003F2C6A" w:rsidRPr="003F2C6A" w:rsidRDefault="003F2C6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F2C6A">
        <w:rPr>
          <w:rFonts w:eastAsia="Times New Roman" w:cs="Times New Roman"/>
          <w:szCs w:val="20"/>
          <w:lang w:val="en-GB"/>
        </w:rPr>
        <w:t>R4-1914464, CR on Number of carriers to monitor for IDLE mode measurements, Nokia, Nokia Shanghai Bell</w:t>
      </w:r>
    </w:p>
    <w:p w14:paraId="341957AE" w14:textId="364516C9" w:rsidR="003F2C6A" w:rsidRDefault="003F2C6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F2C6A">
        <w:rPr>
          <w:rFonts w:eastAsia="Times New Roman" w:cs="Times New Roman"/>
          <w:szCs w:val="20"/>
          <w:lang w:val="en-GB"/>
        </w:rPr>
        <w:t>R4-1915554, Correction to S-measure threshold applicability in IDLE mode measurements, Nokia, Nokia Shanghai Bell</w:t>
      </w:r>
    </w:p>
    <w:p w14:paraId="1387FBE2" w14:textId="0D134A50" w:rsidR="00C43176" w:rsidRDefault="00DD407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F2C6A">
        <w:rPr>
          <w:rFonts w:eastAsia="Times New Roman" w:cs="Times New Roman"/>
          <w:szCs w:val="20"/>
          <w:lang w:val="en-GB"/>
        </w:rPr>
        <w:t>R4-</w:t>
      </w:r>
      <w:r>
        <w:rPr>
          <w:rFonts w:eastAsia="Times New Roman" w:cs="Times New Roman"/>
          <w:szCs w:val="20"/>
          <w:lang w:val="en-GB"/>
        </w:rPr>
        <w:t>200</w:t>
      </w:r>
      <w:r w:rsidR="000F41D0">
        <w:rPr>
          <w:rFonts w:eastAsia="Times New Roman" w:cs="Times New Roman"/>
          <w:szCs w:val="20"/>
          <w:lang w:val="en-GB"/>
        </w:rPr>
        <w:t>7147</w:t>
      </w:r>
      <w:r w:rsidRPr="003F2C6A">
        <w:rPr>
          <w:rFonts w:eastAsia="Times New Roman" w:cs="Times New Roman"/>
          <w:szCs w:val="20"/>
          <w:lang w:val="en-GB"/>
        </w:rPr>
        <w:t xml:space="preserve">, </w:t>
      </w:r>
      <w:r w:rsidRPr="00DD4074">
        <w:rPr>
          <w:rFonts w:eastAsia="Times New Roman" w:cs="Times New Roman"/>
          <w:szCs w:val="20"/>
          <w:lang w:val="en-GB"/>
        </w:rPr>
        <w:t>CR on Number of carriers to monitor for IDLE mode measurements</w:t>
      </w:r>
      <w:r>
        <w:rPr>
          <w:rFonts w:eastAsia="Times New Roman" w:cs="Times New Roman"/>
          <w:szCs w:val="20"/>
          <w:lang w:val="en-GB"/>
        </w:rPr>
        <w:t xml:space="preserve">, </w:t>
      </w:r>
      <w:r w:rsidRPr="003F2C6A">
        <w:rPr>
          <w:rFonts w:eastAsia="Times New Roman" w:cs="Times New Roman"/>
          <w:szCs w:val="20"/>
          <w:lang w:val="en-GB"/>
        </w:rPr>
        <w:t>Nokia, Nokia Shanghai Bell</w:t>
      </w:r>
    </w:p>
    <w:p w14:paraId="5A80BFCB" w14:textId="19EBF365" w:rsidR="00E737CD" w:rsidRPr="003F2C6A" w:rsidRDefault="00DD407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F2C6A">
        <w:rPr>
          <w:rFonts w:eastAsia="Times New Roman" w:cs="Times New Roman"/>
          <w:szCs w:val="20"/>
          <w:lang w:val="en-GB"/>
        </w:rPr>
        <w:t>R4-</w:t>
      </w:r>
      <w:r>
        <w:rPr>
          <w:rFonts w:eastAsia="Times New Roman" w:cs="Times New Roman"/>
          <w:szCs w:val="20"/>
          <w:lang w:val="en-GB"/>
        </w:rPr>
        <w:t>200</w:t>
      </w:r>
      <w:r w:rsidR="000F41D0">
        <w:rPr>
          <w:rFonts w:eastAsia="Times New Roman" w:cs="Times New Roman"/>
          <w:szCs w:val="20"/>
          <w:lang w:val="en-GB"/>
        </w:rPr>
        <w:t>7149</w:t>
      </w:r>
      <w:r w:rsidRPr="003F2C6A">
        <w:rPr>
          <w:rFonts w:eastAsia="Times New Roman" w:cs="Times New Roman"/>
          <w:szCs w:val="20"/>
          <w:lang w:val="en-GB"/>
        </w:rPr>
        <w:t xml:space="preserve">, </w:t>
      </w:r>
      <w:r w:rsidRPr="00DD4074">
        <w:rPr>
          <w:rFonts w:eastAsia="Times New Roman" w:cs="Times New Roman"/>
          <w:szCs w:val="20"/>
          <w:lang w:val="en-GB"/>
        </w:rPr>
        <w:t>CR clarifying S-measure thresholds for EMR carriers</w:t>
      </w:r>
      <w:r>
        <w:rPr>
          <w:rFonts w:eastAsia="Times New Roman" w:cs="Times New Roman"/>
          <w:szCs w:val="20"/>
          <w:lang w:val="en-GB"/>
        </w:rPr>
        <w:t xml:space="preserve">, </w:t>
      </w:r>
      <w:r w:rsidRPr="003F2C6A">
        <w:rPr>
          <w:rFonts w:eastAsia="Times New Roman" w:cs="Times New Roman"/>
          <w:szCs w:val="20"/>
          <w:lang w:val="en-GB"/>
        </w:rPr>
        <w:t>Nokia, Nokia Shanghai Bell</w:t>
      </w:r>
    </w:p>
    <w:p w14:paraId="7AA691D0" w14:textId="77777777" w:rsidR="003B659E" w:rsidRDefault="003B659E" w:rsidP="00841BCD">
      <w:pPr>
        <w:ind w:right="-22"/>
        <w:rPr>
          <w:lang w:val="en-GB"/>
        </w:rPr>
      </w:pPr>
    </w:p>
    <w:sectPr w:rsid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BEA64" w14:textId="77777777" w:rsidR="001210DE" w:rsidRDefault="001210DE" w:rsidP="00001C9B">
      <w:pPr>
        <w:spacing w:after="0" w:line="240" w:lineRule="auto"/>
      </w:pPr>
      <w:r>
        <w:separator/>
      </w:r>
    </w:p>
  </w:endnote>
  <w:endnote w:type="continuationSeparator" w:id="0">
    <w:p w14:paraId="583AD1F1" w14:textId="77777777" w:rsidR="001210DE" w:rsidRDefault="001210D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52978" w14:textId="77777777" w:rsidR="001210DE" w:rsidRDefault="001210DE" w:rsidP="00001C9B">
      <w:pPr>
        <w:spacing w:after="0" w:line="240" w:lineRule="auto"/>
      </w:pPr>
      <w:r>
        <w:separator/>
      </w:r>
    </w:p>
  </w:footnote>
  <w:footnote w:type="continuationSeparator" w:id="0">
    <w:p w14:paraId="59334E88" w14:textId="77777777" w:rsidR="001210DE" w:rsidRDefault="001210D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9"/>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0"/>
  </w:num>
  <w:num w:numId="16">
    <w:abstractNumId w:val="1"/>
  </w:num>
  <w:num w:numId="17">
    <w:abstractNumId w:val="8"/>
  </w:num>
  <w:num w:numId="18">
    <w:abstractNumId w:val="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0F41D0"/>
    <w:rsid w:val="001210DE"/>
    <w:rsid w:val="00142B46"/>
    <w:rsid w:val="001745F8"/>
    <w:rsid w:val="00176671"/>
    <w:rsid w:val="001838CF"/>
    <w:rsid w:val="001A0A82"/>
    <w:rsid w:val="001C2F6D"/>
    <w:rsid w:val="001E30F6"/>
    <w:rsid w:val="00235F5C"/>
    <w:rsid w:val="00280412"/>
    <w:rsid w:val="002B4922"/>
    <w:rsid w:val="002C2D19"/>
    <w:rsid w:val="002D10FA"/>
    <w:rsid w:val="002D4C55"/>
    <w:rsid w:val="00363CF1"/>
    <w:rsid w:val="003810E2"/>
    <w:rsid w:val="003B659E"/>
    <w:rsid w:val="003F2C6A"/>
    <w:rsid w:val="00417AA0"/>
    <w:rsid w:val="00430497"/>
    <w:rsid w:val="0043750A"/>
    <w:rsid w:val="00496718"/>
    <w:rsid w:val="004A6E44"/>
    <w:rsid w:val="004B7B4A"/>
    <w:rsid w:val="004E3C86"/>
    <w:rsid w:val="004E5E66"/>
    <w:rsid w:val="00503B4D"/>
    <w:rsid w:val="00504EE9"/>
    <w:rsid w:val="0054442C"/>
    <w:rsid w:val="00550285"/>
    <w:rsid w:val="005836F8"/>
    <w:rsid w:val="005918FA"/>
    <w:rsid w:val="005E3125"/>
    <w:rsid w:val="005E61A8"/>
    <w:rsid w:val="005F6419"/>
    <w:rsid w:val="00617400"/>
    <w:rsid w:val="00664950"/>
    <w:rsid w:val="00683220"/>
    <w:rsid w:val="00687FA0"/>
    <w:rsid w:val="006B7010"/>
    <w:rsid w:val="007145FF"/>
    <w:rsid w:val="00751515"/>
    <w:rsid w:val="00785232"/>
    <w:rsid w:val="007C3ED0"/>
    <w:rsid w:val="008025E0"/>
    <w:rsid w:val="00806A76"/>
    <w:rsid w:val="00811C9D"/>
    <w:rsid w:val="00816C80"/>
    <w:rsid w:val="00841BCD"/>
    <w:rsid w:val="008826C1"/>
    <w:rsid w:val="009042BD"/>
    <w:rsid w:val="00977E1D"/>
    <w:rsid w:val="009C003D"/>
    <w:rsid w:val="00A22B78"/>
    <w:rsid w:val="00A25AE5"/>
    <w:rsid w:val="00A37002"/>
    <w:rsid w:val="00AA1B0E"/>
    <w:rsid w:val="00AC5CA7"/>
    <w:rsid w:val="00AD12FA"/>
    <w:rsid w:val="00AE56B1"/>
    <w:rsid w:val="00B56590"/>
    <w:rsid w:val="00B73862"/>
    <w:rsid w:val="00BA6900"/>
    <w:rsid w:val="00BA6E48"/>
    <w:rsid w:val="00BA724E"/>
    <w:rsid w:val="00BF2218"/>
    <w:rsid w:val="00C43176"/>
    <w:rsid w:val="00C71A19"/>
    <w:rsid w:val="00C94120"/>
    <w:rsid w:val="00CD7492"/>
    <w:rsid w:val="00CE3A6B"/>
    <w:rsid w:val="00D00211"/>
    <w:rsid w:val="00D06309"/>
    <w:rsid w:val="00D27872"/>
    <w:rsid w:val="00D351EA"/>
    <w:rsid w:val="00D43403"/>
    <w:rsid w:val="00D62E71"/>
    <w:rsid w:val="00D740CA"/>
    <w:rsid w:val="00D85728"/>
    <w:rsid w:val="00DA2EF9"/>
    <w:rsid w:val="00DD4074"/>
    <w:rsid w:val="00DD5316"/>
    <w:rsid w:val="00DD555A"/>
    <w:rsid w:val="00DF2997"/>
    <w:rsid w:val="00E34CD6"/>
    <w:rsid w:val="00E737CD"/>
    <w:rsid w:val="00EA17AC"/>
    <w:rsid w:val="00EC7BC3"/>
    <w:rsid w:val="00ED7600"/>
    <w:rsid w:val="00EF2A70"/>
    <w:rsid w:val="00F1362C"/>
    <w:rsid w:val="00F36177"/>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8086E-B3D3-488E-85BE-D1D064F7B3FF}">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6635BAF2-417A-4432-B63F-030B35114D34}">
  <ds:schemaRefs>
    <ds:schemaRef ds:uri="http://schemas.microsoft.com/sharepoint/v3/contenttype/forms"/>
  </ds:schemaRefs>
</ds:datastoreItem>
</file>

<file path=customXml/itemProps3.xml><?xml version="1.0" encoding="utf-8"?>
<ds:datastoreItem xmlns:ds="http://schemas.openxmlformats.org/officeDocument/2006/customXml" ds:itemID="{D79529CA-F3BE-4EC8-B3D6-49A20555999B}">
  <ds:schemaRefs>
    <ds:schemaRef ds:uri="http://schemas.microsoft.com/sharepoint/events"/>
  </ds:schemaRefs>
</ds:datastoreItem>
</file>

<file path=customXml/itemProps4.xml><?xml version="1.0" encoding="utf-8"?>
<ds:datastoreItem xmlns:ds="http://schemas.openxmlformats.org/officeDocument/2006/customXml" ds:itemID="{A5E1A517-E31B-434A-88A8-E609DD35E27F}">
  <ds:schemaRefs>
    <ds:schemaRef ds:uri="Microsoft.SharePoint.Taxonomy.ContentTypeSync"/>
  </ds:schemaRefs>
</ds:datastoreItem>
</file>

<file path=customXml/itemProps5.xml><?xml version="1.0" encoding="utf-8"?>
<ds:datastoreItem xmlns:ds="http://schemas.openxmlformats.org/officeDocument/2006/customXml" ds:itemID="{542084C2-FBBE-49FD-B173-0FFFEAFA5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96A950-16EF-4CE4-84D7-6226ED88B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885</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2020-05-15T17:52:00Z</dcterms:created>
  <dcterms:modified xsi:type="dcterms:W3CDTF">2020-05-15T17:52:00Z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