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2A2852" w14:textId="2BD420D7" w:rsidR="00F23939" w:rsidRPr="00FB025D" w:rsidRDefault="00F23939" w:rsidP="00F23939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94</w:t>
      </w:r>
      <w:r w:rsidR="00EE2BD0">
        <w:rPr>
          <w:rFonts w:cs="Arial"/>
          <w:sz w:val="24"/>
          <w:szCs w:val="24"/>
        </w:rPr>
        <w:t>bis</w:t>
      </w:r>
      <w:r w:rsidRPr="00207615">
        <w:rPr>
          <w:rFonts w:cs="Arial"/>
          <w:sz w:val="24"/>
          <w:szCs w:val="24"/>
        </w:rPr>
        <w:tab/>
      </w:r>
      <w:r w:rsidR="00FB025D" w:rsidRPr="0038753C">
        <w:rPr>
          <w:rFonts w:eastAsia="Times New Roman" w:cs="Arial"/>
          <w:color w:val="333333"/>
          <w:sz w:val="24"/>
          <w:szCs w:val="24"/>
        </w:rPr>
        <w:t>R4-2004806</w:t>
      </w:r>
    </w:p>
    <w:p w14:paraId="5559D836" w14:textId="26A7C440" w:rsidR="00F23939" w:rsidRPr="00ED7DA7" w:rsidRDefault="00F23939" w:rsidP="00F23939">
      <w:pPr>
        <w:pStyle w:val="Header"/>
        <w:rPr>
          <w:bCs/>
          <w:noProof w:val="0"/>
          <w:lang w:val="en-GB"/>
        </w:rPr>
      </w:pPr>
      <w:r w:rsidRPr="00ED7DA7">
        <w:rPr>
          <w:rFonts w:eastAsia="SimSun"/>
          <w:bCs/>
          <w:sz w:val="24"/>
          <w:szCs w:val="24"/>
          <w:lang w:eastAsia="zh-CN"/>
        </w:rPr>
        <w:t>E-meeting, 2</w:t>
      </w:r>
      <w:r w:rsidR="00522CBC">
        <w:rPr>
          <w:rFonts w:eastAsia="SimSun"/>
          <w:bCs/>
          <w:sz w:val="24"/>
          <w:szCs w:val="24"/>
          <w:lang w:eastAsia="zh-CN"/>
        </w:rPr>
        <w:t>0</w:t>
      </w:r>
      <w:r w:rsidRPr="00ED7DA7">
        <w:rPr>
          <w:rFonts w:eastAsia="SimSun"/>
          <w:bCs/>
          <w:sz w:val="24"/>
          <w:szCs w:val="24"/>
          <w:lang w:eastAsia="zh-CN"/>
        </w:rPr>
        <w:t xml:space="preserve"> </w:t>
      </w:r>
      <w:r w:rsidR="00522CBC">
        <w:rPr>
          <w:rFonts w:eastAsia="SimSun"/>
          <w:bCs/>
          <w:sz w:val="24"/>
          <w:szCs w:val="24"/>
          <w:lang w:eastAsia="zh-CN"/>
        </w:rPr>
        <w:t>April</w:t>
      </w:r>
      <w:r w:rsidRPr="00ED7DA7">
        <w:rPr>
          <w:rFonts w:eastAsia="SimSun"/>
          <w:bCs/>
          <w:sz w:val="24"/>
          <w:szCs w:val="24"/>
          <w:lang w:eastAsia="zh-CN"/>
        </w:rPr>
        <w:t xml:space="preserve"> – </w:t>
      </w:r>
      <w:r w:rsidR="00522CBC">
        <w:rPr>
          <w:rFonts w:eastAsia="SimSun"/>
          <w:bCs/>
          <w:sz w:val="24"/>
          <w:szCs w:val="24"/>
          <w:lang w:eastAsia="zh-CN"/>
        </w:rPr>
        <w:t>1</w:t>
      </w:r>
      <w:r w:rsidRPr="00ED7DA7">
        <w:rPr>
          <w:rFonts w:eastAsia="SimSun"/>
          <w:bCs/>
          <w:sz w:val="24"/>
          <w:szCs w:val="24"/>
          <w:lang w:eastAsia="zh-CN"/>
        </w:rPr>
        <w:t xml:space="preserve"> Ma</w:t>
      </w:r>
      <w:r w:rsidR="00522CBC">
        <w:rPr>
          <w:rFonts w:eastAsia="SimSun"/>
          <w:bCs/>
          <w:sz w:val="24"/>
          <w:szCs w:val="24"/>
          <w:lang w:eastAsia="zh-CN"/>
        </w:rPr>
        <w:t>y</w:t>
      </w:r>
      <w:r w:rsidRPr="00ED7DA7">
        <w:rPr>
          <w:rFonts w:eastAsia="SimSun"/>
          <w:bCs/>
          <w:sz w:val="24"/>
          <w:szCs w:val="24"/>
          <w:lang w:eastAsia="zh-CN"/>
        </w:rPr>
        <w:t>, 2020</w:t>
      </w:r>
    </w:p>
    <w:p w14:paraId="72C8645C" w14:textId="77777777" w:rsidR="00F23939" w:rsidRPr="008C4D7E" w:rsidRDefault="00F23939" w:rsidP="00F23939">
      <w:pPr>
        <w:pStyle w:val="Header"/>
        <w:rPr>
          <w:noProof w:val="0"/>
          <w:lang w:val="en-GB"/>
        </w:rPr>
      </w:pPr>
    </w:p>
    <w:p w14:paraId="0CBF07F9" w14:textId="77777777" w:rsidR="00F23939" w:rsidRDefault="00F23939" w:rsidP="00F23939">
      <w:pPr>
        <w:pStyle w:val="Footer"/>
        <w:rPr>
          <w:noProof w:val="0"/>
        </w:rPr>
      </w:pPr>
    </w:p>
    <w:p w14:paraId="17A19A53" w14:textId="1DDFAC18" w:rsidR="00F23939" w:rsidRDefault="00F23939" w:rsidP="00F23939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543BB4">
        <w:rPr>
          <w:rFonts w:ascii="Arial" w:hAnsi="Arial"/>
          <w:sz w:val="24"/>
          <w:lang w:val="en-US"/>
        </w:rPr>
        <w:t>6.5.3.4</w:t>
      </w:r>
    </w:p>
    <w:p w14:paraId="2DAA24D7" w14:textId="77777777" w:rsidR="00F23939" w:rsidRDefault="00F23939" w:rsidP="00F23939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Qualcomm Incorporated</w:t>
      </w:r>
    </w:p>
    <w:p w14:paraId="735418E7" w14:textId="135C775F" w:rsidR="00F23939" w:rsidRPr="00F60377" w:rsidRDefault="00F23939" w:rsidP="00F23939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  <w:t xml:space="preserve">IAB-MT </w:t>
      </w:r>
      <w:r w:rsidR="00942137">
        <w:rPr>
          <w:rFonts w:ascii="Arial" w:hAnsi="Arial"/>
          <w:sz w:val="24"/>
          <w:lang w:val="en-US"/>
        </w:rPr>
        <w:t>RLM requirements</w:t>
      </w:r>
    </w:p>
    <w:p w14:paraId="7C4C5D16" w14:textId="77777777" w:rsidR="00F23939" w:rsidRDefault="00F23939" w:rsidP="00F23939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  <w:t>Discussion</w:t>
      </w:r>
    </w:p>
    <w:p w14:paraId="189C08E9" w14:textId="77777777" w:rsidR="00F23939" w:rsidRDefault="00F23939" w:rsidP="00F23939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42727F20" w14:textId="77336E0A" w:rsidR="00B634A9" w:rsidRDefault="001E4A36" w:rsidP="00F23939">
      <w:pPr>
        <w:rPr>
          <w:lang w:val="en-US"/>
        </w:rPr>
      </w:pPr>
      <w:r>
        <w:rPr>
          <w:lang w:val="en-US"/>
        </w:rPr>
        <w:t xml:space="preserve">During the last </w:t>
      </w:r>
      <w:r w:rsidR="003E298D">
        <w:rPr>
          <w:lang w:val="en-US"/>
        </w:rPr>
        <w:t xml:space="preserve">meeting, RAN4 made </w:t>
      </w:r>
      <w:r w:rsidR="00BA5082">
        <w:rPr>
          <w:lang w:val="en-US"/>
        </w:rPr>
        <w:t xml:space="preserve">a couple of agreements regarding </w:t>
      </w:r>
      <w:r w:rsidR="00C01B65">
        <w:rPr>
          <w:lang w:val="en-US"/>
        </w:rPr>
        <w:t>RLM. Several issues are still open for discussion. We discuss those issues and provide our opinions in this contribution.</w:t>
      </w:r>
    </w:p>
    <w:p w14:paraId="4F6DC473" w14:textId="77777777" w:rsidR="00741EA5" w:rsidRPr="00582347" w:rsidRDefault="00741EA5" w:rsidP="00F23939">
      <w:pPr>
        <w:rPr>
          <w:lang w:val="en-US"/>
        </w:rPr>
      </w:pPr>
    </w:p>
    <w:p w14:paraId="17438EAB" w14:textId="15F2A35C" w:rsidR="00F23939" w:rsidRDefault="00726EAE" w:rsidP="00F23939">
      <w:pPr>
        <w:pStyle w:val="Heading1"/>
      </w:pPr>
      <w:r>
        <w:t>Evaluation Period</w:t>
      </w:r>
      <w:r w:rsidR="000208E4">
        <w:t xml:space="preserve"> for RLM</w:t>
      </w:r>
    </w:p>
    <w:p w14:paraId="66B77B11" w14:textId="768A7E7E" w:rsidR="001D56D7" w:rsidRPr="000835D1" w:rsidRDefault="004438B0" w:rsidP="001D56D7">
      <w:r>
        <w:t>RAN4 discussed the evaluation period of RLM measurement during the last meeting</w:t>
      </w:r>
      <w:r w:rsidR="006765AE">
        <w:t xml:space="preserve"> [1]</w:t>
      </w:r>
      <w:r>
        <w:t xml:space="preserve">. </w:t>
      </w:r>
      <w:r w:rsidR="008642F0">
        <w:t>Several options were proposed</w:t>
      </w:r>
      <w:r w:rsidR="00396B14">
        <w:t xml:space="preserve"> and a couple of them are shown below</w:t>
      </w:r>
      <w:r w:rsidR="00472C5C">
        <w:t xml:space="preserve">. </w:t>
      </w:r>
      <w:r w:rsidR="00CC51C1">
        <w:t>The</w:t>
      </w:r>
      <w:r w:rsidR="006765AE">
        <w:t xml:space="preserve"> first option</w:t>
      </w:r>
      <w:r w:rsidR="00CC51C1">
        <w:t xml:space="preserve"> proposed to </w:t>
      </w:r>
      <w:r w:rsidR="008642F0">
        <w:t>relax RLM evaluation period</w:t>
      </w:r>
      <w:r w:rsidR="006765AE">
        <w:t>. The second option proposed to keep the period same as Rel-15</w:t>
      </w:r>
      <w:r w:rsidR="008E62F4">
        <w:t xml:space="preserve">. The third option proposed to keep this issue FFS till RAN4 RF session </w:t>
      </w:r>
      <w:r w:rsidR="00A56696">
        <w:t>finalizes details of different IAB-MT classes.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D56D7" w:rsidRPr="00CC1587" w14:paraId="201A205A" w14:textId="77777777" w:rsidTr="00DB54DF">
        <w:tc>
          <w:tcPr>
            <w:tcW w:w="9350" w:type="dxa"/>
          </w:tcPr>
          <w:p w14:paraId="00F6615A" w14:textId="02EF5862" w:rsidR="00A56696" w:rsidRDefault="00A56696" w:rsidP="00DC5CBD">
            <w:pPr>
              <w:rPr>
                <w:b/>
                <w:bCs/>
                <w:u w:val="single"/>
                <w:lang w:val="sv-SE" w:eastAsia="zh-CN"/>
              </w:rPr>
            </w:pPr>
            <w:r>
              <w:rPr>
                <w:b/>
                <w:bCs/>
                <w:u w:val="single"/>
                <w:lang w:val="sv-SE" w:eastAsia="zh-CN"/>
              </w:rPr>
              <w:t>Open Issues from [1]</w:t>
            </w:r>
          </w:p>
          <w:p w14:paraId="36D62E50" w14:textId="3A238D74" w:rsidR="00DC5CBD" w:rsidRPr="00DC5CBD" w:rsidRDefault="00DC5CBD" w:rsidP="00DC5CBD">
            <w:pPr>
              <w:rPr>
                <w:b/>
                <w:bCs/>
                <w:iCs/>
                <w:u w:val="single"/>
              </w:rPr>
            </w:pPr>
            <w:r w:rsidRPr="00DC5CBD">
              <w:rPr>
                <w:b/>
                <w:bCs/>
                <w:u w:val="single"/>
                <w:lang w:val="sv-SE" w:eastAsia="zh-CN"/>
              </w:rPr>
              <w:t>Issues: Relaxed RLM requirement.</w:t>
            </w:r>
          </w:p>
          <w:p w14:paraId="51BB8A21" w14:textId="77777777" w:rsidR="00DC5CBD" w:rsidRPr="00A56696" w:rsidRDefault="00DC5CBD" w:rsidP="00DC5CBD">
            <w:pPr>
              <w:rPr>
                <w:iCs/>
              </w:rPr>
            </w:pPr>
            <w:r w:rsidRPr="00A56696">
              <w:rPr>
                <w:szCs w:val="24"/>
                <w:lang w:eastAsia="zh-CN"/>
              </w:rPr>
              <w:t xml:space="preserve">Proposals: </w:t>
            </w:r>
            <w:r w:rsidRPr="00A56696">
              <w:rPr>
                <w:rFonts w:eastAsiaTheme="minorEastAsia"/>
                <w:iCs/>
                <w:lang w:val="en-US" w:eastAsia="zh-CN"/>
              </w:rPr>
              <w:t>Apply relaxed RLM requirement of NR UE to the requirement of IAB-MT during no-DRX case.</w:t>
            </w:r>
          </w:p>
          <w:p w14:paraId="22AEF061" w14:textId="77777777" w:rsidR="00DC5CBD" w:rsidRPr="00A56696" w:rsidRDefault="00DC5CBD" w:rsidP="00DC5CBD">
            <w:pPr>
              <w:pStyle w:val="ListParagraph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iCs/>
              </w:rPr>
            </w:pPr>
            <w:r w:rsidRPr="00A56696">
              <w:rPr>
                <w:rFonts w:eastAsiaTheme="minorEastAsia"/>
                <w:iCs/>
                <w:lang w:val="en-US" w:eastAsia="zh-CN"/>
              </w:rPr>
              <w:t>Increase the number of samples and the lower boundary of the SSB and CSI-RS based RLM evaluation period.</w:t>
            </w:r>
          </w:p>
          <w:p w14:paraId="7B056A9D" w14:textId="77777777" w:rsidR="001D56D7" w:rsidRDefault="001D56D7" w:rsidP="00DC5CBD">
            <w:pPr>
              <w:spacing w:after="60"/>
              <w:rPr>
                <w:highlight w:val="green"/>
                <w:lang w:eastAsia="zh-CN"/>
              </w:rPr>
            </w:pPr>
          </w:p>
          <w:p w14:paraId="19D8032C" w14:textId="77777777" w:rsidR="004438B0" w:rsidRPr="004438B0" w:rsidRDefault="004438B0" w:rsidP="004438B0">
            <w:pPr>
              <w:rPr>
                <w:b/>
                <w:bCs/>
                <w:u w:val="single"/>
                <w:lang w:val="en-US" w:eastAsia="zh-CN"/>
              </w:rPr>
            </w:pPr>
            <w:r w:rsidRPr="004438B0">
              <w:rPr>
                <w:b/>
                <w:bCs/>
                <w:u w:val="single"/>
                <w:lang w:val="en-US" w:eastAsia="zh-CN"/>
              </w:rPr>
              <w:t>Issues: Reuse of Rel-15 requirements.</w:t>
            </w:r>
          </w:p>
          <w:p w14:paraId="0EFE6576" w14:textId="77777777" w:rsidR="004438B0" w:rsidRPr="00A56696" w:rsidRDefault="004438B0" w:rsidP="004438B0">
            <w:pPr>
              <w:rPr>
                <w:iCs/>
              </w:rPr>
            </w:pPr>
            <w:r w:rsidRPr="00A56696">
              <w:rPr>
                <w:szCs w:val="24"/>
                <w:lang w:eastAsia="zh-CN"/>
              </w:rPr>
              <w:t xml:space="preserve">Proposals: </w:t>
            </w:r>
            <w:r w:rsidRPr="00A56696">
              <w:rPr>
                <w:rFonts w:ascii="Calibri" w:eastAsiaTheme="minorEastAsia" w:hAnsi="Calibri" w:cs="Arial"/>
                <w:iCs/>
                <w:lang w:val="en-US" w:eastAsia="zh-CN"/>
              </w:rPr>
              <w:t>Reused the SSB and CSI-RS based RLM evaluation period of Rel-15 UEs to define the requirements for IAB-MT nodes.</w:t>
            </w:r>
          </w:p>
          <w:p w14:paraId="1AEA0DA5" w14:textId="0A5BB397" w:rsidR="004438B0" w:rsidRPr="00B266FD" w:rsidRDefault="004438B0" w:rsidP="00DC5CBD">
            <w:pPr>
              <w:spacing w:after="60"/>
              <w:rPr>
                <w:highlight w:val="green"/>
                <w:lang w:eastAsia="zh-CN"/>
              </w:rPr>
            </w:pPr>
          </w:p>
        </w:tc>
      </w:tr>
    </w:tbl>
    <w:p w14:paraId="6BE6CD8F" w14:textId="4AEA28DB" w:rsidR="00A257B6" w:rsidRDefault="00A257B6" w:rsidP="00A257B6">
      <w:pPr>
        <w:rPr>
          <w:b/>
          <w:bCs/>
        </w:rPr>
      </w:pPr>
    </w:p>
    <w:p w14:paraId="298303BF" w14:textId="6E697BBB" w:rsidR="00583E97" w:rsidRDefault="00583E97" w:rsidP="00A257B6">
      <w:r w:rsidRPr="00583E97">
        <w:t>IAB-MTs will be much more stationary than UEs. Hence, it makes sense to relax the evaluation period of IAB-MTs</w:t>
      </w:r>
      <w:r>
        <w:t xml:space="preserve"> than that of Rel-15 UEs. </w:t>
      </w:r>
    </w:p>
    <w:p w14:paraId="5FBC94B1" w14:textId="796B1E6F" w:rsidR="007F4799" w:rsidRDefault="007F4799" w:rsidP="00A257B6">
      <w:pPr>
        <w:rPr>
          <w:b/>
          <w:bCs/>
        </w:rPr>
      </w:pPr>
      <w:r w:rsidRPr="00775E41">
        <w:rPr>
          <w:b/>
          <w:bCs/>
        </w:rPr>
        <w:t>Observation 1: Reusing Rel-15 RLM evaluation period works for IAB-MTs. But,</w:t>
      </w:r>
      <w:r w:rsidR="00874BD2" w:rsidRPr="00775E41">
        <w:rPr>
          <w:b/>
          <w:bCs/>
        </w:rPr>
        <w:t xml:space="preserve"> since Rel-16 IAB-MTs are stationary,</w:t>
      </w:r>
      <w:r w:rsidRPr="00775E41">
        <w:rPr>
          <w:b/>
          <w:bCs/>
        </w:rPr>
        <w:t xml:space="preserve"> relaxing </w:t>
      </w:r>
      <w:r w:rsidR="00CC0F4E" w:rsidRPr="00775E41">
        <w:rPr>
          <w:b/>
          <w:bCs/>
        </w:rPr>
        <w:t xml:space="preserve">RLM evaluation period </w:t>
      </w:r>
      <w:r w:rsidR="0008722C" w:rsidRPr="00775E41">
        <w:rPr>
          <w:b/>
          <w:bCs/>
        </w:rPr>
        <w:t xml:space="preserve">saves power and reduces complexity of IAB-MTs without harming its </w:t>
      </w:r>
      <w:r w:rsidR="009A05B1" w:rsidRPr="00775E41">
        <w:rPr>
          <w:b/>
          <w:bCs/>
        </w:rPr>
        <w:t>link monitoring performance</w:t>
      </w:r>
      <w:r w:rsidR="00874BD2" w:rsidRPr="00775E41">
        <w:rPr>
          <w:b/>
          <w:bCs/>
        </w:rPr>
        <w:t>.</w:t>
      </w:r>
    </w:p>
    <w:p w14:paraId="1D7B816A" w14:textId="26207815" w:rsidR="00B52968" w:rsidRDefault="00B52968" w:rsidP="00A257B6">
      <w:pPr>
        <w:rPr>
          <w:b/>
          <w:bCs/>
        </w:rPr>
      </w:pPr>
    </w:p>
    <w:p w14:paraId="46AB766D" w14:textId="77777777" w:rsidR="00B52968" w:rsidRPr="00775E41" w:rsidRDefault="00B52968" w:rsidP="00A257B6">
      <w:pPr>
        <w:rPr>
          <w:b/>
          <w:bCs/>
        </w:rPr>
      </w:pPr>
    </w:p>
    <w:p w14:paraId="4184A1CC" w14:textId="77777777" w:rsidR="00B52968" w:rsidRDefault="00D27BC2" w:rsidP="00B52968">
      <w:pPr>
        <w:rPr>
          <w:b/>
          <w:bCs/>
        </w:rPr>
      </w:pPr>
      <w:r w:rsidRPr="00775E41">
        <w:rPr>
          <w:b/>
          <w:bCs/>
        </w:rPr>
        <w:lastRenderedPageBreak/>
        <w:t xml:space="preserve">Proposal 1: </w:t>
      </w:r>
      <w:r w:rsidR="00896C01">
        <w:rPr>
          <w:b/>
          <w:bCs/>
        </w:rPr>
        <w:t xml:space="preserve">Support relaxed RLM evaluation period requirement for IAB-MTs compared to that </w:t>
      </w:r>
      <w:r w:rsidR="00B52968">
        <w:rPr>
          <w:b/>
          <w:bCs/>
        </w:rPr>
        <w:t>for NR UEs.</w:t>
      </w:r>
      <w:r w:rsidR="00896C01">
        <w:rPr>
          <w:b/>
          <w:bCs/>
        </w:rPr>
        <w:t xml:space="preserve"> </w:t>
      </w:r>
    </w:p>
    <w:p w14:paraId="65204E08" w14:textId="1806374F" w:rsidR="00194679" w:rsidRPr="00B52968" w:rsidRDefault="00194679" w:rsidP="00B52968">
      <w:pPr>
        <w:pStyle w:val="ListParagraph"/>
        <w:numPr>
          <w:ilvl w:val="0"/>
          <w:numId w:val="13"/>
        </w:numPr>
        <w:rPr>
          <w:b/>
          <w:bCs/>
        </w:rPr>
      </w:pPr>
      <w:r w:rsidRPr="00B52968">
        <w:rPr>
          <w:rFonts w:eastAsiaTheme="minorEastAsia"/>
          <w:b/>
          <w:bCs/>
          <w:iCs/>
          <w:lang w:val="en-US" w:eastAsia="zh-CN"/>
        </w:rPr>
        <w:t>Increase the number of samples and the lower boundary of the SSB and CSI-RS based RLM evaluation period.</w:t>
      </w:r>
    </w:p>
    <w:p w14:paraId="142E417D" w14:textId="1F8A63A8" w:rsidR="00E1662E" w:rsidRPr="00583E97" w:rsidRDefault="00E1662E" w:rsidP="00A257B6">
      <w:pPr>
        <w:rPr>
          <w:rFonts w:ascii="Arial" w:hAnsi="Arial"/>
          <w:sz w:val="36"/>
        </w:rPr>
      </w:pPr>
    </w:p>
    <w:p w14:paraId="352467AF" w14:textId="301778C7" w:rsidR="00C20D7D" w:rsidRDefault="00C20D7D">
      <w:pPr>
        <w:pStyle w:val="Heading1"/>
      </w:pPr>
      <w:r>
        <w:t xml:space="preserve">Sharing factor of </w:t>
      </w:r>
      <w:r w:rsidR="00B46665">
        <w:t>RLM evaluation period</w:t>
      </w:r>
    </w:p>
    <w:p w14:paraId="14C06104" w14:textId="1CFA6103" w:rsidR="00B46665" w:rsidRPr="000835D1" w:rsidRDefault="00505729" w:rsidP="00B46665">
      <w:r>
        <w:t xml:space="preserve">During the last meeting, </w:t>
      </w:r>
      <w:r w:rsidR="008F35DC">
        <w:t>there was a proposal to remove the sharing factor P from RLM evaluation periods</w:t>
      </w:r>
      <w:r w:rsidR="003E02BD">
        <w:t xml:space="preserve"> [2]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46665" w:rsidRPr="00CC1587" w14:paraId="785D9E33" w14:textId="77777777" w:rsidTr="00DB54DF">
        <w:tc>
          <w:tcPr>
            <w:tcW w:w="9350" w:type="dxa"/>
          </w:tcPr>
          <w:p w14:paraId="335696E4" w14:textId="77777777" w:rsidR="00B46665" w:rsidRDefault="00B46665" w:rsidP="00DB54DF">
            <w:pPr>
              <w:rPr>
                <w:b/>
                <w:bCs/>
                <w:u w:val="single"/>
                <w:lang w:val="sv-SE" w:eastAsia="zh-CN"/>
              </w:rPr>
            </w:pPr>
            <w:r>
              <w:rPr>
                <w:b/>
                <w:bCs/>
                <w:u w:val="single"/>
                <w:lang w:val="sv-SE" w:eastAsia="zh-CN"/>
              </w:rPr>
              <w:t>Open Issues from [1]</w:t>
            </w:r>
          </w:p>
          <w:p w14:paraId="02FEAB6F" w14:textId="77777777" w:rsidR="00505729" w:rsidRPr="00505729" w:rsidRDefault="00505729" w:rsidP="00505729">
            <w:pPr>
              <w:rPr>
                <w:b/>
                <w:bCs/>
                <w:iCs/>
                <w:u w:val="single"/>
              </w:rPr>
            </w:pPr>
            <w:r w:rsidRPr="00505729">
              <w:rPr>
                <w:b/>
                <w:bCs/>
                <w:u w:val="single"/>
                <w:lang w:val="sv-SE" w:eastAsia="zh-CN"/>
              </w:rPr>
              <w:t>Issues: Sharing factor P.</w:t>
            </w:r>
          </w:p>
          <w:p w14:paraId="7F0382CF" w14:textId="77777777" w:rsidR="00505729" w:rsidRDefault="00505729" w:rsidP="00505729">
            <w:pPr>
              <w:rPr>
                <w:b/>
                <w:bCs/>
                <w:iCs/>
                <w:highlight w:val="yellow"/>
              </w:rPr>
            </w:pPr>
            <w:r>
              <w:rPr>
                <w:szCs w:val="24"/>
                <w:lang w:eastAsia="zh-CN"/>
              </w:rPr>
              <w:t>Pr</w:t>
            </w:r>
            <w:r>
              <w:rPr>
                <w:b/>
                <w:bCs/>
                <w:szCs w:val="24"/>
                <w:lang w:eastAsia="zh-CN"/>
              </w:rPr>
              <w:t xml:space="preserve">oposals: </w:t>
            </w:r>
            <w:r>
              <w:rPr>
                <w:rFonts w:eastAsiaTheme="minorEastAsia"/>
                <w:b/>
                <w:bCs/>
                <w:iCs/>
                <w:lang w:val="en-US" w:eastAsia="zh-CN"/>
              </w:rPr>
              <w:t>Remove the sharing factor P in Evaluation Period calculation for IAB RLM requirement.</w:t>
            </w:r>
          </w:p>
          <w:p w14:paraId="1331CBA1" w14:textId="77777777" w:rsidR="00B46665" w:rsidRPr="00B266FD" w:rsidRDefault="00B46665" w:rsidP="00DB54DF">
            <w:pPr>
              <w:spacing w:after="60"/>
              <w:rPr>
                <w:highlight w:val="green"/>
                <w:lang w:eastAsia="zh-CN"/>
              </w:rPr>
            </w:pPr>
          </w:p>
        </w:tc>
      </w:tr>
    </w:tbl>
    <w:p w14:paraId="061C92F4" w14:textId="471C2AF2" w:rsidR="00B46665" w:rsidRDefault="00B46665" w:rsidP="00B46665"/>
    <w:p w14:paraId="1EA85651" w14:textId="257E1416" w:rsidR="00497474" w:rsidRDefault="00497474" w:rsidP="00B46665">
      <w:r>
        <w:t xml:space="preserve">One of the </w:t>
      </w:r>
      <w:proofErr w:type="gramStart"/>
      <w:r>
        <w:t>motivation</w:t>
      </w:r>
      <w:proofErr w:type="gramEnd"/>
      <w:r>
        <w:t xml:space="preserve"> of this proposal is the following: since </w:t>
      </w:r>
      <w:r w:rsidR="00677A17">
        <w:t xml:space="preserve">requirements for intra-frequency and inter-frequency measurements have not been configured for IAB-MTs, </w:t>
      </w:r>
      <w:r w:rsidR="00090F9F">
        <w:t>configuration of measurement gap is not necessary. This means that the sharing factor P will not be necessary, too.</w:t>
      </w:r>
    </w:p>
    <w:p w14:paraId="70D557EC" w14:textId="221A618B" w:rsidR="00090F9F" w:rsidRDefault="00090F9F" w:rsidP="00B46665">
      <w:r>
        <w:t xml:space="preserve">However, although RAN4 has not </w:t>
      </w:r>
      <w:r w:rsidR="00ED1556">
        <w:t>allowed measurement</w:t>
      </w:r>
      <w:r w:rsidR="00693DD5">
        <w:t xml:space="preserve"> requirements, the signalling for intra and inter-frequency measurement is still allowed </w:t>
      </w:r>
      <w:r w:rsidR="002447B5">
        <w:t xml:space="preserve">by RAN1/RAN2. As a result, network can configure these measurement gaps and the IAB-MTs that support this feature can </w:t>
      </w:r>
      <w:r w:rsidR="00795418">
        <w:t>follow those configurations. Hence, sharing factor P does not need to be removed from the spec. If network doesn’t configure measurement gap due to the lack of RAN4 requirements, value of P will be 1, in any case.</w:t>
      </w:r>
    </w:p>
    <w:p w14:paraId="691CD89A" w14:textId="254760AC" w:rsidR="00795418" w:rsidRPr="00624165" w:rsidRDefault="00F4404D" w:rsidP="00B46665">
      <w:pPr>
        <w:rPr>
          <w:b/>
          <w:bCs/>
        </w:rPr>
      </w:pPr>
      <w:r w:rsidRPr="00624165">
        <w:rPr>
          <w:b/>
          <w:bCs/>
        </w:rPr>
        <w:t>Observation 2: Although RAN4 has not allowed measurement requirements, network can still configure these measurement gaps and the IAB-MTs that support this feature can follow those configurations.</w:t>
      </w:r>
    </w:p>
    <w:p w14:paraId="3E546BDE" w14:textId="020C40A1" w:rsidR="000659BE" w:rsidRPr="00624165" w:rsidRDefault="000659BE" w:rsidP="00B46665">
      <w:pPr>
        <w:rPr>
          <w:b/>
          <w:bCs/>
        </w:rPr>
      </w:pPr>
      <w:r w:rsidRPr="00624165">
        <w:rPr>
          <w:b/>
          <w:bCs/>
        </w:rPr>
        <w:t xml:space="preserve">Proposal 2: Sharing factor P </w:t>
      </w:r>
      <w:r w:rsidR="00624165" w:rsidRPr="00624165">
        <w:rPr>
          <w:b/>
          <w:bCs/>
        </w:rPr>
        <w:t xml:space="preserve">does not need to be removed from the RLM evaluation period of IAB-MTs. </w:t>
      </w:r>
    </w:p>
    <w:p w14:paraId="4C643E14" w14:textId="0613C9B9" w:rsidR="00E23EAA" w:rsidRDefault="00E23EAA">
      <w:pPr>
        <w:pStyle w:val="Heading1"/>
      </w:pPr>
      <w:r>
        <w:t xml:space="preserve">Density of CSI-RS </w:t>
      </w:r>
      <w:r w:rsidR="00D1604F">
        <w:t>for RLM requirements</w:t>
      </w:r>
    </w:p>
    <w:p w14:paraId="0BF2CEE6" w14:textId="0E7B8B19" w:rsidR="009733C0" w:rsidRPr="000835D1" w:rsidRDefault="007B6DC0" w:rsidP="009733C0">
      <w:r>
        <w:t xml:space="preserve">During the last meeting, one company proposed to </w:t>
      </w:r>
      <w:r w:rsidR="006A7C92">
        <w:t>use density =1 for RLM-CSI-RS</w:t>
      </w:r>
      <w:r w:rsidR="003E02BD">
        <w:t xml:space="preserve"> [2]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733C0" w:rsidRPr="00CC1587" w14:paraId="625AA3C5" w14:textId="77777777" w:rsidTr="00DB54DF">
        <w:tc>
          <w:tcPr>
            <w:tcW w:w="9350" w:type="dxa"/>
          </w:tcPr>
          <w:p w14:paraId="7CF809DE" w14:textId="77777777" w:rsidR="009733C0" w:rsidRDefault="009733C0" w:rsidP="00DB54DF">
            <w:pPr>
              <w:rPr>
                <w:b/>
                <w:bCs/>
                <w:u w:val="single"/>
                <w:lang w:val="sv-SE" w:eastAsia="zh-CN"/>
              </w:rPr>
            </w:pPr>
            <w:r>
              <w:rPr>
                <w:b/>
                <w:bCs/>
                <w:u w:val="single"/>
                <w:lang w:val="sv-SE" w:eastAsia="zh-CN"/>
              </w:rPr>
              <w:t>Open Issues from [1]</w:t>
            </w:r>
          </w:p>
          <w:p w14:paraId="389CA8B8" w14:textId="77777777" w:rsidR="007B6DC0" w:rsidRPr="007B6DC0" w:rsidRDefault="007B6DC0" w:rsidP="007B6DC0">
            <w:pPr>
              <w:rPr>
                <w:b/>
                <w:bCs/>
                <w:iCs/>
                <w:u w:val="single"/>
              </w:rPr>
            </w:pPr>
            <w:r w:rsidRPr="007B6DC0">
              <w:rPr>
                <w:b/>
                <w:bCs/>
                <w:u w:val="single"/>
                <w:lang w:val="en-US" w:eastAsia="zh-CN"/>
              </w:rPr>
              <w:t>Issues: Density of CSI-RS to define CSI-RS based RLM requirements.</w:t>
            </w:r>
          </w:p>
          <w:p w14:paraId="6D016E9C" w14:textId="77777777" w:rsidR="007B6DC0" w:rsidRDefault="007B6DC0" w:rsidP="007B6DC0">
            <w:pPr>
              <w:rPr>
                <w:b/>
                <w:bCs/>
              </w:rPr>
            </w:pPr>
            <w:r w:rsidRPr="007B6DC0">
              <w:rPr>
                <w:b/>
                <w:bCs/>
                <w:szCs w:val="24"/>
                <w:lang w:eastAsia="zh-CN"/>
              </w:rPr>
              <w:t xml:space="preserve">Proposals: </w:t>
            </w:r>
            <w:r w:rsidRPr="007B6DC0">
              <w:rPr>
                <w:b/>
                <w:bCs/>
              </w:rPr>
              <w:t>“</w:t>
            </w:r>
            <w:r w:rsidRPr="007B6DC0">
              <w:rPr>
                <w:rFonts w:ascii="Calibri" w:eastAsiaTheme="minorEastAsia" w:hAnsi="Calibri" w:cs="Arial" w:hint="eastAsia"/>
                <w:b/>
                <w:bCs/>
                <w:lang w:val="en-US" w:eastAsia="zh-CN"/>
              </w:rPr>
              <w:t xml:space="preserve">For IAB RLM </w:t>
            </w:r>
            <w:r w:rsidRPr="007B6DC0">
              <w:rPr>
                <w:rFonts w:ascii="Calibri" w:eastAsiaTheme="minorEastAsia" w:hAnsi="Calibri" w:cs="Arial"/>
                <w:b/>
                <w:bCs/>
                <w:lang w:val="en-US" w:eastAsia="zh-CN"/>
              </w:rPr>
              <w:t>requirement</w:t>
            </w:r>
            <w:r w:rsidRPr="007B6DC0">
              <w:rPr>
                <w:rFonts w:ascii="Calibri" w:eastAsiaTheme="minorEastAsia" w:hAnsi="Calibri" w:cs="Arial" w:hint="eastAsia"/>
                <w:b/>
                <w:bCs/>
                <w:lang w:val="en-US" w:eastAsia="zh-CN"/>
              </w:rPr>
              <w:t>,</w:t>
            </w:r>
            <w:r w:rsidRPr="007B6DC0">
              <w:rPr>
                <w:rFonts w:ascii="Calibri" w:eastAsiaTheme="minorEastAsia" w:hAnsi="Calibri" w:cs="Arial"/>
                <w:b/>
                <w:bCs/>
                <w:lang w:val="en-US" w:eastAsia="zh-CN"/>
              </w:rPr>
              <w:t xml:space="preserve"> </w:t>
            </w:r>
            <w:r w:rsidRPr="007B6DC0">
              <w:rPr>
                <w:rFonts w:ascii="Calibri" w:eastAsiaTheme="minorEastAsia" w:hAnsi="Calibri" w:cs="Arial" w:hint="eastAsia"/>
                <w:b/>
                <w:bCs/>
                <w:lang w:val="en-US" w:eastAsia="zh-CN"/>
              </w:rPr>
              <w:t xml:space="preserve">the case where </w:t>
            </w:r>
            <w:r w:rsidRPr="007B6DC0">
              <w:rPr>
                <w:rFonts w:ascii="Calibri" w:eastAsiaTheme="minorEastAsia" w:hAnsi="Calibri" w:cs="Arial"/>
                <w:b/>
                <w:bCs/>
                <w:lang w:val="en-US" w:eastAsia="zh-CN"/>
              </w:rPr>
              <w:t xml:space="preserve">Evaluation </w:t>
            </w:r>
            <w:r w:rsidRPr="007B6DC0">
              <w:rPr>
                <w:rFonts w:ascii="Calibri" w:eastAsiaTheme="minorEastAsia" w:hAnsi="Calibri" w:cs="Arial" w:hint="eastAsia"/>
                <w:b/>
                <w:bCs/>
                <w:lang w:val="en-US" w:eastAsia="zh-CN"/>
              </w:rPr>
              <w:t>P</w:t>
            </w:r>
            <w:r w:rsidRPr="007B6DC0">
              <w:rPr>
                <w:rFonts w:ascii="Calibri" w:eastAsiaTheme="minorEastAsia" w:hAnsi="Calibri" w:cs="Arial"/>
                <w:b/>
                <w:bCs/>
                <w:lang w:val="en-US" w:eastAsia="zh-CN"/>
              </w:rPr>
              <w:t xml:space="preserve">eriod for CSI-RS </w:t>
            </w:r>
            <w:r w:rsidRPr="007B6DC0">
              <w:rPr>
                <w:rFonts w:ascii="Calibri" w:eastAsiaTheme="minorEastAsia" w:hAnsi="Calibri" w:cs="Arial" w:hint="eastAsia"/>
                <w:b/>
                <w:bCs/>
                <w:lang w:val="en-US" w:eastAsia="zh-CN"/>
              </w:rPr>
              <w:t>of</w:t>
            </w:r>
            <w:r w:rsidRPr="007B6DC0">
              <w:rPr>
                <w:rFonts w:ascii="Calibri" w:eastAsiaTheme="minorEastAsia" w:hAnsi="Calibri" w:cs="Arial"/>
                <w:b/>
                <w:bCs/>
                <w:lang w:val="en-US" w:eastAsia="zh-CN"/>
              </w:rPr>
              <w:t xml:space="preserve"> RLM with D</w:t>
            </w:r>
            <w:r w:rsidRPr="007B6DC0">
              <w:rPr>
                <w:rFonts w:ascii="Calibri" w:eastAsiaTheme="minorEastAsia" w:hAnsi="Calibri" w:cs="Arial" w:hint="eastAsia"/>
                <w:b/>
                <w:bCs/>
                <w:lang w:val="en-US" w:eastAsia="zh-CN"/>
              </w:rPr>
              <w:t>ensity</w:t>
            </w:r>
            <w:r w:rsidRPr="007B6DC0">
              <w:rPr>
                <w:rFonts w:ascii="Calibri" w:eastAsiaTheme="minorEastAsia" w:hAnsi="Calibri" w:cs="Arial"/>
                <w:b/>
                <w:bCs/>
                <w:lang w:val="en-US" w:eastAsia="zh-CN"/>
              </w:rPr>
              <w:t>=1</w:t>
            </w:r>
            <w:r w:rsidRPr="007B6DC0">
              <w:rPr>
                <w:rFonts w:ascii="Calibri" w:eastAsiaTheme="minorEastAsia" w:hAnsi="Calibri" w:cs="Arial" w:hint="eastAsia"/>
                <w:b/>
                <w:bCs/>
                <w:lang w:val="en-US" w:eastAsia="zh-CN"/>
              </w:rPr>
              <w:t xml:space="preserve"> should be taken into consideration.</w:t>
            </w:r>
            <w:r w:rsidRPr="007B6DC0">
              <w:rPr>
                <w:rFonts w:ascii="Calibri" w:eastAsiaTheme="minorEastAsia" w:hAnsi="Calibri" w:cs="Arial"/>
                <w:b/>
                <w:bCs/>
                <w:lang w:val="en-US" w:eastAsia="zh-CN"/>
              </w:rPr>
              <w:t>”</w:t>
            </w:r>
          </w:p>
          <w:p w14:paraId="469878AF" w14:textId="77777777" w:rsidR="009733C0" w:rsidRPr="00B266FD" w:rsidRDefault="009733C0" w:rsidP="00DB54DF">
            <w:pPr>
              <w:spacing w:after="60"/>
              <w:rPr>
                <w:highlight w:val="green"/>
                <w:lang w:eastAsia="zh-CN"/>
              </w:rPr>
            </w:pPr>
          </w:p>
        </w:tc>
      </w:tr>
    </w:tbl>
    <w:p w14:paraId="402E8324" w14:textId="2AD8E2AD" w:rsidR="00D1604F" w:rsidRDefault="00D1604F" w:rsidP="00D1604F"/>
    <w:p w14:paraId="159C92D0" w14:textId="77777777" w:rsidR="0042248F" w:rsidRDefault="00BC337F" w:rsidP="00D1604F">
      <w:r>
        <w:t xml:space="preserve">The proponent argued that </w:t>
      </w:r>
      <w:r w:rsidR="0042248F">
        <w:t>the delay spread of IAB-MTs would be much shorter than that of UEs. Hence, density = 1 would work for RLM-CSI-RS.</w:t>
      </w:r>
    </w:p>
    <w:p w14:paraId="5D7CD61F" w14:textId="6C391206" w:rsidR="003E02BD" w:rsidRDefault="0042248F" w:rsidP="00D1604F">
      <w:r>
        <w:t>However, this assumption may not hold for local area IAB-MTs</w:t>
      </w:r>
      <w:r w:rsidR="00B566F4">
        <w:t xml:space="preserve"> because they </w:t>
      </w:r>
      <w:r w:rsidR="0077246B">
        <w:t xml:space="preserve">might </w:t>
      </w:r>
      <w:proofErr w:type="gramStart"/>
      <w:r w:rsidR="0077246B">
        <w:t>be located in</w:t>
      </w:r>
      <w:proofErr w:type="gramEnd"/>
      <w:r w:rsidR="0077246B">
        <w:t xml:space="preserve"> NLOS scenarios.</w:t>
      </w:r>
    </w:p>
    <w:p w14:paraId="64755B07" w14:textId="680D6F61" w:rsidR="0077246B" w:rsidRDefault="0077246B" w:rsidP="00D1604F">
      <w:r>
        <w:lastRenderedPageBreak/>
        <w:t>The assumption may somewhat hold for wide area IAB-MTs b</w:t>
      </w:r>
      <w:r w:rsidR="00FF0228">
        <w:t xml:space="preserve">ut: I) A reduced density of CSI-RS will also reduce total CSI-RS power (assuming that the tones </w:t>
      </w:r>
      <w:proofErr w:type="spellStart"/>
      <w:r w:rsidR="00FF0228">
        <w:t>FDMed</w:t>
      </w:r>
      <w:proofErr w:type="spellEnd"/>
      <w:r w:rsidR="00FF0228">
        <w:t xml:space="preserve"> with CSI-RS are used for other purposes) and II) </w:t>
      </w:r>
      <w:r w:rsidR="00A726FC">
        <w:t xml:space="preserve">defining two different types of CSI-RS resources for </w:t>
      </w:r>
      <w:r w:rsidR="00FF743A">
        <w:t>checking the performance of two different IAB-MT classes may further complicate the RRM tests.</w:t>
      </w:r>
    </w:p>
    <w:p w14:paraId="6676D432" w14:textId="4A89B884" w:rsidR="00650FA9" w:rsidRDefault="00650FA9" w:rsidP="00D1604F">
      <w:pPr>
        <w:rPr>
          <w:b/>
          <w:bCs/>
        </w:rPr>
      </w:pPr>
      <w:r w:rsidRPr="00775E41">
        <w:rPr>
          <w:b/>
          <w:bCs/>
        </w:rPr>
        <w:t xml:space="preserve">Observation 3: Local area </w:t>
      </w:r>
      <w:r w:rsidR="005D699A" w:rsidRPr="00775E41">
        <w:rPr>
          <w:b/>
          <w:bCs/>
        </w:rPr>
        <w:t xml:space="preserve">IAB-MTs are likely to </w:t>
      </w:r>
      <w:r w:rsidR="00364C89" w:rsidRPr="00775E41">
        <w:rPr>
          <w:b/>
          <w:bCs/>
        </w:rPr>
        <w:t>be in</w:t>
      </w:r>
      <w:r w:rsidR="005D699A" w:rsidRPr="00775E41">
        <w:rPr>
          <w:b/>
          <w:bCs/>
        </w:rPr>
        <w:t xml:space="preserve"> NLOS scenarios and may experience similar delay spread as UEs.</w:t>
      </w:r>
    </w:p>
    <w:p w14:paraId="207881D0" w14:textId="5A888383" w:rsidR="003C372C" w:rsidRPr="003C372C" w:rsidRDefault="003C372C" w:rsidP="00D1604F">
      <w:pPr>
        <w:rPr>
          <w:b/>
          <w:bCs/>
        </w:rPr>
      </w:pPr>
      <w:r w:rsidRPr="003C372C">
        <w:rPr>
          <w:b/>
          <w:bCs/>
        </w:rPr>
        <w:t>Observation 4: A reduced density of CSI-RS will also reduce total CSI-RS power (</w:t>
      </w:r>
      <w:proofErr w:type="gramStart"/>
      <w:r w:rsidRPr="003C372C">
        <w:rPr>
          <w:b/>
          <w:bCs/>
        </w:rPr>
        <w:t>assuming that</w:t>
      </w:r>
      <w:proofErr w:type="gramEnd"/>
      <w:r w:rsidRPr="003C372C">
        <w:rPr>
          <w:b/>
          <w:bCs/>
        </w:rPr>
        <w:t xml:space="preserve"> the tones </w:t>
      </w:r>
      <w:proofErr w:type="spellStart"/>
      <w:r w:rsidRPr="003C372C">
        <w:rPr>
          <w:b/>
          <w:bCs/>
        </w:rPr>
        <w:t>FDMed</w:t>
      </w:r>
      <w:proofErr w:type="spellEnd"/>
      <w:r w:rsidRPr="003C372C">
        <w:rPr>
          <w:b/>
          <w:bCs/>
        </w:rPr>
        <w:t xml:space="preserve"> with CSI-RS are used for other purposes).</w:t>
      </w:r>
    </w:p>
    <w:p w14:paraId="0BA2CEF3" w14:textId="1A250A8D" w:rsidR="005D699A" w:rsidRPr="00775E41" w:rsidRDefault="005D699A" w:rsidP="00D1604F">
      <w:pPr>
        <w:rPr>
          <w:b/>
          <w:bCs/>
        </w:rPr>
      </w:pPr>
      <w:r w:rsidRPr="00775E41">
        <w:rPr>
          <w:b/>
          <w:bCs/>
        </w:rPr>
        <w:t xml:space="preserve">Proposal </w:t>
      </w:r>
      <w:r w:rsidR="00775E41" w:rsidRPr="00775E41">
        <w:rPr>
          <w:b/>
          <w:bCs/>
        </w:rPr>
        <w:t>3</w:t>
      </w:r>
      <w:r w:rsidRPr="00775E41">
        <w:rPr>
          <w:b/>
          <w:bCs/>
        </w:rPr>
        <w:t xml:space="preserve">: Use </w:t>
      </w:r>
      <w:r w:rsidR="00775E41" w:rsidRPr="00775E41">
        <w:rPr>
          <w:b/>
          <w:bCs/>
        </w:rPr>
        <w:t>RLM-CSI-RS with density = 3 for local area IAB-MTs.</w:t>
      </w:r>
    </w:p>
    <w:p w14:paraId="28ACC049" w14:textId="4DF92E0B" w:rsidR="00775E41" w:rsidRPr="00775E41" w:rsidRDefault="00775E41" w:rsidP="00D1604F">
      <w:pPr>
        <w:rPr>
          <w:b/>
          <w:bCs/>
        </w:rPr>
      </w:pPr>
      <w:r w:rsidRPr="00775E41">
        <w:rPr>
          <w:b/>
          <w:bCs/>
        </w:rPr>
        <w:t>Discuss further if it is essential to introduce RLM-CSI-RS with density = 1 for wide area IAB-MTs.</w:t>
      </w:r>
    </w:p>
    <w:p w14:paraId="2F396937" w14:textId="5B9DE1D1" w:rsidR="00A257B6" w:rsidRDefault="00A257B6">
      <w:pPr>
        <w:pStyle w:val="Heading1"/>
      </w:pPr>
      <w:r>
        <w:t>Other Requirements for RLM</w:t>
      </w:r>
    </w:p>
    <w:p w14:paraId="5711907A" w14:textId="3F941387" w:rsidR="00A257B6" w:rsidRDefault="00A257B6" w:rsidP="00A257B6">
      <w:r>
        <w:t>Other RLM requirements (e.g. scheduling availability, measurement restrictions, etc.), that have been defined in 38.133 for Rel-15 UEs, can be reused for IAB-MTs.</w:t>
      </w:r>
    </w:p>
    <w:p w14:paraId="57E08903" w14:textId="544BE113" w:rsidR="00A257B6" w:rsidRPr="00741EA5" w:rsidRDefault="00A257B6" w:rsidP="00A257B6">
      <w:pPr>
        <w:rPr>
          <w:b/>
          <w:bCs/>
        </w:rPr>
      </w:pPr>
      <w:r w:rsidRPr="00741EA5">
        <w:rPr>
          <w:b/>
          <w:bCs/>
        </w:rPr>
        <w:t xml:space="preserve">Proposal </w:t>
      </w:r>
      <w:r w:rsidR="00775E41">
        <w:rPr>
          <w:b/>
          <w:bCs/>
        </w:rPr>
        <w:t>4</w:t>
      </w:r>
      <w:r w:rsidRPr="00741EA5">
        <w:rPr>
          <w:b/>
          <w:bCs/>
        </w:rPr>
        <w:t>: The following RLM related requirements, that have been defined in 38.133 for Rel-15 UEs, can be reused for IAB-MTs.</w:t>
      </w:r>
    </w:p>
    <w:p w14:paraId="5BF5191F" w14:textId="77777777" w:rsidR="00A257B6" w:rsidRPr="00741EA5" w:rsidRDefault="00A257B6" w:rsidP="00A257B6">
      <w:pPr>
        <w:pStyle w:val="ListParagraph"/>
        <w:numPr>
          <w:ilvl w:val="0"/>
          <w:numId w:val="7"/>
        </w:numPr>
        <w:rPr>
          <w:b/>
          <w:bCs/>
        </w:rPr>
      </w:pPr>
      <w:r w:rsidRPr="00741EA5">
        <w:rPr>
          <w:b/>
          <w:bCs/>
        </w:rPr>
        <w:t>Measurement restrictions for SSB based RLM and CSI-RS based RLM</w:t>
      </w:r>
    </w:p>
    <w:p w14:paraId="64D19CB7" w14:textId="77777777" w:rsidR="00A257B6" w:rsidRPr="00741EA5" w:rsidRDefault="00A257B6" w:rsidP="00A257B6">
      <w:pPr>
        <w:pStyle w:val="ListParagraph"/>
        <w:numPr>
          <w:ilvl w:val="0"/>
          <w:numId w:val="7"/>
        </w:numPr>
        <w:rPr>
          <w:b/>
          <w:bCs/>
        </w:rPr>
      </w:pPr>
      <w:r w:rsidRPr="00741EA5">
        <w:rPr>
          <w:b/>
          <w:bCs/>
        </w:rPr>
        <w:t>Minimum requirement at transitions</w:t>
      </w:r>
    </w:p>
    <w:p w14:paraId="58760C3E" w14:textId="77777777" w:rsidR="00A257B6" w:rsidRPr="00741EA5" w:rsidRDefault="00A257B6" w:rsidP="00A257B6">
      <w:pPr>
        <w:pStyle w:val="ListParagraph"/>
        <w:numPr>
          <w:ilvl w:val="0"/>
          <w:numId w:val="7"/>
        </w:numPr>
        <w:rPr>
          <w:b/>
          <w:bCs/>
        </w:rPr>
      </w:pPr>
      <w:r w:rsidRPr="00741EA5">
        <w:rPr>
          <w:b/>
          <w:bCs/>
        </w:rPr>
        <w:t xml:space="preserve">Minimum requirement for L1 indication. </w:t>
      </w:r>
    </w:p>
    <w:p w14:paraId="52ED047D" w14:textId="3391E1E4" w:rsidR="00A257B6" w:rsidRPr="00775E41" w:rsidRDefault="00A257B6" w:rsidP="00A257B6">
      <w:pPr>
        <w:pStyle w:val="ListParagraph"/>
        <w:numPr>
          <w:ilvl w:val="0"/>
          <w:numId w:val="7"/>
        </w:numPr>
        <w:rPr>
          <w:b/>
          <w:bCs/>
        </w:rPr>
      </w:pPr>
      <w:r w:rsidRPr="00741EA5">
        <w:rPr>
          <w:b/>
          <w:bCs/>
        </w:rPr>
        <w:t>Scheduling availability during RLM</w:t>
      </w:r>
    </w:p>
    <w:p w14:paraId="462561DF" w14:textId="77777777" w:rsidR="00F23939" w:rsidRDefault="00F23939" w:rsidP="00F23939">
      <w:pPr>
        <w:pStyle w:val="Heading1"/>
      </w:pPr>
      <w:r>
        <w:t>Conclusion</w:t>
      </w:r>
    </w:p>
    <w:p w14:paraId="15536397" w14:textId="77777777" w:rsidR="00775E41" w:rsidRPr="00775E41" w:rsidRDefault="00775E41" w:rsidP="00775E41">
      <w:pPr>
        <w:rPr>
          <w:b/>
          <w:bCs/>
        </w:rPr>
      </w:pPr>
      <w:r w:rsidRPr="00775E41">
        <w:rPr>
          <w:b/>
          <w:bCs/>
        </w:rPr>
        <w:t>Observation 1: Reusing Rel-15 RLM evaluation period works for IAB-MTs. But, since Rel-16 IAB-MTs are stationary, relaxing RLM evaluation period saves power and reduces complexity of IAB-MTs without harming its link monitoring performance.</w:t>
      </w:r>
    </w:p>
    <w:p w14:paraId="6E91D6EA" w14:textId="5497175E" w:rsidR="00775E41" w:rsidRPr="00624165" w:rsidRDefault="00775E41" w:rsidP="00775E41">
      <w:pPr>
        <w:rPr>
          <w:b/>
          <w:bCs/>
        </w:rPr>
      </w:pPr>
      <w:r w:rsidRPr="00624165">
        <w:rPr>
          <w:b/>
          <w:bCs/>
        </w:rPr>
        <w:t>Observation 2: Although RAN4 has not allowed measurement requirements, network can still configure these measurement gaps and the IAB-MTs that support this feature can follow those configurations.</w:t>
      </w:r>
    </w:p>
    <w:p w14:paraId="7FC89A1C" w14:textId="16ADB55D" w:rsidR="00364C89" w:rsidRDefault="00364C89" w:rsidP="00364C89">
      <w:pPr>
        <w:rPr>
          <w:b/>
          <w:bCs/>
        </w:rPr>
      </w:pPr>
      <w:r w:rsidRPr="00775E41">
        <w:rPr>
          <w:b/>
          <w:bCs/>
        </w:rPr>
        <w:t>Observation 3: Local area IAB-MTs are likely to be in NLOS scenarios and may experience similar delay spread as UEs.</w:t>
      </w:r>
    </w:p>
    <w:p w14:paraId="21136B75" w14:textId="5CB0ED52" w:rsidR="003C372C" w:rsidRPr="00775E41" w:rsidRDefault="003C372C" w:rsidP="00364C89">
      <w:pPr>
        <w:rPr>
          <w:b/>
          <w:bCs/>
        </w:rPr>
      </w:pPr>
      <w:r w:rsidRPr="003C372C">
        <w:rPr>
          <w:b/>
          <w:bCs/>
        </w:rPr>
        <w:t>Observation 4: A reduced density of CSI-RS will also reduce total CSI-RS power (</w:t>
      </w:r>
      <w:proofErr w:type="gramStart"/>
      <w:r w:rsidRPr="003C372C">
        <w:rPr>
          <w:b/>
          <w:bCs/>
        </w:rPr>
        <w:t>assuming that</w:t>
      </w:r>
      <w:proofErr w:type="gramEnd"/>
      <w:r w:rsidRPr="003C372C">
        <w:rPr>
          <w:b/>
          <w:bCs/>
        </w:rPr>
        <w:t xml:space="preserve"> the tones </w:t>
      </w:r>
      <w:proofErr w:type="spellStart"/>
      <w:r w:rsidRPr="003C372C">
        <w:rPr>
          <w:b/>
          <w:bCs/>
        </w:rPr>
        <w:t>FDMed</w:t>
      </w:r>
      <w:proofErr w:type="spellEnd"/>
      <w:r w:rsidRPr="003C372C">
        <w:rPr>
          <w:b/>
          <w:bCs/>
        </w:rPr>
        <w:t xml:space="preserve"> with CSI-RS are used for other purposes).</w:t>
      </w:r>
    </w:p>
    <w:p w14:paraId="6E66D698" w14:textId="77777777" w:rsidR="004E5C48" w:rsidRDefault="004E5C48" w:rsidP="004E5C48">
      <w:pPr>
        <w:rPr>
          <w:b/>
          <w:bCs/>
        </w:rPr>
      </w:pPr>
      <w:r w:rsidRPr="00775E41">
        <w:rPr>
          <w:b/>
          <w:bCs/>
        </w:rPr>
        <w:t xml:space="preserve">Proposal 1: </w:t>
      </w:r>
      <w:r>
        <w:rPr>
          <w:b/>
          <w:bCs/>
        </w:rPr>
        <w:t xml:space="preserve">Support relaxed RLM evaluation period requirement for IAB-MTs compared to that for NR UEs. </w:t>
      </w:r>
    </w:p>
    <w:p w14:paraId="7A437F59" w14:textId="77777777" w:rsidR="004E5C48" w:rsidRPr="00B52968" w:rsidRDefault="004E5C48" w:rsidP="004E5C48">
      <w:pPr>
        <w:pStyle w:val="ListParagraph"/>
        <w:numPr>
          <w:ilvl w:val="0"/>
          <w:numId w:val="13"/>
        </w:numPr>
        <w:rPr>
          <w:b/>
          <w:bCs/>
        </w:rPr>
      </w:pPr>
      <w:r w:rsidRPr="00B52968">
        <w:rPr>
          <w:rFonts w:eastAsiaTheme="minorEastAsia"/>
          <w:b/>
          <w:bCs/>
          <w:iCs/>
          <w:lang w:val="en-US" w:eastAsia="zh-CN"/>
        </w:rPr>
        <w:t>Increase the number of samples and the lower boundary of the SSB and CSI-RS based RLM evaluation period.</w:t>
      </w:r>
    </w:p>
    <w:p w14:paraId="6F229B29" w14:textId="410B03F1" w:rsidR="00775E41" w:rsidRPr="00775E41" w:rsidRDefault="00775E41" w:rsidP="00775E41">
      <w:pPr>
        <w:rPr>
          <w:b/>
          <w:bCs/>
        </w:rPr>
      </w:pPr>
      <w:bookmarkStart w:id="0" w:name="_GoBack"/>
      <w:bookmarkEnd w:id="0"/>
      <w:r w:rsidRPr="00624165">
        <w:rPr>
          <w:b/>
          <w:bCs/>
        </w:rPr>
        <w:t xml:space="preserve">Proposal 2: Sharing factor P does not need to be removed from the RLM evaluation period of IAB-MTs. </w:t>
      </w:r>
    </w:p>
    <w:p w14:paraId="1066557A" w14:textId="77777777" w:rsidR="00775E41" w:rsidRDefault="00775E41" w:rsidP="00775E41">
      <w:pPr>
        <w:rPr>
          <w:b/>
          <w:bCs/>
        </w:rPr>
      </w:pPr>
      <w:r w:rsidRPr="00775E41">
        <w:rPr>
          <w:b/>
          <w:bCs/>
        </w:rPr>
        <w:t xml:space="preserve">Proposal 3: </w:t>
      </w:r>
    </w:p>
    <w:p w14:paraId="3F74BDA2" w14:textId="328AC2F7" w:rsidR="00775E41" w:rsidRPr="00775E41" w:rsidRDefault="00775E41" w:rsidP="00775E41">
      <w:pPr>
        <w:pStyle w:val="ListParagraph"/>
        <w:numPr>
          <w:ilvl w:val="0"/>
          <w:numId w:val="12"/>
        </w:numPr>
        <w:rPr>
          <w:b/>
          <w:bCs/>
        </w:rPr>
      </w:pPr>
      <w:r w:rsidRPr="00775E41">
        <w:rPr>
          <w:b/>
          <w:bCs/>
        </w:rPr>
        <w:t>Use RLM-CSI-RS with density = 3 for local area IAB-MTs.</w:t>
      </w:r>
    </w:p>
    <w:p w14:paraId="7080C718" w14:textId="7D016657" w:rsidR="00775E41" w:rsidRPr="00775E41" w:rsidRDefault="00775E41" w:rsidP="0034297B">
      <w:pPr>
        <w:pStyle w:val="ListParagraph"/>
        <w:numPr>
          <w:ilvl w:val="0"/>
          <w:numId w:val="12"/>
        </w:numPr>
        <w:rPr>
          <w:b/>
          <w:bCs/>
        </w:rPr>
      </w:pPr>
      <w:r w:rsidRPr="00775E41">
        <w:rPr>
          <w:b/>
          <w:bCs/>
        </w:rPr>
        <w:t>Discuss further if it is essential to introduce RLM-CSI-RS with density = 1 for wide area IAB-MTs.</w:t>
      </w:r>
    </w:p>
    <w:p w14:paraId="66785BF5" w14:textId="45C93DC3" w:rsidR="0034297B" w:rsidRPr="00741EA5" w:rsidRDefault="0034297B" w:rsidP="0034297B">
      <w:pPr>
        <w:rPr>
          <w:b/>
          <w:bCs/>
        </w:rPr>
      </w:pPr>
      <w:r w:rsidRPr="00741EA5">
        <w:rPr>
          <w:b/>
          <w:bCs/>
        </w:rPr>
        <w:lastRenderedPageBreak/>
        <w:t xml:space="preserve">Proposal </w:t>
      </w:r>
      <w:r w:rsidR="00775E41">
        <w:rPr>
          <w:b/>
          <w:bCs/>
        </w:rPr>
        <w:t>4</w:t>
      </w:r>
      <w:r w:rsidRPr="00741EA5">
        <w:rPr>
          <w:b/>
          <w:bCs/>
        </w:rPr>
        <w:t>: The following RLM related requirements, that have been defined in 38.133 for Rel-15 UEs, can be reused for IAB-MTs.</w:t>
      </w:r>
    </w:p>
    <w:p w14:paraId="326CC1B6" w14:textId="77777777" w:rsidR="0034297B" w:rsidRPr="00741EA5" w:rsidRDefault="0034297B" w:rsidP="0034297B">
      <w:pPr>
        <w:pStyle w:val="ListParagraph"/>
        <w:numPr>
          <w:ilvl w:val="0"/>
          <w:numId w:val="7"/>
        </w:numPr>
        <w:rPr>
          <w:b/>
          <w:bCs/>
        </w:rPr>
      </w:pPr>
      <w:r w:rsidRPr="00741EA5">
        <w:rPr>
          <w:b/>
          <w:bCs/>
        </w:rPr>
        <w:t>Measurement restrictions for SSB based RLM and CSI-RS based RLM</w:t>
      </w:r>
    </w:p>
    <w:p w14:paraId="115038B0" w14:textId="77777777" w:rsidR="0034297B" w:rsidRPr="00741EA5" w:rsidRDefault="0034297B" w:rsidP="0034297B">
      <w:pPr>
        <w:pStyle w:val="ListParagraph"/>
        <w:numPr>
          <w:ilvl w:val="0"/>
          <w:numId w:val="7"/>
        </w:numPr>
        <w:rPr>
          <w:b/>
          <w:bCs/>
        </w:rPr>
      </w:pPr>
      <w:r w:rsidRPr="00741EA5">
        <w:rPr>
          <w:b/>
          <w:bCs/>
        </w:rPr>
        <w:t>Minimum requirement at transitions</w:t>
      </w:r>
    </w:p>
    <w:p w14:paraId="4D9B7C0C" w14:textId="77777777" w:rsidR="0034297B" w:rsidRPr="00741EA5" w:rsidRDefault="0034297B" w:rsidP="0034297B">
      <w:pPr>
        <w:pStyle w:val="ListParagraph"/>
        <w:numPr>
          <w:ilvl w:val="0"/>
          <w:numId w:val="7"/>
        </w:numPr>
        <w:rPr>
          <w:b/>
          <w:bCs/>
        </w:rPr>
      </w:pPr>
      <w:r w:rsidRPr="00741EA5">
        <w:rPr>
          <w:b/>
          <w:bCs/>
        </w:rPr>
        <w:t xml:space="preserve">Minimum requirement for L1 indication. </w:t>
      </w:r>
    </w:p>
    <w:p w14:paraId="3935F2FB" w14:textId="5AB18F32" w:rsidR="00F23939" w:rsidRDefault="0034297B" w:rsidP="00F23939">
      <w:pPr>
        <w:pStyle w:val="ListParagraph"/>
        <w:numPr>
          <w:ilvl w:val="0"/>
          <w:numId w:val="7"/>
        </w:numPr>
        <w:rPr>
          <w:b/>
          <w:bCs/>
        </w:rPr>
      </w:pPr>
      <w:r w:rsidRPr="00741EA5">
        <w:rPr>
          <w:b/>
          <w:bCs/>
        </w:rPr>
        <w:t>Scheduling availability during RLM</w:t>
      </w:r>
    </w:p>
    <w:p w14:paraId="68CF508C" w14:textId="77777777" w:rsidR="00775E41" w:rsidRPr="00775E41" w:rsidRDefault="00775E41" w:rsidP="00775E41">
      <w:pPr>
        <w:pStyle w:val="ListParagraph"/>
        <w:rPr>
          <w:b/>
          <w:bCs/>
        </w:rPr>
      </w:pPr>
    </w:p>
    <w:p w14:paraId="65B76AFC" w14:textId="77777777" w:rsidR="00F23939" w:rsidRDefault="00F23939" w:rsidP="00F23939">
      <w:pPr>
        <w:pStyle w:val="Heading1"/>
      </w:pPr>
      <w:r>
        <w:t>Reference</w:t>
      </w:r>
    </w:p>
    <w:p w14:paraId="372ED334" w14:textId="45914ED7" w:rsidR="005D037A" w:rsidRDefault="005D037A" w:rsidP="00F23939">
      <w:pPr>
        <w:numPr>
          <w:ilvl w:val="0"/>
          <w:numId w:val="4"/>
        </w:numPr>
        <w:jc w:val="both"/>
        <w:rPr>
          <w:lang w:eastAsia="zh-CN"/>
        </w:rPr>
      </w:pPr>
      <w:r>
        <w:rPr>
          <w:lang w:eastAsia="zh-CN"/>
        </w:rPr>
        <w:t>R4-2002307, “Email discussion summary for RAN4#94e_#53_NR_IAB_RRM”, Qualcomm Incorporated.</w:t>
      </w:r>
    </w:p>
    <w:p w14:paraId="57BE14D5" w14:textId="02693ED9" w:rsidR="00AF0965" w:rsidRDefault="00BC337F" w:rsidP="00775E41">
      <w:pPr>
        <w:numPr>
          <w:ilvl w:val="0"/>
          <w:numId w:val="4"/>
        </w:numPr>
        <w:jc w:val="both"/>
        <w:rPr>
          <w:lang w:eastAsia="zh-CN"/>
        </w:rPr>
      </w:pPr>
      <w:r w:rsidRPr="00BC337F">
        <w:rPr>
          <w:lang w:val="en-US"/>
        </w:rPr>
        <w:t xml:space="preserve">R4-2000889, Samsung. </w:t>
      </w:r>
    </w:p>
    <w:sectPr w:rsidR="00AF096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14DAE"/>
    <w:multiLevelType w:val="hybridMultilevel"/>
    <w:tmpl w:val="82FA1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CE53BD"/>
    <w:multiLevelType w:val="hybridMultilevel"/>
    <w:tmpl w:val="A32C7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3D3EA0"/>
    <w:multiLevelType w:val="hybridMultilevel"/>
    <w:tmpl w:val="A4DC0656"/>
    <w:lvl w:ilvl="0" w:tplc="04090001">
      <w:start w:val="1"/>
      <w:numFmt w:val="bullet"/>
      <w:lvlText w:val=""/>
      <w:lvlJc w:val="left"/>
      <w:pPr>
        <w:ind w:left="985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0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5" w:hanging="420"/>
      </w:pPr>
      <w:rPr>
        <w:rFonts w:ascii="Wingdings" w:hAnsi="Wingdings" w:hint="default"/>
      </w:rPr>
    </w:lvl>
  </w:abstractNum>
  <w:abstractNum w:abstractNumId="3" w15:restartNumberingAfterBreak="0">
    <w:nsid w:val="183F67D7"/>
    <w:multiLevelType w:val="hybridMultilevel"/>
    <w:tmpl w:val="E3888E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404C63"/>
    <w:multiLevelType w:val="hybridMultilevel"/>
    <w:tmpl w:val="DF02D678"/>
    <w:lvl w:ilvl="0" w:tplc="DF124A6E">
      <w:start w:val="8"/>
      <w:numFmt w:val="bullet"/>
      <w:lvlText w:val=""/>
      <w:lvlJc w:val="left"/>
      <w:pPr>
        <w:ind w:left="360" w:hanging="360"/>
      </w:pPr>
      <w:rPr>
        <w:rFonts w:ascii="Symbol" w:eastAsia="SimSun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025B22"/>
    <w:multiLevelType w:val="hybridMultilevel"/>
    <w:tmpl w:val="D56081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E9650F"/>
    <w:multiLevelType w:val="hybridMultilevel"/>
    <w:tmpl w:val="9D9CF1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4F59F0"/>
    <w:multiLevelType w:val="multilevel"/>
    <w:tmpl w:val="68B43754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4B233AA"/>
    <w:multiLevelType w:val="hybridMultilevel"/>
    <w:tmpl w:val="623CF232"/>
    <w:lvl w:ilvl="0" w:tplc="0D2EDFE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4A276E8F"/>
    <w:multiLevelType w:val="hybridMultilevel"/>
    <w:tmpl w:val="492A2DE4"/>
    <w:lvl w:ilvl="0" w:tplc="13E81E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2C9DCE">
      <w:start w:val="11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2A4622">
      <w:start w:val="1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489D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42CA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9667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4EA7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089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0801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6BC838D8"/>
    <w:multiLevelType w:val="multilevel"/>
    <w:tmpl w:val="6BC838D8"/>
    <w:lvl w:ilvl="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4BB7EA8"/>
    <w:multiLevelType w:val="hybridMultilevel"/>
    <w:tmpl w:val="38381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1"/>
  </w:num>
  <w:num w:numId="4">
    <w:abstractNumId w:val="9"/>
  </w:num>
  <w:num w:numId="5">
    <w:abstractNumId w:val="6"/>
  </w:num>
  <w:num w:numId="6">
    <w:abstractNumId w:val="0"/>
  </w:num>
  <w:num w:numId="7">
    <w:abstractNumId w:val="12"/>
  </w:num>
  <w:num w:numId="8">
    <w:abstractNumId w:val="10"/>
  </w:num>
  <w:num w:numId="9">
    <w:abstractNumId w:val="2"/>
  </w:num>
  <w:num w:numId="10">
    <w:abstractNumId w:val="5"/>
  </w:num>
  <w:num w:numId="11">
    <w:abstractNumId w:val="11"/>
  </w:num>
  <w:num w:numId="12">
    <w:abstractNumId w:val="7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939"/>
    <w:rsid w:val="000208E4"/>
    <w:rsid w:val="000659BE"/>
    <w:rsid w:val="0008722C"/>
    <w:rsid w:val="00090F9F"/>
    <w:rsid w:val="00091679"/>
    <w:rsid w:val="000D3E75"/>
    <w:rsid w:val="00194679"/>
    <w:rsid w:val="001D2926"/>
    <w:rsid w:val="001D56D7"/>
    <w:rsid w:val="001E4A36"/>
    <w:rsid w:val="002447B5"/>
    <w:rsid w:val="00245F48"/>
    <w:rsid w:val="00287B9C"/>
    <w:rsid w:val="002A30BC"/>
    <w:rsid w:val="002B119B"/>
    <w:rsid w:val="002D0C60"/>
    <w:rsid w:val="0034297B"/>
    <w:rsid w:val="00364C89"/>
    <w:rsid w:val="00381673"/>
    <w:rsid w:val="00396B14"/>
    <w:rsid w:val="003C372C"/>
    <w:rsid w:val="003E02BD"/>
    <w:rsid w:val="003E298D"/>
    <w:rsid w:val="0042248F"/>
    <w:rsid w:val="004438B0"/>
    <w:rsid w:val="004529D0"/>
    <w:rsid w:val="00472C5C"/>
    <w:rsid w:val="00497474"/>
    <w:rsid w:val="004B46C7"/>
    <w:rsid w:val="004D3E08"/>
    <w:rsid w:val="004E5C48"/>
    <w:rsid w:val="00505729"/>
    <w:rsid w:val="00514178"/>
    <w:rsid w:val="00522CBC"/>
    <w:rsid w:val="00543BB4"/>
    <w:rsid w:val="005644EE"/>
    <w:rsid w:val="005645DC"/>
    <w:rsid w:val="00583E97"/>
    <w:rsid w:val="005D037A"/>
    <w:rsid w:val="005D257D"/>
    <w:rsid w:val="005D699A"/>
    <w:rsid w:val="00606214"/>
    <w:rsid w:val="00624165"/>
    <w:rsid w:val="00650FA9"/>
    <w:rsid w:val="006765AE"/>
    <w:rsid w:val="006771EC"/>
    <w:rsid w:val="00677A17"/>
    <w:rsid w:val="00693DD5"/>
    <w:rsid w:val="006A7C92"/>
    <w:rsid w:val="006C0088"/>
    <w:rsid w:val="007071A6"/>
    <w:rsid w:val="00726EAE"/>
    <w:rsid w:val="00741EA5"/>
    <w:rsid w:val="0077246B"/>
    <w:rsid w:val="00774B1E"/>
    <w:rsid w:val="00775E41"/>
    <w:rsid w:val="00795418"/>
    <w:rsid w:val="007B0EC8"/>
    <w:rsid w:val="007B6DC0"/>
    <w:rsid w:val="007F4799"/>
    <w:rsid w:val="008642F0"/>
    <w:rsid w:val="00874BD2"/>
    <w:rsid w:val="00883412"/>
    <w:rsid w:val="00896C01"/>
    <w:rsid w:val="008A37B5"/>
    <w:rsid w:val="008C0AA7"/>
    <w:rsid w:val="008E62F4"/>
    <w:rsid w:val="008F35DC"/>
    <w:rsid w:val="009340A9"/>
    <w:rsid w:val="00942137"/>
    <w:rsid w:val="009733C0"/>
    <w:rsid w:val="009A05B1"/>
    <w:rsid w:val="00A257B6"/>
    <w:rsid w:val="00A56696"/>
    <w:rsid w:val="00A726FC"/>
    <w:rsid w:val="00A77E5D"/>
    <w:rsid w:val="00AF0965"/>
    <w:rsid w:val="00B4323B"/>
    <w:rsid w:val="00B46665"/>
    <w:rsid w:val="00B52968"/>
    <w:rsid w:val="00B53E2D"/>
    <w:rsid w:val="00B566F4"/>
    <w:rsid w:val="00B634A9"/>
    <w:rsid w:val="00B9198C"/>
    <w:rsid w:val="00BA5082"/>
    <w:rsid w:val="00BB2439"/>
    <w:rsid w:val="00BC337F"/>
    <w:rsid w:val="00C01B65"/>
    <w:rsid w:val="00C20D7D"/>
    <w:rsid w:val="00C3452E"/>
    <w:rsid w:val="00CC0F4E"/>
    <w:rsid w:val="00CC51C1"/>
    <w:rsid w:val="00D00316"/>
    <w:rsid w:val="00D1604F"/>
    <w:rsid w:val="00D23387"/>
    <w:rsid w:val="00D27BC2"/>
    <w:rsid w:val="00D57882"/>
    <w:rsid w:val="00DB5695"/>
    <w:rsid w:val="00DB5F4B"/>
    <w:rsid w:val="00DC5CBD"/>
    <w:rsid w:val="00DF32B3"/>
    <w:rsid w:val="00E12275"/>
    <w:rsid w:val="00E1662E"/>
    <w:rsid w:val="00E23EAA"/>
    <w:rsid w:val="00E775CE"/>
    <w:rsid w:val="00EA744B"/>
    <w:rsid w:val="00ED1556"/>
    <w:rsid w:val="00EE202F"/>
    <w:rsid w:val="00EE2BD0"/>
    <w:rsid w:val="00F23939"/>
    <w:rsid w:val="00F243D6"/>
    <w:rsid w:val="00F4404D"/>
    <w:rsid w:val="00FB025D"/>
    <w:rsid w:val="00FB689D"/>
    <w:rsid w:val="00FF0228"/>
    <w:rsid w:val="00FF7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D503CF"/>
  <w15:chartTrackingRefBased/>
  <w15:docId w15:val="{1A89AD7B-204D-47F1-BAF1-C9008343B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F23939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F23939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F2393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qFormat/>
    <w:rsid w:val="00F23939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Heading3"/>
    <w:next w:val="Normal"/>
    <w:link w:val="Heading4Char"/>
    <w:qFormat/>
    <w:rsid w:val="00F23939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qFormat/>
    <w:rsid w:val="00F23939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qFormat/>
    <w:rsid w:val="00F23939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F2393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2393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rsid w:val="00F23939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23939"/>
    <w:rPr>
      <w:rFonts w:ascii="Arial" w:eastAsia="MS Mincho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F23939"/>
    <w:rPr>
      <w:rFonts w:ascii="Arial" w:eastAsia="MS Mincho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23939"/>
    <w:rPr>
      <w:rFonts w:ascii="Arial" w:eastAsia="MS Mincho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rsid w:val="00F23939"/>
    <w:rPr>
      <w:rFonts w:ascii="Arial" w:eastAsia="MS Mincho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F23939"/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F23939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F23939"/>
    <w:rPr>
      <w:rFonts w:ascii="Arial" w:eastAsia="MS Mincho" w:hAnsi="Arial" w:cs="Times New Roman"/>
      <w:sz w:val="36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F23939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23939"/>
    <w:rPr>
      <w:rFonts w:ascii="Arial" w:eastAsia="MS Mincho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F23939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F23939"/>
    <w:rPr>
      <w:rFonts w:ascii="Arial" w:eastAsia="MS Mincho" w:hAnsi="Arial" w:cs="Times New Roman"/>
      <w:b/>
      <w:i/>
      <w:noProof/>
      <w:sz w:val="18"/>
      <w:szCs w:val="20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F23939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F23939"/>
    <w:rPr>
      <w:rFonts w:ascii="Times New Roman" w:eastAsia="MS Mincho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rsid w:val="00F23939"/>
    <w:pPr>
      <w:spacing w:after="180" w:line="240" w:lineRule="auto"/>
    </w:pPr>
    <w:rPr>
      <w:rFonts w:ascii="CG Times (WN)" w:eastAsia="Batang" w:hAnsi="CG Times (WN)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aintext">
    <w:name w:val="main text"/>
    <w:basedOn w:val="Normal"/>
    <w:link w:val="maintextChar"/>
    <w:qFormat/>
    <w:rsid w:val="00F23939"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F23939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66F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66F4"/>
    <w:rPr>
      <w:rFonts w:ascii="Segoe UI" w:eastAsia="MS Mincho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673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4595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960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10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7925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809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37ac4f6a893d7a0640dd9ef9e0f1a8cc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fbf0c81d0cfeaa7fd9bb1bca694773ca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F4E2651-ADC3-4A08-BB30-04EE2F6E86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E7D919-60A1-49CA-B454-19C7521F5C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BF068E-28FD-40DC-B38E-98E7393D527E}">
  <ds:schemaRefs>
    <ds:schemaRef ds:uri="http://schemas.microsoft.com/office/2006/metadata/properties"/>
    <ds:schemaRef ds:uri="cc9c437c-ae0c-4066-8d90-a0f7de786127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ba37140e-f4c5-4a6c-a9b4-20a691ce6c8a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996</Words>
  <Characters>5678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Nazmul Islam</dc:creator>
  <cp:keywords/>
  <dc:description/>
  <cp:lastModifiedBy>Nazmul Islam</cp:lastModifiedBy>
  <cp:revision>2</cp:revision>
  <dcterms:created xsi:type="dcterms:W3CDTF">2020-04-10T21:16:00Z</dcterms:created>
  <dcterms:modified xsi:type="dcterms:W3CDTF">2020-04-10T21:16:00Z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