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90106" w14:textId="7F491E4F" w:rsidR="00695E7D" w:rsidRPr="00BC77B0" w:rsidRDefault="00695E7D" w:rsidP="00853E2B">
      <w:pPr>
        <w:pStyle w:val="Header"/>
        <w:keepLines/>
        <w:tabs>
          <w:tab w:val="clear" w:pos="9072"/>
          <w:tab w:val="left" w:pos="808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C77B0">
        <w:rPr>
          <w:rFonts w:ascii="Arial" w:hAnsi="Arial" w:cs="Arial"/>
          <w:b/>
          <w:sz w:val="24"/>
          <w:szCs w:val="24"/>
        </w:rPr>
        <w:t>3GPP TSG-RAN WG4 Meeting #</w:t>
      </w:r>
      <w:r w:rsidRPr="00BC77B0">
        <w:rPr>
          <w:rFonts w:ascii="Arial" w:eastAsia="SimSun" w:hAnsi="Arial" w:cs="Arial"/>
          <w:b/>
          <w:sz w:val="24"/>
          <w:szCs w:val="24"/>
          <w:lang w:eastAsia="zh-CN"/>
        </w:rPr>
        <w:t>94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 w:rsidRPr="00BC77B0">
        <w:rPr>
          <w:rFonts w:ascii="Arial" w:eastAsia="SimSun" w:hAnsi="Arial" w:cs="Arial"/>
          <w:b/>
          <w:sz w:val="24"/>
          <w:szCs w:val="24"/>
          <w:lang w:eastAsia="zh-CN"/>
        </w:rPr>
        <w:t>-e</w:t>
      </w:r>
      <w:r w:rsidRPr="00BC77B0">
        <w:rPr>
          <w:rFonts w:ascii="Arial" w:hAnsi="Arial" w:cs="Arial"/>
          <w:b/>
          <w:sz w:val="24"/>
          <w:szCs w:val="24"/>
        </w:rPr>
        <w:tab/>
      </w:r>
      <w:r w:rsidRPr="00BC77B0">
        <w:rPr>
          <w:rFonts w:ascii="Arial" w:hAnsi="Arial" w:cs="Arial"/>
          <w:b/>
          <w:sz w:val="24"/>
          <w:szCs w:val="24"/>
        </w:rPr>
        <w:tab/>
        <w:t>R4-200</w:t>
      </w:r>
      <w:r w:rsidR="0085635B">
        <w:rPr>
          <w:rFonts w:ascii="Arial" w:hAnsi="Arial" w:cs="Arial"/>
          <w:b/>
          <w:sz w:val="24"/>
          <w:szCs w:val="24"/>
        </w:rPr>
        <w:t>4075</w:t>
      </w:r>
    </w:p>
    <w:p w14:paraId="730941E1" w14:textId="77777777" w:rsidR="00695E7D" w:rsidRPr="00BC77B0" w:rsidRDefault="00695E7D" w:rsidP="00695E7D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BC77B0">
        <w:rPr>
          <w:rFonts w:ascii="Arial" w:eastAsia="SimSun" w:hAnsi="Arial"/>
          <w:b/>
          <w:sz w:val="24"/>
          <w:szCs w:val="24"/>
          <w:lang w:eastAsia="zh-CN"/>
        </w:rPr>
        <w:t>Electronic Meeting, 2</w:t>
      </w:r>
      <w:r>
        <w:rPr>
          <w:rFonts w:ascii="Arial" w:eastAsia="SimSun" w:hAnsi="Arial"/>
          <w:b/>
          <w:sz w:val="24"/>
          <w:szCs w:val="24"/>
          <w:lang w:eastAsia="zh-CN"/>
        </w:rPr>
        <w:t>0</w:t>
      </w:r>
      <w:r w:rsidRPr="00BC77B0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 w:rsidRPr="00BC77B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BC77B0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BC77B0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0BCA9DF1" w14:textId="77777777" w:rsidR="00841BCD" w:rsidRPr="00DB31F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77777777" w:rsidR="00841BCD" w:rsidRPr="00DB31F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B31F5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DB31F5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DB31F5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DB31F5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DB31F5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7D66FCD" w14:textId="78C9139E" w:rsidR="00841BCD" w:rsidRPr="00DB31F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B31F5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B31F5">
        <w:rPr>
          <w:rFonts w:ascii="Arial" w:eastAsia="Calibri" w:hAnsi="Arial" w:cs="Arial"/>
          <w:b/>
          <w:bCs/>
          <w:sz w:val="24"/>
          <w:lang w:val="en-GB"/>
        </w:rPr>
        <w:tab/>
      </w:r>
      <w:r w:rsidR="00EA2650" w:rsidRPr="00DB31F5">
        <w:rPr>
          <w:rFonts w:ascii="Arial" w:eastAsia="Calibri" w:hAnsi="Arial" w:cs="Arial"/>
          <w:b/>
          <w:bCs/>
          <w:sz w:val="24"/>
          <w:lang w:val="en-GB"/>
        </w:rPr>
        <w:t>On NRSRP processing</w:t>
      </w:r>
      <w:r w:rsidR="00BF5683" w:rsidRPr="00DB31F5">
        <w:rPr>
          <w:rFonts w:ascii="Arial" w:eastAsia="Calibri" w:hAnsi="Arial" w:cs="Arial"/>
          <w:b/>
          <w:bCs/>
          <w:sz w:val="24"/>
          <w:lang w:val="en-GB"/>
        </w:rPr>
        <w:t xml:space="preserve"> in multicarrier operation</w:t>
      </w:r>
    </w:p>
    <w:p w14:paraId="388BE204" w14:textId="7F42A66A" w:rsidR="00841BCD" w:rsidRPr="00DB31F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95E7D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D841B3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ED6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3D6942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7657EE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F5683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3.3</w:t>
      </w:r>
    </w:p>
    <w:p w14:paraId="696A856C" w14:textId="77777777" w:rsidR="00841BCD" w:rsidRPr="00DB31F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DB31F5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DB31F5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DB31F5">
        <w:rPr>
          <w:rFonts w:ascii="Arial" w:eastAsia="Calibri" w:hAnsi="Arial" w:cs="Arial"/>
          <w:b/>
          <w:bCs/>
          <w:sz w:val="24"/>
          <w:lang w:val="en-GB"/>
        </w:rPr>
        <w:t>Discussion</w:t>
      </w:r>
      <w:r w:rsidR="00A35025" w:rsidRPr="00DB31F5">
        <w:rPr>
          <w:rFonts w:ascii="Arial" w:eastAsia="Calibri" w:hAnsi="Arial" w:cs="Arial"/>
          <w:b/>
          <w:bCs/>
          <w:sz w:val="24"/>
          <w:lang w:val="en-GB"/>
        </w:rPr>
        <w:t xml:space="preserve"> and Agreement</w:t>
      </w:r>
    </w:p>
    <w:p w14:paraId="368D7580" w14:textId="77777777" w:rsidR="00841BCD" w:rsidRPr="00DB31F5" w:rsidRDefault="00841BCD" w:rsidP="00A37002">
      <w:pPr>
        <w:pStyle w:val="RAN4H1"/>
      </w:pPr>
      <w:r w:rsidRPr="00DB31F5">
        <w:t>Intro</w:t>
      </w:r>
      <w:r w:rsidRPr="00DB31F5">
        <w:rPr>
          <w:rStyle w:val="RAN4H1Char"/>
        </w:rPr>
        <w:t>ductio</w:t>
      </w:r>
      <w:r w:rsidRPr="00DB31F5">
        <w:t>n</w:t>
      </w:r>
    </w:p>
    <w:p w14:paraId="6BE16D3D" w14:textId="4CB10F5A" w:rsidR="003E00B9" w:rsidRPr="00DB31F5" w:rsidRDefault="002573B5" w:rsidP="00E94B04">
      <w:pPr>
        <w:ind w:right="-22"/>
        <w:rPr>
          <w:lang w:val="en-GB"/>
        </w:rPr>
      </w:pPr>
      <w:r w:rsidRPr="00DB31F5">
        <w:rPr>
          <w:lang w:val="en-GB"/>
        </w:rPr>
        <w:t>At RAN4 #9</w:t>
      </w:r>
      <w:r w:rsidR="00853E2B">
        <w:rPr>
          <w:lang w:val="en-GB"/>
        </w:rPr>
        <w:t>4-e</w:t>
      </w:r>
      <w:r w:rsidRPr="00DB31F5">
        <w:rPr>
          <w:lang w:val="en-GB"/>
        </w:rPr>
        <w:t xml:space="preserve">, </w:t>
      </w:r>
      <w:r w:rsidR="0083376B">
        <w:rPr>
          <w:lang w:val="en-GB"/>
        </w:rPr>
        <w:t xml:space="preserve">the discussion on </w:t>
      </w:r>
      <w:r w:rsidR="0047374E" w:rsidRPr="00DB31F5">
        <w:rPr>
          <w:lang w:val="en-GB"/>
        </w:rPr>
        <w:t xml:space="preserve">RRM measurement aspects for multicarrier operation, </w:t>
      </w:r>
      <w:r w:rsidR="0070259A" w:rsidRPr="00DB31F5">
        <w:rPr>
          <w:lang w:val="en-GB"/>
        </w:rPr>
        <w:t xml:space="preserve">as listed in </w:t>
      </w:r>
      <w:r w:rsidR="0094043F" w:rsidRPr="00DB31F5">
        <w:rPr>
          <w:lang w:val="en-GB"/>
        </w:rPr>
        <w:t>the WI on Additional</w:t>
      </w:r>
      <w:r w:rsidR="003D6942" w:rsidRPr="00DB31F5">
        <w:rPr>
          <w:lang w:val="en-GB"/>
        </w:rPr>
        <w:t xml:space="preserve"> </w:t>
      </w:r>
      <w:r w:rsidR="0094043F" w:rsidRPr="00DB31F5">
        <w:rPr>
          <w:lang w:val="en-GB"/>
        </w:rPr>
        <w:t xml:space="preserve">enhancements for </w:t>
      </w:r>
      <w:r w:rsidR="003D6942" w:rsidRPr="00DB31F5">
        <w:rPr>
          <w:lang w:val="en-GB"/>
        </w:rPr>
        <w:t xml:space="preserve">NB-IoT </w:t>
      </w:r>
      <w:r w:rsidR="00BB7ED6" w:rsidRPr="00DB31F5">
        <w:rPr>
          <w:lang w:val="en-GB"/>
        </w:rPr>
        <w:t>[1] w</w:t>
      </w:r>
      <w:r w:rsidR="0083376B">
        <w:rPr>
          <w:lang w:val="en-GB"/>
        </w:rPr>
        <w:t>as continu</w:t>
      </w:r>
      <w:r w:rsidR="00BB7ED6" w:rsidRPr="00DB31F5">
        <w:rPr>
          <w:lang w:val="en-GB"/>
        </w:rPr>
        <w:t>ed. In the WF [2]</w:t>
      </w:r>
      <w:r w:rsidR="0094043F" w:rsidRPr="00DB31F5">
        <w:rPr>
          <w:lang w:val="en-GB"/>
        </w:rPr>
        <w:t>,</w:t>
      </w:r>
      <w:r w:rsidR="00EB1188" w:rsidRPr="00DB31F5">
        <w:rPr>
          <w:lang w:val="en-GB"/>
        </w:rPr>
        <w:t xml:space="preserve"> the</w:t>
      </w:r>
      <w:r w:rsidR="00BB7ED6" w:rsidRPr="00DB31F5">
        <w:rPr>
          <w:lang w:val="en-GB"/>
        </w:rPr>
        <w:t xml:space="preserve"> </w:t>
      </w:r>
      <w:r w:rsidR="00EB1188" w:rsidRPr="00DB31F5">
        <w:rPr>
          <w:lang w:val="en-GB"/>
        </w:rPr>
        <w:t>following agreement</w:t>
      </w:r>
      <w:r w:rsidR="00E06217" w:rsidRPr="00DB31F5">
        <w:rPr>
          <w:lang w:val="en-GB"/>
        </w:rPr>
        <w:t>s</w:t>
      </w:r>
      <w:r w:rsidR="00EB1188" w:rsidRPr="00DB31F5">
        <w:rPr>
          <w:lang w:val="en-GB"/>
        </w:rPr>
        <w:t xml:space="preserve"> </w:t>
      </w:r>
      <w:r w:rsidR="0047374E" w:rsidRPr="00DB31F5">
        <w:rPr>
          <w:lang w:val="en-GB"/>
        </w:rPr>
        <w:t xml:space="preserve">and open issues </w:t>
      </w:r>
      <w:r w:rsidR="00E06217" w:rsidRPr="00DB31F5">
        <w:rPr>
          <w:lang w:val="en-GB"/>
        </w:rPr>
        <w:t>are</w:t>
      </w:r>
      <w:r w:rsidR="00EB1188" w:rsidRPr="00DB31F5">
        <w:rPr>
          <w:lang w:val="en-GB"/>
        </w:rPr>
        <w:t xml:space="preserve"> reflected.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E00B9" w:rsidRPr="00DB31F5" w14:paraId="2602AE1C" w14:textId="77777777" w:rsidTr="00A438EA">
        <w:tc>
          <w:tcPr>
            <w:tcW w:w="9617" w:type="dxa"/>
          </w:tcPr>
          <w:p w14:paraId="5F8D80BF" w14:textId="1B6FD137" w:rsidR="00EB1188" w:rsidRPr="00DB31F5" w:rsidRDefault="0047374E" w:rsidP="00EB1188">
            <w:pPr>
              <w:spacing w:after="120"/>
              <w:rPr>
                <w:b/>
              </w:rPr>
            </w:pPr>
            <w:r w:rsidRPr="00DB31F5">
              <w:rPr>
                <w:b/>
              </w:rPr>
              <w:t>Multi carrier operation non-anchor RRM</w:t>
            </w:r>
          </w:p>
          <w:p w14:paraId="0EDC5F2F" w14:textId="77777777" w:rsidR="005D2E8D" w:rsidRPr="005D2E8D" w:rsidRDefault="005D2E8D" w:rsidP="005D2E8D">
            <w:pPr>
              <w:pStyle w:val="ListParagraph"/>
              <w:numPr>
                <w:ilvl w:val="0"/>
                <w:numId w:val="8"/>
              </w:numPr>
              <w:spacing w:after="120"/>
              <w:ind w:left="448" w:hanging="284"/>
              <w:contextualSpacing w:val="0"/>
              <w:rPr>
                <w:lang w:eastAsia="x-none"/>
              </w:rPr>
            </w:pPr>
            <w:r w:rsidRPr="005D2E8D">
              <w:rPr>
                <w:lang w:val="en-GB" w:eastAsia="x-none"/>
              </w:rPr>
              <w:t>Whether combining NRSRP samples between anchor carrier and non-anchor carriers are allowed, following two options are under consideration:</w:t>
            </w:r>
          </w:p>
          <w:p w14:paraId="373C3915" w14:textId="3AD80B0D" w:rsidR="005D2E8D" w:rsidRPr="005D2E8D" w:rsidRDefault="005D2E8D" w:rsidP="005D2E8D">
            <w:pPr>
              <w:pStyle w:val="ListParagraph"/>
              <w:numPr>
                <w:ilvl w:val="1"/>
                <w:numId w:val="22"/>
              </w:numPr>
              <w:spacing w:after="120"/>
              <w:ind w:left="885" w:hanging="284"/>
              <w:contextualSpacing w:val="0"/>
              <w:rPr>
                <w:lang w:eastAsia="x-none"/>
              </w:rPr>
            </w:pPr>
            <w:r w:rsidRPr="005D2E8D">
              <w:rPr>
                <w:lang w:eastAsia="x-none"/>
              </w:rPr>
              <w:t xml:space="preserve">Option 1: </w:t>
            </w:r>
            <w:r w:rsidRPr="005D2E8D">
              <w:rPr>
                <w:lang w:val="en-GB" w:eastAsia="x-none"/>
              </w:rPr>
              <w:t xml:space="preserve">NRSRP measurements on non-anchor carrier can be filtered or combined with NRSRP measurement on anchor carrier after translating the non-anchor carrier measurement with parameter </w:t>
            </w:r>
            <w:proofErr w:type="spellStart"/>
            <w:r w:rsidRPr="005D2E8D">
              <w:rPr>
                <w:lang w:val="en-GB" w:eastAsia="x-none"/>
              </w:rPr>
              <w:t>nrs-PowerOffsetNonAnchor</w:t>
            </w:r>
            <w:proofErr w:type="spellEnd"/>
            <w:r w:rsidRPr="005D2E8D">
              <w:rPr>
                <w:lang w:val="en-GB" w:eastAsia="x-none"/>
              </w:rPr>
              <w:t xml:space="preserve"> without any conditions or prerequisites.</w:t>
            </w:r>
          </w:p>
          <w:p w14:paraId="3BC23F49" w14:textId="1A86E096" w:rsidR="005D2E8D" w:rsidRPr="005D2E8D" w:rsidRDefault="005D2E8D" w:rsidP="005D2E8D">
            <w:pPr>
              <w:pStyle w:val="ListParagraph"/>
              <w:numPr>
                <w:ilvl w:val="1"/>
                <w:numId w:val="22"/>
              </w:numPr>
              <w:spacing w:after="120"/>
              <w:ind w:left="885" w:hanging="284"/>
              <w:contextualSpacing w:val="0"/>
              <w:rPr>
                <w:lang w:eastAsia="x-none"/>
              </w:rPr>
            </w:pPr>
            <w:r w:rsidRPr="005D2E8D">
              <w:rPr>
                <w:lang w:val="en-GB" w:eastAsia="x-none"/>
              </w:rPr>
              <w:t xml:space="preserve">Option 2: NRSRP measurements on non-anchor carrier can be filtered or combined with NRSRP measurement on anchor carrier after translating the non-anchor carrier measurement with parameter </w:t>
            </w:r>
            <w:proofErr w:type="spellStart"/>
            <w:r w:rsidRPr="005D2E8D">
              <w:rPr>
                <w:lang w:val="en-GB" w:eastAsia="x-none"/>
              </w:rPr>
              <w:t>nrs-PowerOffsetNonAnchor</w:t>
            </w:r>
            <w:proofErr w:type="spellEnd"/>
            <w:r w:rsidRPr="005D2E8D">
              <w:rPr>
                <w:lang w:val="en-GB" w:eastAsia="x-none"/>
              </w:rPr>
              <w:t xml:space="preserve"> with the condition is fulfilled, where the condition is FFS.</w:t>
            </w:r>
          </w:p>
        </w:tc>
      </w:tr>
    </w:tbl>
    <w:p w14:paraId="4FDE32CD" w14:textId="5D20BAAE" w:rsidR="006F28AC" w:rsidRPr="00DB31F5" w:rsidRDefault="00F231E7" w:rsidP="00D81C0A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DB31F5">
        <w:rPr>
          <w:rFonts w:eastAsia="Calibri" w:cs="Times New Roman"/>
          <w:color w:val="000000" w:themeColor="text1"/>
          <w:szCs w:val="20"/>
          <w:lang w:val="en-GB"/>
        </w:rPr>
        <w:t xml:space="preserve">This contribution </w:t>
      </w:r>
      <w:r w:rsidR="003F5F62">
        <w:rPr>
          <w:rFonts w:eastAsia="Calibri" w:cs="Times New Roman"/>
          <w:color w:val="000000" w:themeColor="text1"/>
          <w:szCs w:val="20"/>
          <w:lang w:val="en-GB"/>
        </w:rPr>
        <w:t xml:space="preserve">investigates </w:t>
      </w:r>
      <w:r w:rsidR="007335E4" w:rsidRPr="00DB31F5">
        <w:rPr>
          <w:rFonts w:eastAsia="Calibri" w:cs="Times New Roman"/>
          <w:color w:val="000000" w:themeColor="text1"/>
          <w:szCs w:val="20"/>
          <w:lang w:val="en-GB"/>
        </w:rPr>
        <w:t xml:space="preserve">the </w:t>
      </w:r>
      <w:r w:rsidR="003F5F62">
        <w:rPr>
          <w:rFonts w:eastAsia="Calibri" w:cs="Times New Roman"/>
          <w:color w:val="000000" w:themeColor="text1"/>
          <w:szCs w:val="20"/>
          <w:lang w:val="en-GB"/>
        </w:rPr>
        <w:t xml:space="preserve">above depicted </w:t>
      </w:r>
      <w:r w:rsidR="007C38E1" w:rsidRPr="00DB31F5">
        <w:rPr>
          <w:rFonts w:eastAsia="Calibri" w:cs="Times New Roman"/>
          <w:color w:val="000000" w:themeColor="text1"/>
          <w:szCs w:val="20"/>
          <w:lang w:val="en-GB"/>
        </w:rPr>
        <w:t>open issu</w:t>
      </w:r>
      <w:bookmarkStart w:id="2" w:name="_Hlk32409651"/>
      <w:r w:rsidR="003F5F62">
        <w:rPr>
          <w:rFonts w:eastAsia="Calibri" w:cs="Times New Roman"/>
          <w:color w:val="000000" w:themeColor="text1"/>
          <w:szCs w:val="20"/>
          <w:lang w:val="en-GB"/>
        </w:rPr>
        <w:t>e</w:t>
      </w:r>
      <w:r w:rsidR="00576CF2" w:rsidRPr="00DB31F5">
        <w:rPr>
          <w:rFonts w:eastAsia="Calibri" w:cs="Times New Roman"/>
          <w:color w:val="000000" w:themeColor="text1"/>
          <w:szCs w:val="20"/>
          <w:lang w:val="en-GB"/>
        </w:rPr>
        <w:t xml:space="preserve">. </w:t>
      </w:r>
      <w:bookmarkEnd w:id="2"/>
    </w:p>
    <w:p w14:paraId="1A4FB904" w14:textId="77777777" w:rsidR="002C2D19" w:rsidRPr="00DB31F5" w:rsidRDefault="00E50C1F" w:rsidP="006F28AC">
      <w:pPr>
        <w:pStyle w:val="RAN4H1"/>
      </w:pPr>
      <w:r w:rsidRPr="00DB31F5">
        <w:t>Discussion</w:t>
      </w:r>
    </w:p>
    <w:p w14:paraId="7F79A06C" w14:textId="36107CFE" w:rsidR="00971AF1" w:rsidRPr="00DB31F5" w:rsidRDefault="00FA02D2" w:rsidP="00DB6076">
      <w:pPr>
        <w:rPr>
          <w:color w:val="000000" w:themeColor="text1"/>
        </w:rPr>
      </w:pPr>
      <w:r w:rsidRPr="00DB31F5">
        <w:rPr>
          <w:color w:val="000000" w:themeColor="text1"/>
          <w:lang w:eastAsia="x-none"/>
        </w:rPr>
        <w:t>The discussion in this sec</w:t>
      </w:r>
      <w:r w:rsidR="003F5D0F" w:rsidRPr="00DB31F5">
        <w:rPr>
          <w:color w:val="000000" w:themeColor="text1"/>
          <w:lang w:eastAsia="x-none"/>
        </w:rPr>
        <w:t>tion</w:t>
      </w:r>
      <w:r w:rsidR="009D15E4" w:rsidRPr="00DB31F5">
        <w:rPr>
          <w:color w:val="000000" w:themeColor="text1"/>
          <w:lang w:eastAsia="x-none"/>
        </w:rPr>
        <w:t xml:space="preserve"> </w:t>
      </w:r>
      <w:r w:rsidR="003F5D0F" w:rsidRPr="00DB31F5">
        <w:rPr>
          <w:color w:val="000000" w:themeColor="text1"/>
          <w:lang w:eastAsia="x-none"/>
        </w:rPr>
        <w:t>re</w:t>
      </w:r>
      <w:r w:rsidR="00B341AF" w:rsidRPr="00DB31F5">
        <w:rPr>
          <w:color w:val="000000" w:themeColor="text1"/>
          <w:lang w:eastAsia="x-none"/>
        </w:rPr>
        <w:t>fers</w:t>
      </w:r>
      <w:r w:rsidR="003F5D0F" w:rsidRPr="00DB31F5">
        <w:rPr>
          <w:color w:val="000000" w:themeColor="text1"/>
          <w:lang w:eastAsia="x-none"/>
        </w:rPr>
        <w:t xml:space="preserve"> to the </w:t>
      </w:r>
      <w:r w:rsidR="00576CF2" w:rsidRPr="00DB31F5">
        <w:rPr>
          <w:color w:val="000000" w:themeColor="text1"/>
          <w:lang w:eastAsia="x-none"/>
        </w:rPr>
        <w:t>open issue</w:t>
      </w:r>
      <w:bookmarkStart w:id="3" w:name="_Hlk32409685"/>
      <w:r w:rsidR="00651041" w:rsidRPr="00DB31F5">
        <w:rPr>
          <w:color w:val="000000" w:themeColor="text1"/>
          <w:lang w:eastAsia="x-none"/>
        </w:rPr>
        <w:t xml:space="preserve"> </w:t>
      </w:r>
      <w:r w:rsidR="007C38E1" w:rsidRPr="00DB31F5">
        <w:rPr>
          <w:color w:val="000000" w:themeColor="text1"/>
          <w:lang w:eastAsia="x-none"/>
        </w:rPr>
        <w:t>in the WF</w:t>
      </w:r>
      <w:r w:rsidR="00651041" w:rsidRPr="00DB31F5">
        <w:rPr>
          <w:color w:val="000000" w:themeColor="text1"/>
          <w:lang w:eastAsia="x-none"/>
        </w:rPr>
        <w:t xml:space="preserve"> on conditions for combining measurements done on anchor </w:t>
      </w:r>
      <w:r w:rsidR="00063656" w:rsidRPr="00DB31F5">
        <w:rPr>
          <w:color w:val="000000" w:themeColor="text1"/>
          <w:lang w:eastAsia="x-none"/>
        </w:rPr>
        <w:t xml:space="preserve">carrier </w:t>
      </w:r>
      <w:r w:rsidR="00651041" w:rsidRPr="00DB31F5">
        <w:rPr>
          <w:color w:val="000000" w:themeColor="text1"/>
          <w:lang w:eastAsia="x-none"/>
        </w:rPr>
        <w:t>and non-anchor carrier</w:t>
      </w:r>
      <w:bookmarkEnd w:id="3"/>
      <w:r w:rsidR="003F5F62">
        <w:rPr>
          <w:color w:val="000000" w:themeColor="text1"/>
          <w:lang w:eastAsia="x-none"/>
        </w:rPr>
        <w:t>.</w:t>
      </w:r>
    </w:p>
    <w:p w14:paraId="58FC1F40" w14:textId="3CC13D18" w:rsidR="00EB1188" w:rsidRPr="00DB31F5" w:rsidRDefault="00651041" w:rsidP="004C7414">
      <w:pPr>
        <w:pStyle w:val="RAN4H2"/>
        <w:ind w:left="567" w:hanging="567"/>
        <w:rPr>
          <w:lang w:val="en-GB"/>
        </w:rPr>
      </w:pPr>
      <w:bookmarkStart w:id="4" w:name="_Hlk32257112"/>
      <w:r w:rsidRPr="00DB31F5">
        <w:rPr>
          <w:lang w:val="en-GB"/>
        </w:rPr>
        <w:t>Com</w:t>
      </w:r>
      <w:r w:rsidR="00F31666" w:rsidRPr="00DB31F5">
        <w:rPr>
          <w:lang w:val="en-GB"/>
        </w:rPr>
        <w:t>bin</w:t>
      </w:r>
      <w:r w:rsidR="004229AE" w:rsidRPr="00DB31F5">
        <w:rPr>
          <w:lang w:val="en-GB"/>
        </w:rPr>
        <w:t>ing</w:t>
      </w:r>
      <w:r w:rsidR="00F31666" w:rsidRPr="00DB31F5">
        <w:rPr>
          <w:lang w:val="en-GB"/>
        </w:rPr>
        <w:t xml:space="preserve"> anchor and non-anchor NRSRP samples</w:t>
      </w:r>
    </w:p>
    <w:bookmarkEnd w:id="4"/>
    <w:p w14:paraId="5378FAA9" w14:textId="601B0E65" w:rsidR="001B445C" w:rsidRPr="00DB31F5" w:rsidRDefault="00EB1188" w:rsidP="00212763">
      <w:pPr>
        <w:rPr>
          <w:lang w:val="en-GB"/>
        </w:rPr>
      </w:pPr>
      <w:r w:rsidRPr="00DB31F5">
        <w:rPr>
          <w:lang w:val="en-GB"/>
        </w:rPr>
        <w:t xml:space="preserve">The </w:t>
      </w:r>
      <w:r w:rsidR="003F5F62">
        <w:rPr>
          <w:lang w:val="en-GB"/>
        </w:rPr>
        <w:t xml:space="preserve">previously approved </w:t>
      </w:r>
      <w:r w:rsidR="00651041" w:rsidRPr="00DB31F5">
        <w:rPr>
          <w:lang w:val="en-GB"/>
        </w:rPr>
        <w:t>WF</w:t>
      </w:r>
      <w:r w:rsidR="003F5F62">
        <w:rPr>
          <w:lang w:val="en-GB"/>
        </w:rPr>
        <w:t xml:space="preserve"> at RAN4 #93 [3] </w:t>
      </w:r>
      <w:r w:rsidR="00651041" w:rsidRPr="00DB31F5">
        <w:rPr>
          <w:lang w:val="en-GB"/>
        </w:rPr>
        <w:t xml:space="preserve">allows to combine measurements done on anchor </w:t>
      </w:r>
      <w:r w:rsidR="00063656" w:rsidRPr="00DB31F5">
        <w:rPr>
          <w:lang w:val="en-GB"/>
        </w:rPr>
        <w:t xml:space="preserve">carrier </w:t>
      </w:r>
      <w:r w:rsidR="00651041" w:rsidRPr="00DB31F5">
        <w:rPr>
          <w:lang w:val="en-GB"/>
        </w:rPr>
        <w:t xml:space="preserve">and non-anchor carrier by applying the power offset signalled to the UE. </w:t>
      </w:r>
      <w:r w:rsidR="001B445C" w:rsidRPr="00DB31F5">
        <w:rPr>
          <w:lang w:val="en-GB"/>
        </w:rPr>
        <w:t xml:space="preserve">The power offset reflects the difference in transmit power on anchor and non-anchor carrier and hence this difference in transmit power is compensated. </w:t>
      </w:r>
      <w:r w:rsidR="0094792A" w:rsidRPr="00DB31F5">
        <w:rPr>
          <w:lang w:val="en-GB"/>
        </w:rPr>
        <w:t>The combin</w:t>
      </w:r>
      <w:r w:rsidR="004229AE" w:rsidRPr="00DB31F5">
        <w:rPr>
          <w:lang w:val="en-GB"/>
        </w:rPr>
        <w:t xml:space="preserve">ing </w:t>
      </w:r>
      <w:r w:rsidR="0094792A" w:rsidRPr="00DB31F5">
        <w:rPr>
          <w:lang w:val="en-GB"/>
        </w:rPr>
        <w:t xml:space="preserve">of measurements on anchor and non-anchor carrier was discussed </w:t>
      </w:r>
      <w:r w:rsidR="004229AE" w:rsidRPr="00DB31F5">
        <w:rPr>
          <w:lang w:val="en-GB"/>
        </w:rPr>
        <w:t xml:space="preserve">at RAN4 #93 </w:t>
      </w:r>
      <w:r w:rsidR="0094792A" w:rsidRPr="00DB31F5">
        <w:rPr>
          <w:lang w:val="en-GB"/>
        </w:rPr>
        <w:t>based on the scenario</w:t>
      </w:r>
      <w:r w:rsidR="004229AE" w:rsidRPr="00DB31F5">
        <w:rPr>
          <w:lang w:val="en-GB"/>
        </w:rPr>
        <w:t xml:space="preserve"> [</w:t>
      </w:r>
      <w:r w:rsidR="003F5F62">
        <w:rPr>
          <w:lang w:val="en-GB"/>
        </w:rPr>
        <w:t>4</w:t>
      </w:r>
      <w:r w:rsidR="004229AE" w:rsidRPr="00DB31F5">
        <w:rPr>
          <w:lang w:val="en-GB"/>
        </w:rPr>
        <w:t>]</w:t>
      </w:r>
      <w:r w:rsidR="0094792A" w:rsidRPr="00DB31F5">
        <w:rPr>
          <w:lang w:val="en-GB"/>
        </w:rPr>
        <w:t xml:space="preserve">, that a UE may identify the need </w:t>
      </w:r>
      <w:r w:rsidR="004229AE" w:rsidRPr="00DB31F5">
        <w:rPr>
          <w:lang w:val="en-GB"/>
        </w:rPr>
        <w:t>to perform</w:t>
      </w:r>
      <w:r w:rsidR="0094792A" w:rsidRPr="00DB31F5">
        <w:rPr>
          <w:lang w:val="en-GB"/>
        </w:rPr>
        <w:t xml:space="preserve"> re-synchronization on the anchor carrier</w:t>
      </w:r>
      <w:r w:rsidR="004229AE" w:rsidRPr="00DB31F5">
        <w:rPr>
          <w:lang w:val="en-GB"/>
        </w:rPr>
        <w:t xml:space="preserve"> or fallback due to other purposes while still performing serving cell evaluation across DRX cycles on the non-anchor carrier.</w:t>
      </w:r>
    </w:p>
    <w:p w14:paraId="378F8648" w14:textId="7CF401EE" w:rsidR="00063656" w:rsidRPr="00DB31F5" w:rsidRDefault="008C3C3F" w:rsidP="00212763">
      <w:pPr>
        <w:rPr>
          <w:lang w:val="en-GB"/>
        </w:rPr>
      </w:pPr>
      <w:r w:rsidRPr="00DB31F5">
        <w:rPr>
          <w:lang w:val="en-GB"/>
        </w:rPr>
        <w:t xml:space="preserve">Aside the difference in transmit power on both carriers, a </w:t>
      </w:r>
      <w:r w:rsidR="001B445C" w:rsidRPr="00DB31F5">
        <w:rPr>
          <w:lang w:val="en-GB"/>
        </w:rPr>
        <w:t xml:space="preserve">difference </w:t>
      </w:r>
      <w:r w:rsidRPr="00DB31F5">
        <w:rPr>
          <w:lang w:val="en-GB"/>
        </w:rPr>
        <w:t>in</w:t>
      </w:r>
      <w:r w:rsidR="001B445C" w:rsidRPr="00DB31F5">
        <w:rPr>
          <w:lang w:val="en-GB"/>
        </w:rPr>
        <w:t xml:space="preserve"> </w:t>
      </w:r>
      <w:r w:rsidRPr="00DB31F5">
        <w:rPr>
          <w:lang w:val="en-GB"/>
        </w:rPr>
        <w:t xml:space="preserve">the </w:t>
      </w:r>
      <w:r w:rsidR="001B445C" w:rsidRPr="00DB31F5">
        <w:rPr>
          <w:lang w:val="en-GB"/>
        </w:rPr>
        <w:t xml:space="preserve">NRSRP </w:t>
      </w:r>
      <w:r w:rsidRPr="00DB31F5">
        <w:rPr>
          <w:lang w:val="en-GB"/>
        </w:rPr>
        <w:t xml:space="preserve">samples for both carriers </w:t>
      </w:r>
      <w:r w:rsidR="001B445C" w:rsidRPr="00DB31F5">
        <w:rPr>
          <w:lang w:val="en-GB"/>
        </w:rPr>
        <w:t xml:space="preserve">may originate from different path loss conditions for anchor </w:t>
      </w:r>
      <w:r w:rsidR="00063656" w:rsidRPr="00DB31F5">
        <w:rPr>
          <w:lang w:val="en-GB"/>
        </w:rPr>
        <w:t xml:space="preserve">carrier </w:t>
      </w:r>
      <w:r w:rsidR="001B445C" w:rsidRPr="00DB31F5">
        <w:rPr>
          <w:lang w:val="en-GB"/>
        </w:rPr>
        <w:t xml:space="preserve">and non-anchor carrier. </w:t>
      </w:r>
      <w:r w:rsidR="00063656" w:rsidRPr="00DB31F5">
        <w:rPr>
          <w:lang w:val="en-GB"/>
        </w:rPr>
        <w:t xml:space="preserve">The path loss may be different </w:t>
      </w:r>
    </w:p>
    <w:p w14:paraId="19BA5812" w14:textId="3349CE38" w:rsidR="00063656" w:rsidRPr="00DB31F5" w:rsidRDefault="00063656" w:rsidP="00063656">
      <w:pPr>
        <w:pStyle w:val="ListParagraph"/>
        <w:numPr>
          <w:ilvl w:val="0"/>
          <w:numId w:val="13"/>
        </w:numPr>
        <w:rPr>
          <w:lang w:val="en-GB"/>
        </w:rPr>
      </w:pPr>
      <w:r w:rsidRPr="00DB31F5">
        <w:rPr>
          <w:lang w:val="en-GB"/>
        </w:rPr>
        <w:t>due to frequency selective fading of the radio channel, in case the channel bandwidth is smaller than the coherence bandwidth of the radio channel</w:t>
      </w:r>
      <w:r w:rsidR="008C3C3F" w:rsidRPr="00DB31F5">
        <w:rPr>
          <w:lang w:val="en-GB"/>
        </w:rPr>
        <w:t xml:space="preserve"> and </w:t>
      </w:r>
    </w:p>
    <w:p w14:paraId="6FE5884C" w14:textId="7E82F417" w:rsidR="00E455B1" w:rsidRPr="00DB31F5" w:rsidRDefault="00E455B1" w:rsidP="00063656">
      <w:pPr>
        <w:pStyle w:val="ListParagraph"/>
        <w:numPr>
          <w:ilvl w:val="0"/>
          <w:numId w:val="13"/>
        </w:numPr>
        <w:rPr>
          <w:lang w:val="en-GB"/>
        </w:rPr>
      </w:pPr>
      <w:r w:rsidRPr="00DB31F5">
        <w:rPr>
          <w:lang w:val="en-GB"/>
        </w:rPr>
        <w:t>due to high intra- and intercell interference for one of the carriers, which will degrade NRSRP estimation (e.g. in the scenario of large channel separation</w:t>
      </w:r>
      <w:r w:rsidR="008C3C3F" w:rsidRPr="00DB31F5">
        <w:rPr>
          <w:lang w:val="en-GB"/>
        </w:rPr>
        <w:t xml:space="preserve"> in frequency</w:t>
      </w:r>
      <w:r w:rsidRPr="00DB31F5">
        <w:rPr>
          <w:lang w:val="en-GB"/>
        </w:rPr>
        <w:t>).</w:t>
      </w:r>
    </w:p>
    <w:p w14:paraId="1FB49335" w14:textId="0BFD1ED1" w:rsidR="003B291B" w:rsidRPr="00DB31F5" w:rsidRDefault="003B291B" w:rsidP="00E455B1">
      <w:pPr>
        <w:rPr>
          <w:lang w:val="en-GB"/>
        </w:rPr>
      </w:pPr>
      <w:r w:rsidRPr="00DB31F5">
        <w:rPr>
          <w:lang w:val="en-GB"/>
        </w:rPr>
        <w:t xml:space="preserve">Furthermore, the UE may be in noise limited condition at the cell boundary or </w:t>
      </w:r>
      <w:r w:rsidR="0094792A" w:rsidRPr="00DB31F5">
        <w:rPr>
          <w:lang w:val="en-GB"/>
        </w:rPr>
        <w:t xml:space="preserve">even </w:t>
      </w:r>
      <w:r w:rsidRPr="00DB31F5">
        <w:rPr>
          <w:lang w:val="en-GB"/>
        </w:rPr>
        <w:t xml:space="preserve">in extreme coverage. Then NRSRP samples taken for both carriers could differ significantly. </w:t>
      </w:r>
    </w:p>
    <w:p w14:paraId="15342BBD" w14:textId="4558D5ED" w:rsidR="000F37AA" w:rsidRPr="00DB31F5" w:rsidRDefault="008C3C3F" w:rsidP="00E455B1">
      <w:pPr>
        <w:rPr>
          <w:lang w:val="en-GB"/>
        </w:rPr>
      </w:pPr>
      <w:r w:rsidRPr="00DB31F5">
        <w:rPr>
          <w:lang w:val="en-GB"/>
        </w:rPr>
        <w:lastRenderedPageBreak/>
        <w:t xml:space="preserve">If we assume that NRSRP evaluation serves for triggering neighbour cell measurements for cell reselection and for start / abortion of the relaxed monitoring mode, then </w:t>
      </w:r>
      <w:r w:rsidR="00352F91" w:rsidRPr="00DB31F5">
        <w:rPr>
          <w:lang w:val="en-GB"/>
        </w:rPr>
        <w:t xml:space="preserve">the combination of NRSRP samples from both carriers should improve measurement accuracy and thus </w:t>
      </w:r>
      <w:r w:rsidR="00F20D19">
        <w:rPr>
          <w:lang w:val="en-GB"/>
        </w:rPr>
        <w:t xml:space="preserve">be </w:t>
      </w:r>
      <w:r w:rsidR="00352F91" w:rsidRPr="00DB31F5">
        <w:rPr>
          <w:lang w:val="en-GB"/>
        </w:rPr>
        <w:t xml:space="preserve">allowed only conditionally. </w:t>
      </w:r>
    </w:p>
    <w:p w14:paraId="0DCAB02A" w14:textId="340A9649" w:rsidR="00352F91" w:rsidRPr="00DB31F5" w:rsidRDefault="00CF480D" w:rsidP="00E455B1">
      <w:pPr>
        <w:rPr>
          <w:lang w:val="en-GB"/>
        </w:rPr>
      </w:pPr>
      <w:r w:rsidRPr="00DB31F5">
        <w:rPr>
          <w:lang w:val="en-GB"/>
        </w:rPr>
        <w:t>Two cases are distinguished.</w:t>
      </w:r>
    </w:p>
    <w:p w14:paraId="03CEE581" w14:textId="77777777" w:rsidR="00352F91" w:rsidRPr="00DB31F5" w:rsidRDefault="00352F91" w:rsidP="00E455B1">
      <w:pPr>
        <w:rPr>
          <w:b/>
          <w:bCs/>
          <w:lang w:val="en-GB"/>
        </w:rPr>
      </w:pPr>
      <w:r w:rsidRPr="00DB31F5">
        <w:rPr>
          <w:b/>
          <w:bCs/>
          <w:lang w:val="en-GB"/>
        </w:rPr>
        <w:t xml:space="preserve">1) Normal coverage </w:t>
      </w:r>
    </w:p>
    <w:p w14:paraId="00594783" w14:textId="4BB0A291" w:rsidR="003277CC" w:rsidRPr="00DB31F5" w:rsidRDefault="00352F91" w:rsidP="00E455B1">
      <w:pPr>
        <w:rPr>
          <w:lang w:val="en-GB"/>
        </w:rPr>
      </w:pPr>
      <w:r w:rsidRPr="00DB31F5">
        <w:rPr>
          <w:lang w:val="en-GB"/>
        </w:rPr>
        <w:t xml:space="preserve">Assuming normal coverage of the UE, the </w:t>
      </w:r>
      <w:r w:rsidR="00E455B1" w:rsidRPr="00DB31F5">
        <w:rPr>
          <w:lang w:val="en-GB"/>
        </w:rPr>
        <w:t xml:space="preserve">combination of NRSRP samples </w:t>
      </w:r>
      <w:r w:rsidR="003277CC" w:rsidRPr="00DB31F5">
        <w:rPr>
          <w:lang w:val="en-GB"/>
        </w:rPr>
        <w:t>from</w:t>
      </w:r>
      <w:r w:rsidR="00E455B1" w:rsidRPr="00DB31F5">
        <w:rPr>
          <w:lang w:val="en-GB"/>
        </w:rPr>
        <w:t xml:space="preserve"> anchor and non-anchor carrier should </w:t>
      </w:r>
      <w:r w:rsidRPr="00DB31F5">
        <w:rPr>
          <w:lang w:val="en-GB"/>
        </w:rPr>
        <w:t xml:space="preserve">thus </w:t>
      </w:r>
      <w:r w:rsidR="00E455B1" w:rsidRPr="00DB31F5">
        <w:rPr>
          <w:lang w:val="en-GB"/>
        </w:rPr>
        <w:t xml:space="preserve">not be allowed, if a significant path loss difference is detected by the UE. </w:t>
      </w:r>
      <w:r w:rsidR="003277CC" w:rsidRPr="00DB31F5">
        <w:rPr>
          <w:lang w:val="en-GB"/>
        </w:rPr>
        <w:t>To this purpose the UE should compare measurements on anchor and non-anchor carrier</w:t>
      </w:r>
      <w:r w:rsidRPr="00DB31F5">
        <w:rPr>
          <w:lang w:val="en-GB"/>
        </w:rPr>
        <w:t xml:space="preserve">, </w:t>
      </w:r>
      <w:r w:rsidR="002C1D4E" w:rsidRPr="00DB31F5">
        <w:rPr>
          <w:lang w:val="en-GB"/>
        </w:rPr>
        <w:t xml:space="preserve">adding </w:t>
      </w:r>
      <w:r w:rsidRPr="00DB31F5">
        <w:rPr>
          <w:lang w:val="en-GB"/>
        </w:rPr>
        <w:t xml:space="preserve">to the latter </w:t>
      </w:r>
      <w:r w:rsidR="002C1D4E" w:rsidRPr="00DB31F5">
        <w:rPr>
          <w:lang w:val="en-GB"/>
        </w:rPr>
        <w:t>the signalled power offset of the anchor carrier</w:t>
      </w:r>
      <w:r w:rsidRPr="00DB31F5">
        <w:rPr>
          <w:lang w:val="en-GB"/>
        </w:rPr>
        <w:t xml:space="preserve"> (in logarithmic scale</w:t>
      </w:r>
      <w:r w:rsidR="002C1D4E" w:rsidRPr="00DB31F5">
        <w:rPr>
          <w:lang w:val="en-GB"/>
        </w:rPr>
        <w:t xml:space="preserve">) </w:t>
      </w:r>
      <w:r w:rsidR="003277CC" w:rsidRPr="00DB31F5">
        <w:rPr>
          <w:lang w:val="en-GB"/>
        </w:rPr>
        <w:t xml:space="preserve">for a </w:t>
      </w:r>
      <w:r w:rsidR="00CC2F3C">
        <w:rPr>
          <w:lang w:val="en-GB"/>
        </w:rPr>
        <w:t>sufficient long</w:t>
      </w:r>
      <w:r w:rsidR="003277CC" w:rsidRPr="00DB31F5">
        <w:rPr>
          <w:lang w:val="en-GB"/>
        </w:rPr>
        <w:t xml:space="preserve"> </w:t>
      </w:r>
      <w:r w:rsidRPr="00DB31F5">
        <w:rPr>
          <w:lang w:val="en-GB"/>
        </w:rPr>
        <w:t xml:space="preserve">measurement </w:t>
      </w:r>
      <w:r w:rsidR="003277CC" w:rsidRPr="00DB31F5">
        <w:rPr>
          <w:lang w:val="en-GB"/>
        </w:rPr>
        <w:t>period</w:t>
      </w:r>
      <w:r w:rsidR="00CC2F3C">
        <w:rPr>
          <w:lang w:val="en-GB"/>
        </w:rPr>
        <w:t xml:space="preserve"> comparable to that for serving cell evaluation</w:t>
      </w:r>
      <w:r w:rsidR="003277CC" w:rsidRPr="00DB31F5">
        <w:rPr>
          <w:lang w:val="en-GB"/>
        </w:rPr>
        <w:t xml:space="preserve">. Either concurrent measurements in the same subframes are done or </w:t>
      </w:r>
      <w:r w:rsidR="002C1D4E" w:rsidRPr="00DB31F5">
        <w:rPr>
          <w:lang w:val="en-GB"/>
        </w:rPr>
        <w:t xml:space="preserve">subframe </w:t>
      </w:r>
      <w:r w:rsidR="003277CC" w:rsidRPr="00DB31F5">
        <w:rPr>
          <w:lang w:val="en-GB"/>
        </w:rPr>
        <w:t xml:space="preserve">interlaced measurements between anchor and non-anchor carrier. </w:t>
      </w:r>
    </w:p>
    <w:p w14:paraId="68E0FF98" w14:textId="4693CA8B" w:rsidR="003277CC" w:rsidRPr="00DB31F5" w:rsidRDefault="003277CC" w:rsidP="00E455B1">
      <w:pPr>
        <w:rPr>
          <w:lang w:val="en-GB"/>
        </w:rPr>
      </w:pPr>
      <w:r w:rsidRPr="00DB31F5">
        <w:rPr>
          <w:lang w:val="en-GB"/>
        </w:rPr>
        <w:t xml:space="preserve">If the </w:t>
      </w:r>
      <w:r w:rsidR="006F279D" w:rsidRPr="00DB31F5">
        <w:rPr>
          <w:lang w:val="en-GB"/>
        </w:rPr>
        <w:t>inequation</w:t>
      </w:r>
      <w:r w:rsidRPr="00DB31F5">
        <w:rPr>
          <w:lang w:val="en-GB"/>
        </w:rPr>
        <w:t xml:space="preserve"> </w:t>
      </w:r>
    </w:p>
    <w:p w14:paraId="7C58057D" w14:textId="38D587B5" w:rsidR="003277CC" w:rsidRPr="00DB31F5" w:rsidRDefault="00F31666" w:rsidP="00352F91">
      <w:pPr>
        <w:tabs>
          <w:tab w:val="left" w:pos="7938"/>
        </w:tabs>
        <w:jc w:val="center"/>
        <w:rPr>
          <w:lang w:val="en-GB"/>
        </w:rPr>
      </w:pPr>
      <w:r w:rsidRPr="00DB31F5">
        <w:rPr>
          <w:i/>
          <w:iCs/>
          <w:lang w:val="en-GB"/>
        </w:rPr>
        <w:t xml:space="preserve">| </w:t>
      </w:r>
      <w:r w:rsidR="003277CC" w:rsidRPr="00DB31F5">
        <w:rPr>
          <w:i/>
          <w:iCs/>
          <w:lang w:val="en-GB"/>
        </w:rPr>
        <w:t xml:space="preserve">NRSRP (anchor) – </w:t>
      </w:r>
      <w:r w:rsidR="002F232B" w:rsidRPr="00DB31F5">
        <w:rPr>
          <w:i/>
          <w:iCs/>
          <w:lang w:val="en-GB"/>
        </w:rPr>
        <w:t>(</w:t>
      </w:r>
      <w:r w:rsidR="003277CC" w:rsidRPr="00DB31F5">
        <w:rPr>
          <w:i/>
          <w:iCs/>
          <w:lang w:val="en-GB"/>
        </w:rPr>
        <w:t>NRSR</w:t>
      </w:r>
      <w:r w:rsidRPr="00DB31F5">
        <w:rPr>
          <w:i/>
          <w:iCs/>
          <w:lang w:val="en-GB"/>
        </w:rPr>
        <w:t>P</w:t>
      </w:r>
      <w:r w:rsidR="003277CC" w:rsidRPr="00DB31F5">
        <w:rPr>
          <w:i/>
          <w:iCs/>
          <w:lang w:val="en-GB"/>
        </w:rPr>
        <w:t xml:space="preserve"> (non-anchor)</w:t>
      </w:r>
      <w:r w:rsidR="002F232B" w:rsidRPr="00DB31F5">
        <w:rPr>
          <w:i/>
          <w:iCs/>
          <w:lang w:val="en-GB"/>
        </w:rPr>
        <w:t xml:space="preserve"> + </w:t>
      </w:r>
      <w:proofErr w:type="spellStart"/>
      <w:r w:rsidR="002F232B" w:rsidRPr="00DB31F5">
        <w:rPr>
          <w:i/>
          <w:iCs/>
          <w:lang w:val="en-GB"/>
        </w:rPr>
        <w:t>Power_offset_anchor</w:t>
      </w:r>
      <w:proofErr w:type="spellEnd"/>
      <w:r w:rsidR="002F232B" w:rsidRPr="00DB31F5">
        <w:rPr>
          <w:i/>
          <w:iCs/>
          <w:lang w:val="en-GB"/>
        </w:rPr>
        <w:t>)</w:t>
      </w:r>
      <w:r w:rsidRPr="00DB31F5">
        <w:rPr>
          <w:i/>
          <w:iCs/>
          <w:lang w:val="en-GB"/>
        </w:rPr>
        <w:t xml:space="preserve"> |</w:t>
      </w:r>
      <w:r w:rsidR="003277CC" w:rsidRPr="00DB31F5">
        <w:rPr>
          <w:i/>
          <w:iCs/>
          <w:lang w:val="en-GB"/>
        </w:rPr>
        <w:t xml:space="preserve"> </w:t>
      </w:r>
      <w:r w:rsidR="006F279D" w:rsidRPr="00DB31F5">
        <w:rPr>
          <w:i/>
          <w:iCs/>
          <w:lang w:val="en-GB"/>
        </w:rPr>
        <w:t>&lt;</w:t>
      </w:r>
      <w:r w:rsidR="003277CC" w:rsidRPr="00DB31F5">
        <w:rPr>
          <w:i/>
          <w:iCs/>
          <w:lang w:val="en-GB"/>
        </w:rPr>
        <w:t xml:space="preserve"> </w:t>
      </w:r>
      <w:r w:rsidR="007E215E">
        <w:rPr>
          <w:i/>
          <w:iCs/>
          <w:lang w:val="en-GB"/>
        </w:rPr>
        <w:t>M</w:t>
      </w:r>
      <w:r w:rsidR="004C7414" w:rsidRPr="00DB31F5">
        <w:rPr>
          <w:lang w:val="en-GB"/>
        </w:rPr>
        <w:t xml:space="preserve">       </w:t>
      </w:r>
      <w:proofErr w:type="gramStart"/>
      <w:r w:rsidR="004C7414" w:rsidRPr="00DB31F5">
        <w:rPr>
          <w:lang w:val="en-GB"/>
        </w:rPr>
        <w:t xml:space="preserve">   (</w:t>
      </w:r>
      <w:proofErr w:type="gramEnd"/>
      <w:r w:rsidR="004C7414" w:rsidRPr="00DB31F5">
        <w:rPr>
          <w:lang w:val="en-GB"/>
        </w:rPr>
        <w:t>1)</w:t>
      </w:r>
    </w:p>
    <w:p w14:paraId="2F7FD438" w14:textId="06CFE9BE" w:rsidR="00B01FCB" w:rsidRPr="00DB31F5" w:rsidRDefault="005F7DA4" w:rsidP="00E455B1">
      <w:pPr>
        <w:rPr>
          <w:lang w:val="en-GB"/>
        </w:rPr>
      </w:pPr>
      <w:r w:rsidRPr="00DB31F5">
        <w:rPr>
          <w:lang w:val="en-GB"/>
        </w:rPr>
        <w:t xml:space="preserve">is not satisfied, </w:t>
      </w:r>
      <w:r w:rsidR="00F31666" w:rsidRPr="00DB31F5">
        <w:rPr>
          <w:lang w:val="en-GB"/>
        </w:rPr>
        <w:t>t</w:t>
      </w:r>
      <w:r w:rsidR="003277CC" w:rsidRPr="00DB31F5">
        <w:rPr>
          <w:lang w:val="en-GB"/>
        </w:rPr>
        <w:t xml:space="preserve">hen the UE should refrain from performing a combination of NRSRP samples from anchor and non-anchor carriers. </w:t>
      </w:r>
      <w:r w:rsidR="00B01FCB" w:rsidRPr="00DB31F5">
        <w:rPr>
          <w:lang w:val="en-GB"/>
        </w:rPr>
        <w:t>It is noted that this condition for combining NRSRP samples from anchor and non-anchor carriers has</w:t>
      </w:r>
      <w:r w:rsidR="00CC2F3C">
        <w:rPr>
          <w:lang w:val="en-GB"/>
        </w:rPr>
        <w:t xml:space="preserve"> also been </w:t>
      </w:r>
      <w:r w:rsidR="00B01FCB" w:rsidRPr="00DB31F5">
        <w:rPr>
          <w:lang w:val="en-GB"/>
        </w:rPr>
        <w:t>discussed in [</w:t>
      </w:r>
      <w:r w:rsidR="00CC2F3C">
        <w:rPr>
          <w:lang w:val="en-GB"/>
        </w:rPr>
        <w:t>5</w:t>
      </w:r>
      <w:r w:rsidR="00B01FCB" w:rsidRPr="00DB31F5">
        <w:rPr>
          <w:lang w:val="en-GB"/>
        </w:rPr>
        <w:t>]</w:t>
      </w:r>
      <w:r w:rsidR="00CC2F3C">
        <w:rPr>
          <w:lang w:val="en-GB"/>
        </w:rPr>
        <w:t xml:space="preserve"> and [6]</w:t>
      </w:r>
      <w:r w:rsidR="00B01FCB" w:rsidRPr="00DB31F5">
        <w:rPr>
          <w:lang w:val="en-GB"/>
        </w:rPr>
        <w:t xml:space="preserve">. </w:t>
      </w:r>
    </w:p>
    <w:p w14:paraId="7A789A17" w14:textId="410FA82E" w:rsidR="004C7414" w:rsidRPr="00DB31F5" w:rsidRDefault="004C7414" w:rsidP="00E455B1">
      <w:pPr>
        <w:rPr>
          <w:lang w:val="en-GB"/>
        </w:rPr>
      </w:pPr>
      <w:r w:rsidRPr="00DB31F5">
        <w:rPr>
          <w:lang w:val="en-GB"/>
        </w:rPr>
        <w:t>Th</w:t>
      </w:r>
      <w:r w:rsidR="00B01FCB" w:rsidRPr="00DB31F5">
        <w:rPr>
          <w:lang w:val="en-GB"/>
        </w:rPr>
        <w:t xml:space="preserve">e above </w:t>
      </w:r>
      <w:r w:rsidR="007E215E">
        <w:rPr>
          <w:lang w:val="en-GB"/>
        </w:rPr>
        <w:t xml:space="preserve">margin </w:t>
      </w:r>
      <w:r w:rsidR="007E215E" w:rsidRPr="007E215E">
        <w:rPr>
          <w:i/>
          <w:iCs/>
          <w:lang w:val="en-GB"/>
        </w:rPr>
        <w:t>M</w:t>
      </w:r>
      <w:r w:rsidR="007E215E">
        <w:rPr>
          <w:lang w:val="en-GB"/>
        </w:rPr>
        <w:t xml:space="preserve"> </w:t>
      </w:r>
      <w:r w:rsidRPr="00DB31F5">
        <w:rPr>
          <w:lang w:val="en-GB"/>
        </w:rPr>
        <w:t xml:space="preserve">for combining NRSRP samples in multicarrier operation could have a fixed </w:t>
      </w:r>
      <w:r w:rsidR="00AF4C2F">
        <w:rPr>
          <w:lang w:val="en-GB"/>
        </w:rPr>
        <w:t xml:space="preserve">predefined </w:t>
      </w:r>
      <w:r w:rsidRPr="00DB31F5">
        <w:rPr>
          <w:lang w:val="en-GB"/>
        </w:rPr>
        <w:t xml:space="preserve">value such as </w:t>
      </w:r>
      <w:r w:rsidR="00CC2F3C">
        <w:rPr>
          <w:lang w:val="en-GB"/>
        </w:rPr>
        <w:t>3</w:t>
      </w:r>
      <w:r w:rsidRPr="00DB31F5">
        <w:rPr>
          <w:lang w:val="en-GB"/>
        </w:rPr>
        <w:t xml:space="preserve"> or </w:t>
      </w:r>
      <w:r w:rsidR="00CC2F3C">
        <w:rPr>
          <w:lang w:val="en-GB"/>
        </w:rPr>
        <w:t>6</w:t>
      </w:r>
      <w:r w:rsidRPr="00DB31F5">
        <w:rPr>
          <w:lang w:val="en-GB"/>
        </w:rPr>
        <w:t xml:space="preserve"> dB</w:t>
      </w:r>
      <w:r w:rsidR="00CA7D31">
        <w:rPr>
          <w:lang w:val="en-GB"/>
        </w:rPr>
        <w:t xml:space="preserve">, </w:t>
      </w:r>
      <w:proofErr w:type="gramStart"/>
      <w:r w:rsidR="00CA7D31">
        <w:rPr>
          <w:lang w:val="en-GB"/>
        </w:rPr>
        <w:t>taking into account</w:t>
      </w:r>
      <w:proofErr w:type="gramEnd"/>
      <w:r w:rsidR="00CA7D31">
        <w:rPr>
          <w:lang w:val="en-GB"/>
        </w:rPr>
        <w:t xml:space="preserve"> achievable measurement accuracy in the measurement period</w:t>
      </w:r>
      <w:r w:rsidRPr="00DB31F5">
        <w:rPr>
          <w:lang w:val="en-GB"/>
        </w:rPr>
        <w:t>, alternatively it is signalled by the network to allow network control</w:t>
      </w:r>
      <w:r w:rsidR="00CF1700" w:rsidRPr="00DB31F5">
        <w:rPr>
          <w:lang w:val="en-GB"/>
        </w:rPr>
        <w:t xml:space="preserve"> related to measurement accuracy</w:t>
      </w:r>
      <w:r w:rsidRPr="00DB31F5">
        <w:rPr>
          <w:lang w:val="en-GB"/>
        </w:rPr>
        <w:t>. For example</w:t>
      </w:r>
      <w:r w:rsidR="002C1D4E" w:rsidRPr="00DB31F5">
        <w:rPr>
          <w:lang w:val="en-GB"/>
        </w:rPr>
        <w:t>,</w:t>
      </w:r>
      <w:r w:rsidRPr="00DB31F5">
        <w:rPr>
          <w:lang w:val="en-GB"/>
        </w:rPr>
        <w:t xml:space="preserve"> the network may temporarily disallow combination of NRSRP samples from anchor and non-anchor carrier by signalling 0 dB. </w:t>
      </w:r>
      <w:r w:rsidR="005F7DA4" w:rsidRPr="00DB31F5">
        <w:rPr>
          <w:lang w:val="en-GB"/>
        </w:rPr>
        <w:t xml:space="preserve">Thus, the </w:t>
      </w:r>
      <w:r w:rsidR="00CF1700" w:rsidRPr="00DB31F5">
        <w:rPr>
          <w:lang w:val="en-GB"/>
        </w:rPr>
        <w:t>signalling</w:t>
      </w:r>
      <w:r w:rsidR="005F7DA4" w:rsidRPr="00DB31F5">
        <w:rPr>
          <w:lang w:val="en-GB"/>
        </w:rPr>
        <w:t xml:space="preserve"> option is preferred.</w:t>
      </w:r>
    </w:p>
    <w:p w14:paraId="5154BE8B" w14:textId="3BEDBBBD" w:rsidR="00352F91" w:rsidRDefault="00F31666" w:rsidP="00E455B1">
      <w:pPr>
        <w:rPr>
          <w:lang w:val="en-GB"/>
        </w:rPr>
      </w:pPr>
      <w:r w:rsidRPr="00DB31F5">
        <w:rPr>
          <w:lang w:val="en-GB"/>
        </w:rPr>
        <w:t xml:space="preserve">Otherwise </w:t>
      </w:r>
      <w:r w:rsidR="004C7414" w:rsidRPr="00DB31F5">
        <w:rPr>
          <w:lang w:val="en-GB"/>
        </w:rPr>
        <w:t xml:space="preserve">if above </w:t>
      </w:r>
      <w:r w:rsidR="00C6652E" w:rsidRPr="00DB31F5">
        <w:rPr>
          <w:lang w:val="en-GB"/>
        </w:rPr>
        <w:t xml:space="preserve">inequation </w:t>
      </w:r>
      <w:r w:rsidR="002F232B" w:rsidRPr="00DB31F5">
        <w:rPr>
          <w:lang w:val="en-GB"/>
        </w:rPr>
        <w:t xml:space="preserve">(1) </w:t>
      </w:r>
      <w:r w:rsidR="00C6652E" w:rsidRPr="00DB31F5">
        <w:rPr>
          <w:lang w:val="en-GB"/>
        </w:rPr>
        <w:t xml:space="preserve">is </w:t>
      </w:r>
      <w:r w:rsidR="002F232B" w:rsidRPr="00DB31F5">
        <w:rPr>
          <w:lang w:val="en-GB"/>
        </w:rPr>
        <w:t>satisfie</w:t>
      </w:r>
      <w:r w:rsidR="00C6652E" w:rsidRPr="00DB31F5">
        <w:rPr>
          <w:lang w:val="en-GB"/>
        </w:rPr>
        <w:t xml:space="preserve">d, then </w:t>
      </w:r>
      <w:r w:rsidRPr="00DB31F5">
        <w:rPr>
          <w:lang w:val="en-GB"/>
        </w:rPr>
        <w:t xml:space="preserve">combination </w:t>
      </w:r>
      <w:r w:rsidR="002F232B" w:rsidRPr="00DB31F5">
        <w:rPr>
          <w:lang w:val="en-GB"/>
        </w:rPr>
        <w:t xml:space="preserve">of NRSRP samples </w:t>
      </w:r>
      <w:r w:rsidRPr="00DB31F5">
        <w:rPr>
          <w:lang w:val="en-GB"/>
        </w:rPr>
        <w:t>is possible and is based on signalled power offset for anchor carrier.</w:t>
      </w:r>
      <w:r w:rsidR="00552A98" w:rsidRPr="00DB31F5">
        <w:rPr>
          <w:lang w:val="en-GB"/>
        </w:rPr>
        <w:t xml:space="preserve"> </w:t>
      </w:r>
    </w:p>
    <w:p w14:paraId="2A482744" w14:textId="58828C03" w:rsidR="00E040F5" w:rsidRPr="00CD181B" w:rsidRDefault="00E040F5" w:rsidP="00E455B1">
      <w:pPr>
        <w:rPr>
          <w:lang w:val="en-GB"/>
        </w:rPr>
      </w:pPr>
      <w:r>
        <w:rPr>
          <w:lang w:val="en-GB"/>
        </w:rPr>
        <w:t>It was argued during RAN4 #94-e</w:t>
      </w:r>
      <w:r w:rsidR="00F31A9E">
        <w:rPr>
          <w:lang w:val="en-GB"/>
        </w:rPr>
        <w:t xml:space="preserve"> [7]</w:t>
      </w:r>
      <w:r>
        <w:rPr>
          <w:lang w:val="en-GB"/>
        </w:rPr>
        <w:t xml:space="preserve">, that a large variation of NRSRP can </w:t>
      </w:r>
      <w:r w:rsidR="00F31A9E">
        <w:rPr>
          <w:lang w:val="en-GB"/>
        </w:rPr>
        <w:t xml:space="preserve">also </w:t>
      </w:r>
      <w:r>
        <w:rPr>
          <w:lang w:val="en-GB"/>
        </w:rPr>
        <w:t xml:space="preserve">occur on anchor carrier </w:t>
      </w:r>
      <w:r w:rsidR="00F31A9E">
        <w:rPr>
          <w:lang w:val="en-GB"/>
        </w:rPr>
        <w:t xml:space="preserve">only </w:t>
      </w:r>
      <w:r>
        <w:rPr>
          <w:lang w:val="en-GB"/>
        </w:rPr>
        <w:t>measurements at subsequent DRX cycles</w:t>
      </w:r>
      <w:r w:rsidR="00F31A9E">
        <w:rPr>
          <w:lang w:val="en-GB"/>
        </w:rPr>
        <w:t>. While this is true, the anchor carrier may experience different interference conditions than the non-anchor carrier</w:t>
      </w:r>
      <w:r w:rsidR="004E6FA5">
        <w:rPr>
          <w:lang w:val="en-GB"/>
        </w:rPr>
        <w:t xml:space="preserve"> (e.g. </w:t>
      </w:r>
      <w:r w:rsidR="000100EF">
        <w:rPr>
          <w:lang w:val="en-GB"/>
        </w:rPr>
        <w:t xml:space="preserve">experiencing </w:t>
      </w:r>
      <w:r w:rsidR="004E6FA5">
        <w:rPr>
          <w:lang w:val="en-GB"/>
        </w:rPr>
        <w:t>worse conditions)</w:t>
      </w:r>
      <w:r w:rsidR="00CD181B">
        <w:rPr>
          <w:lang w:val="en-GB"/>
        </w:rPr>
        <w:t xml:space="preserve">. Thus, </w:t>
      </w:r>
      <w:r w:rsidR="004E6FA5">
        <w:rPr>
          <w:lang w:val="en-GB"/>
        </w:rPr>
        <w:t xml:space="preserve">combining NRSRP from both carriers </w:t>
      </w:r>
      <w:r w:rsidR="00CD181B">
        <w:rPr>
          <w:lang w:val="en-GB"/>
        </w:rPr>
        <w:t xml:space="preserve">in this case </w:t>
      </w:r>
      <w:r w:rsidR="004E6FA5">
        <w:rPr>
          <w:lang w:val="en-GB"/>
        </w:rPr>
        <w:t xml:space="preserve">will </w:t>
      </w:r>
      <w:r w:rsidR="00F31A9E">
        <w:rPr>
          <w:lang w:val="en-GB"/>
        </w:rPr>
        <w:t>degrad</w:t>
      </w:r>
      <w:r w:rsidR="004E6FA5">
        <w:rPr>
          <w:lang w:val="en-GB"/>
        </w:rPr>
        <w:t xml:space="preserve">e </w:t>
      </w:r>
      <w:r w:rsidR="00F31A9E">
        <w:rPr>
          <w:lang w:val="en-GB"/>
        </w:rPr>
        <w:t>NRSRP estimation</w:t>
      </w:r>
      <w:r w:rsidR="004E6FA5">
        <w:rPr>
          <w:lang w:val="en-GB"/>
        </w:rPr>
        <w:t xml:space="preserve"> for a considerable period of time</w:t>
      </w:r>
      <w:r w:rsidR="00F31A9E">
        <w:rPr>
          <w:lang w:val="en-GB"/>
        </w:rPr>
        <w:t xml:space="preserve">. This issue was previously discussed in context of NRSRQ translation from non-anchor to anchor carrier. In our view the comparison </w:t>
      </w:r>
      <w:r w:rsidR="004E6FA5">
        <w:rPr>
          <w:lang w:val="en-GB"/>
        </w:rPr>
        <w:t>between anchor and non-anchor carrier</w:t>
      </w:r>
      <w:r w:rsidR="00CD181B">
        <w:rPr>
          <w:lang w:val="en-GB"/>
        </w:rPr>
        <w:t xml:space="preserve"> measurement, in order to remove fast fading component,</w:t>
      </w:r>
      <w:r w:rsidR="004E6FA5">
        <w:rPr>
          <w:lang w:val="en-GB"/>
        </w:rPr>
        <w:t xml:space="preserve"> </w:t>
      </w:r>
      <w:r w:rsidR="00F31A9E">
        <w:rPr>
          <w:lang w:val="en-GB"/>
        </w:rPr>
        <w:t>will require more than 2 measurement samples</w:t>
      </w:r>
      <w:r w:rsidR="004E6FA5">
        <w:rPr>
          <w:lang w:val="en-GB"/>
        </w:rPr>
        <w:t>,</w:t>
      </w:r>
      <w:r w:rsidR="00F31A9E">
        <w:rPr>
          <w:lang w:val="en-GB"/>
        </w:rPr>
        <w:t xml:space="preserve"> a</w:t>
      </w:r>
      <w:r w:rsidR="004E6FA5">
        <w:rPr>
          <w:lang w:val="en-GB"/>
        </w:rPr>
        <w:t xml:space="preserve">s used for serving cell evaluation in TS 36.133, subclause </w:t>
      </w:r>
      <w:r w:rsidR="004E6FA5">
        <w:t xml:space="preserve">4.6.2.1, referred to in [7] </w:t>
      </w:r>
      <w:r w:rsidR="00CD181B">
        <w:t xml:space="preserve">which is </w:t>
      </w:r>
      <w:r w:rsidR="004E6FA5">
        <w:t>done at least every DRX cycle</w:t>
      </w:r>
      <w:r w:rsidR="004E6FA5">
        <w:rPr>
          <w:lang w:val="en-GB"/>
        </w:rPr>
        <w:t xml:space="preserve">. However, the frequency of this comparison between </w:t>
      </w:r>
      <w:r w:rsidR="000100EF">
        <w:rPr>
          <w:lang w:val="en-GB"/>
        </w:rPr>
        <w:t xml:space="preserve">NRSRP measurement samples from both carriers </w:t>
      </w:r>
      <w:r w:rsidR="004E6FA5">
        <w:rPr>
          <w:lang w:val="en-GB"/>
        </w:rPr>
        <w:t>could be significantly lower than that for serving cell evaluation</w:t>
      </w:r>
      <w:r w:rsidR="000100EF">
        <w:rPr>
          <w:lang w:val="en-GB"/>
        </w:rPr>
        <w:t>, in case of shorter DRX cycles.</w:t>
      </w:r>
    </w:p>
    <w:p w14:paraId="2682BBB0" w14:textId="41FB63FF" w:rsidR="00352F91" w:rsidRPr="00DB31F5" w:rsidRDefault="00352F91" w:rsidP="00E455B1">
      <w:pPr>
        <w:rPr>
          <w:b/>
          <w:bCs/>
          <w:lang w:val="en-GB"/>
        </w:rPr>
      </w:pPr>
      <w:r w:rsidRPr="00DB31F5">
        <w:rPr>
          <w:b/>
          <w:bCs/>
          <w:lang w:val="en-GB"/>
        </w:rPr>
        <w:t>2) E</w:t>
      </w:r>
      <w:r w:rsidR="000F37AA" w:rsidRPr="00DB31F5">
        <w:rPr>
          <w:b/>
          <w:bCs/>
          <w:lang w:val="en-GB"/>
        </w:rPr>
        <w:t>nhanced</w:t>
      </w:r>
      <w:r w:rsidR="00CF480D" w:rsidRPr="00DB31F5">
        <w:rPr>
          <w:b/>
          <w:bCs/>
          <w:lang w:val="en-GB"/>
        </w:rPr>
        <w:t xml:space="preserve"> </w:t>
      </w:r>
      <w:r w:rsidRPr="00DB31F5">
        <w:rPr>
          <w:b/>
          <w:bCs/>
          <w:lang w:val="en-GB"/>
        </w:rPr>
        <w:t>coverage</w:t>
      </w:r>
    </w:p>
    <w:p w14:paraId="6A22952B" w14:textId="6F2F04DD" w:rsidR="00CF480D" w:rsidRPr="00DB31F5" w:rsidRDefault="00352F91" w:rsidP="00E455B1">
      <w:pPr>
        <w:rPr>
          <w:lang w:val="en-GB"/>
        </w:rPr>
      </w:pPr>
      <w:r w:rsidRPr="00DB31F5">
        <w:rPr>
          <w:lang w:val="en-GB"/>
        </w:rPr>
        <w:t xml:space="preserve">In </w:t>
      </w:r>
      <w:r w:rsidR="00CF480D" w:rsidRPr="00DB31F5">
        <w:rPr>
          <w:lang w:val="en-GB"/>
        </w:rPr>
        <w:t>e</w:t>
      </w:r>
      <w:r w:rsidR="000F37AA" w:rsidRPr="00DB31F5">
        <w:rPr>
          <w:lang w:val="en-GB"/>
        </w:rPr>
        <w:t>nhanced</w:t>
      </w:r>
      <w:r w:rsidR="00CF480D" w:rsidRPr="00DB31F5">
        <w:rPr>
          <w:lang w:val="en-GB"/>
        </w:rPr>
        <w:t xml:space="preserve"> </w:t>
      </w:r>
      <w:r w:rsidRPr="00DB31F5">
        <w:rPr>
          <w:lang w:val="en-GB"/>
        </w:rPr>
        <w:t xml:space="preserve">coverage </w:t>
      </w:r>
      <w:r w:rsidR="00CF480D" w:rsidRPr="00DB31F5">
        <w:rPr>
          <w:lang w:val="en-GB"/>
        </w:rPr>
        <w:t xml:space="preserve">(large CE), the receiver is considerably impacted by noise, and hence high variation of NRSRP measurements taken on either carrier is expected. In this case a combination of NRSRP samples from both carriers, applying the signalled power offset, may be beneficial to improve the measurement accuracy. Thus, the target </w:t>
      </w:r>
      <w:r w:rsidR="00170F1F" w:rsidRPr="00DB31F5">
        <w:rPr>
          <w:lang w:val="en-GB"/>
        </w:rPr>
        <w:t xml:space="preserve">coverage </w:t>
      </w:r>
      <w:r w:rsidR="00CF480D" w:rsidRPr="00DB31F5">
        <w:rPr>
          <w:lang w:val="en-GB"/>
        </w:rPr>
        <w:t xml:space="preserve">range as part of </w:t>
      </w:r>
      <w:r w:rsidR="00170F1F" w:rsidRPr="00DB31F5">
        <w:rPr>
          <w:lang w:val="en-GB"/>
        </w:rPr>
        <w:t xml:space="preserve">the </w:t>
      </w:r>
      <w:r w:rsidR="00CF480D" w:rsidRPr="00DB31F5">
        <w:rPr>
          <w:lang w:val="en-GB"/>
        </w:rPr>
        <w:t xml:space="preserve">enhanced coverage </w:t>
      </w:r>
      <w:r w:rsidR="00170F1F" w:rsidRPr="00DB31F5">
        <w:rPr>
          <w:lang w:val="en-GB"/>
        </w:rPr>
        <w:t xml:space="preserve">range </w:t>
      </w:r>
      <w:r w:rsidR="00CF480D" w:rsidRPr="00DB31F5">
        <w:rPr>
          <w:lang w:val="en-GB"/>
        </w:rPr>
        <w:t xml:space="preserve">in terms of SINR </w:t>
      </w:r>
      <w:r w:rsidR="00CA7D31">
        <w:rPr>
          <w:lang w:val="en-GB"/>
        </w:rPr>
        <w:t>&lt; -6</w:t>
      </w:r>
      <w:r w:rsidR="001E147B">
        <w:rPr>
          <w:lang w:val="en-GB"/>
        </w:rPr>
        <w:t xml:space="preserve"> </w:t>
      </w:r>
      <w:r w:rsidR="00CA7D31">
        <w:rPr>
          <w:lang w:val="en-GB"/>
        </w:rPr>
        <w:t xml:space="preserve">dB </w:t>
      </w:r>
      <w:r w:rsidR="00CF480D" w:rsidRPr="00DB31F5">
        <w:rPr>
          <w:lang w:val="en-GB"/>
        </w:rPr>
        <w:t xml:space="preserve">should be </w:t>
      </w:r>
      <w:r w:rsidR="00170F1F" w:rsidRPr="00DB31F5">
        <w:rPr>
          <w:lang w:val="en-GB"/>
        </w:rPr>
        <w:t>identified. The UE then determines that it is in e</w:t>
      </w:r>
      <w:r w:rsidR="00CA7D31">
        <w:rPr>
          <w:lang w:val="en-GB"/>
        </w:rPr>
        <w:t>nhanced</w:t>
      </w:r>
      <w:r w:rsidR="00170F1F" w:rsidRPr="00DB31F5">
        <w:rPr>
          <w:lang w:val="en-GB"/>
        </w:rPr>
        <w:t xml:space="preserve"> coverage and </w:t>
      </w:r>
      <w:r w:rsidR="00CA7D31">
        <w:rPr>
          <w:lang w:val="en-GB"/>
        </w:rPr>
        <w:t xml:space="preserve">is </w:t>
      </w:r>
      <w:r w:rsidR="00170F1F" w:rsidRPr="00DB31F5">
        <w:rPr>
          <w:lang w:val="en-GB"/>
        </w:rPr>
        <w:t>allowed to combine NRSRP samples from both carriers</w:t>
      </w:r>
      <w:r w:rsidR="00CA7D31">
        <w:rPr>
          <w:lang w:val="en-GB"/>
        </w:rPr>
        <w:t xml:space="preserve"> without condition</w:t>
      </w:r>
      <w:r w:rsidR="00170F1F" w:rsidRPr="00DB31F5">
        <w:rPr>
          <w:lang w:val="en-GB"/>
        </w:rPr>
        <w:t xml:space="preserve">. </w:t>
      </w:r>
    </w:p>
    <w:p w14:paraId="40F25F4D" w14:textId="77777777" w:rsidR="0085635B" w:rsidRPr="0085635B" w:rsidRDefault="0085635B" w:rsidP="0085635B">
      <w:pPr>
        <w:rPr>
          <w:b/>
          <w:bCs/>
          <w:lang w:val="en-GB"/>
        </w:rPr>
      </w:pPr>
      <w:r w:rsidRPr="0085635B">
        <w:rPr>
          <w:b/>
          <w:bCs/>
          <w:lang w:val="en-GB"/>
        </w:rPr>
        <w:t xml:space="preserve">Proposals </w:t>
      </w:r>
    </w:p>
    <w:p w14:paraId="0CB77B6E" w14:textId="433E1D2F" w:rsidR="00AF4C2F" w:rsidRPr="00AF4C2F" w:rsidRDefault="0025067E" w:rsidP="0085635B">
      <w:pPr>
        <w:rPr>
          <w:lang w:val="en-GB"/>
        </w:rPr>
      </w:pPr>
      <w:r w:rsidRPr="00DB31F5">
        <w:rPr>
          <w:lang w:val="en-GB"/>
        </w:rPr>
        <w:t>From above discussion</w:t>
      </w:r>
      <w:r w:rsidR="00552A98" w:rsidRPr="00DB31F5">
        <w:rPr>
          <w:lang w:val="en-GB"/>
        </w:rPr>
        <w:t xml:space="preserve">, it is proposed to </w:t>
      </w:r>
      <w:r w:rsidR="007E215E">
        <w:rPr>
          <w:lang w:val="en-GB"/>
        </w:rPr>
        <w:t xml:space="preserve">select option 2 in the WF for </w:t>
      </w:r>
      <w:r w:rsidR="00AF4C2F">
        <w:rPr>
          <w:lang w:val="en-GB"/>
        </w:rPr>
        <w:t xml:space="preserve">UE in </w:t>
      </w:r>
      <w:r w:rsidR="007E215E">
        <w:rPr>
          <w:lang w:val="en-GB"/>
        </w:rPr>
        <w:t xml:space="preserve">normal coverage </w:t>
      </w:r>
      <w:r w:rsidR="00AF4C2F">
        <w:rPr>
          <w:lang w:val="en-GB"/>
        </w:rPr>
        <w:t xml:space="preserve">and option 1 in the WF for UE in enhanced coverage </w:t>
      </w:r>
      <w:r w:rsidR="007E215E">
        <w:rPr>
          <w:lang w:val="en-GB"/>
        </w:rPr>
        <w:t>and to modify</w:t>
      </w:r>
      <w:r w:rsidR="00AF4C2F">
        <w:rPr>
          <w:lang w:val="en-GB"/>
        </w:rPr>
        <w:t xml:space="preserve"> them</w:t>
      </w:r>
      <w:r w:rsidR="007E215E">
        <w:rPr>
          <w:lang w:val="en-GB"/>
        </w:rPr>
        <w:t xml:space="preserve"> accordingly</w:t>
      </w:r>
      <w:r w:rsidR="0085635B">
        <w:rPr>
          <w:lang w:val="en-GB"/>
        </w:rPr>
        <w:t>.</w:t>
      </w:r>
    </w:p>
    <w:p w14:paraId="3E56AB0B" w14:textId="0960B0A1" w:rsidR="000100EF" w:rsidRPr="00DB31F5" w:rsidRDefault="0085635B" w:rsidP="00552A98">
      <w:pPr>
        <w:rPr>
          <w:lang w:val="en-GB"/>
        </w:rPr>
      </w:pPr>
      <w:r>
        <w:rPr>
          <w:lang w:val="en-GB"/>
        </w:rPr>
        <w:t>T</w:t>
      </w:r>
      <w:r w:rsidR="00552A98" w:rsidRPr="00DB31F5">
        <w:rPr>
          <w:lang w:val="en-GB"/>
        </w:rPr>
        <w:t>he following proposal</w:t>
      </w:r>
      <w:r w:rsidR="005F7DA4" w:rsidRPr="00DB31F5">
        <w:rPr>
          <w:lang w:val="en-GB"/>
        </w:rPr>
        <w:t>s</w:t>
      </w:r>
      <w:r w:rsidR="00552A98" w:rsidRPr="00DB31F5">
        <w:rPr>
          <w:lang w:val="en-GB"/>
        </w:rPr>
        <w:t xml:space="preserve"> </w:t>
      </w:r>
      <w:r w:rsidR="00E07CB1">
        <w:rPr>
          <w:lang w:val="en-GB"/>
        </w:rPr>
        <w:t xml:space="preserve">are </w:t>
      </w:r>
      <w:r w:rsidR="00552A98" w:rsidRPr="00DB31F5">
        <w:rPr>
          <w:lang w:val="en-GB"/>
        </w:rPr>
        <w:t>made:</w:t>
      </w:r>
    </w:p>
    <w:p w14:paraId="6B561B4C" w14:textId="3C10179F" w:rsidR="00E07CB1" w:rsidRPr="00E07CB1" w:rsidRDefault="00E07CB1" w:rsidP="00FC0284">
      <w:pPr>
        <w:pStyle w:val="RAN4Proposal0"/>
        <w:ind w:left="1134" w:hanging="1134"/>
        <w:contextualSpacing w:val="0"/>
        <w:rPr>
          <w:color w:val="000000" w:themeColor="text1"/>
        </w:rPr>
      </w:pPr>
      <w:r w:rsidRPr="00E07CB1">
        <w:rPr>
          <w:color w:val="000000" w:themeColor="text1"/>
        </w:rPr>
        <w:t xml:space="preserve">Option 1 applies for UE in enhanced coverage: NRSRP measurements on non-anchor carrier can be filtered or combined with NRSRP measurement on anchor carrier after translating the non-anchor carrier measurement with parameter </w:t>
      </w:r>
      <w:proofErr w:type="spellStart"/>
      <w:r w:rsidRPr="00E07CB1">
        <w:rPr>
          <w:color w:val="000000" w:themeColor="text1"/>
        </w:rPr>
        <w:t>nrs-PowerOffsetNonAnchor</w:t>
      </w:r>
      <w:proofErr w:type="spellEnd"/>
      <w:r w:rsidRPr="00E07CB1">
        <w:rPr>
          <w:color w:val="000000" w:themeColor="text1"/>
        </w:rPr>
        <w:t xml:space="preserve"> without any conditions or prerequisites, provided that </w:t>
      </w:r>
      <w:r>
        <w:rPr>
          <w:color w:val="000000" w:themeColor="text1"/>
        </w:rPr>
        <w:t>the UE is in enhanced coverage</w:t>
      </w:r>
      <w:r w:rsidRPr="00E07CB1">
        <w:rPr>
          <w:color w:val="000000" w:themeColor="text1"/>
        </w:rPr>
        <w:t xml:space="preserve"> (SINR </w:t>
      </w:r>
      <w:r>
        <w:rPr>
          <w:color w:val="000000" w:themeColor="text1"/>
        </w:rPr>
        <w:t>&lt;</w:t>
      </w:r>
      <w:r w:rsidRPr="00E07CB1">
        <w:rPr>
          <w:color w:val="000000" w:themeColor="text1"/>
        </w:rPr>
        <w:t xml:space="preserve"> -6 dB)</w:t>
      </w:r>
      <w:r>
        <w:rPr>
          <w:color w:val="000000" w:themeColor="text1"/>
        </w:rPr>
        <w:t>.</w:t>
      </w:r>
    </w:p>
    <w:p w14:paraId="32DC55E7" w14:textId="124F304F" w:rsidR="00E07CB1" w:rsidRPr="00E07CB1" w:rsidRDefault="00E07CB1" w:rsidP="00E07CB1">
      <w:pPr>
        <w:pStyle w:val="RAN4Proposal0"/>
        <w:spacing w:after="120"/>
        <w:ind w:left="1134" w:hanging="1134"/>
        <w:contextualSpacing w:val="0"/>
        <w:rPr>
          <w:lang w:eastAsia="x-none"/>
        </w:rPr>
      </w:pPr>
      <w:r w:rsidRPr="00E07CB1">
        <w:rPr>
          <w:lang w:eastAsia="x-none"/>
        </w:rPr>
        <w:t xml:space="preserve">Option 2 applies for UE in normal coverage: NRSRP measurements on non-anchor carrier can be filtered or combined with NRSRP measurement on anchor carrier after translating the non-anchor carrier measurement with parameter </w:t>
      </w:r>
      <w:proofErr w:type="spellStart"/>
      <w:r w:rsidRPr="00E07CB1">
        <w:rPr>
          <w:lang w:eastAsia="x-none"/>
        </w:rPr>
        <w:t>nrs-PowerOffsetNonAnchor</w:t>
      </w:r>
      <w:proofErr w:type="spellEnd"/>
      <w:r w:rsidR="00A07220">
        <w:rPr>
          <w:lang w:eastAsia="x-none"/>
        </w:rPr>
        <w:t>,</w:t>
      </w:r>
      <w:r w:rsidRPr="00E07CB1">
        <w:rPr>
          <w:lang w:eastAsia="x-none"/>
        </w:rPr>
        <w:t xml:space="preserve"> provided that</w:t>
      </w:r>
    </w:p>
    <w:p w14:paraId="406EB24E" w14:textId="77777777" w:rsidR="00E07CB1" w:rsidRPr="00E07CB1" w:rsidRDefault="00E07CB1" w:rsidP="00E07CB1">
      <w:pPr>
        <w:pStyle w:val="ListParagraph"/>
        <w:numPr>
          <w:ilvl w:val="0"/>
          <w:numId w:val="23"/>
        </w:numPr>
        <w:ind w:left="1418" w:hanging="284"/>
        <w:rPr>
          <w:b/>
          <w:bCs/>
          <w:lang w:val="en-GB" w:eastAsia="x-none"/>
        </w:rPr>
      </w:pPr>
      <w:r w:rsidRPr="00E07CB1">
        <w:rPr>
          <w:b/>
          <w:bCs/>
          <w:lang w:val="en-GB" w:eastAsia="x-none"/>
        </w:rPr>
        <w:t xml:space="preserve">the UE is in normal coverage (SINR </w:t>
      </w:r>
      <w:r w:rsidRPr="00E07CB1">
        <w:rPr>
          <w:rFonts w:cs="Times New Roman"/>
          <w:b/>
          <w:bCs/>
          <w:lang w:val="en-GB" w:eastAsia="x-none"/>
        </w:rPr>
        <w:t>≥</w:t>
      </w:r>
      <w:r w:rsidRPr="00E07CB1">
        <w:rPr>
          <w:b/>
          <w:bCs/>
          <w:lang w:val="en-GB" w:eastAsia="x-none"/>
        </w:rPr>
        <w:t xml:space="preserve"> -6 dB) and </w:t>
      </w:r>
    </w:p>
    <w:p w14:paraId="03F21A62" w14:textId="27F093F6" w:rsidR="0059395E" w:rsidRPr="00E07CB1" w:rsidRDefault="00E07CB1" w:rsidP="0059395E">
      <w:pPr>
        <w:pStyle w:val="ListParagraph"/>
        <w:numPr>
          <w:ilvl w:val="0"/>
          <w:numId w:val="23"/>
        </w:numPr>
        <w:ind w:left="1418" w:hanging="284"/>
        <w:rPr>
          <w:b/>
          <w:bCs/>
          <w:lang w:val="en-GB" w:eastAsia="x-none"/>
        </w:rPr>
      </w:pPr>
      <w:r w:rsidRPr="00E07CB1">
        <w:rPr>
          <w:b/>
          <w:bCs/>
          <w:color w:val="000000" w:themeColor="text1"/>
          <w:lang w:eastAsia="x-none"/>
        </w:rPr>
        <w:t xml:space="preserve">the comparison of NRSRP samples between anchor and non-anchor carrier, taken during the same measurement period and accounting for the signal power offset, yields a difference within a margin </w:t>
      </w:r>
      <w:r w:rsidRPr="00E07CB1">
        <w:rPr>
          <w:b/>
          <w:bCs/>
          <w:i/>
          <w:iCs/>
          <w:color w:val="000000" w:themeColor="text1"/>
          <w:lang w:eastAsia="x-none"/>
        </w:rPr>
        <w:t>M</w:t>
      </w:r>
      <w:r w:rsidRPr="00E07CB1">
        <w:rPr>
          <w:b/>
          <w:bCs/>
          <w:color w:val="000000" w:themeColor="text1"/>
          <w:lang w:eastAsia="x-none"/>
        </w:rPr>
        <w:t xml:space="preserve"> (FFS if a fixed predefined value or a value signaled by the network should be applied).</w:t>
      </w:r>
    </w:p>
    <w:p w14:paraId="3FDCF414" w14:textId="77777777" w:rsidR="00CD7492" w:rsidRPr="00DB31F5" w:rsidRDefault="00CD7492" w:rsidP="00A37002">
      <w:pPr>
        <w:pStyle w:val="RAN4H1"/>
      </w:pPr>
      <w:r w:rsidRPr="00DB31F5">
        <w:t>Conclusion</w:t>
      </w:r>
    </w:p>
    <w:p w14:paraId="667E15D9" w14:textId="7FCF34CC" w:rsidR="001D67AA" w:rsidRPr="00DB31F5" w:rsidRDefault="0098494A" w:rsidP="00211053">
      <w:pPr>
        <w:rPr>
          <w:lang w:val="en-GB"/>
        </w:rPr>
      </w:pPr>
      <w:r w:rsidRPr="00DB31F5">
        <w:rPr>
          <w:lang w:val="en-GB"/>
        </w:rPr>
        <w:t xml:space="preserve">This contribution </w:t>
      </w:r>
      <w:r w:rsidR="008F7385" w:rsidRPr="00DB31F5">
        <w:rPr>
          <w:lang w:val="en-GB"/>
        </w:rPr>
        <w:t xml:space="preserve">has discussed </w:t>
      </w:r>
      <w:r w:rsidR="00240C74" w:rsidRPr="00DB31F5">
        <w:rPr>
          <w:lang w:val="en-GB"/>
        </w:rPr>
        <w:t>t</w:t>
      </w:r>
      <w:r w:rsidR="00FC0284">
        <w:rPr>
          <w:lang w:val="en-GB"/>
        </w:rPr>
        <w:t>he</w:t>
      </w:r>
      <w:r w:rsidR="00091D16" w:rsidRPr="00DB31F5">
        <w:rPr>
          <w:lang w:val="en-GB"/>
        </w:rPr>
        <w:t xml:space="preserve"> </w:t>
      </w:r>
      <w:r w:rsidR="00FC0284" w:rsidRPr="00FC0284">
        <w:rPr>
          <w:lang w:val="en-GB"/>
        </w:rPr>
        <w:t>open issue in the WF on conditions for combining measurements done on anchor carrier and non-anchor carrier.</w:t>
      </w:r>
      <w:r w:rsidR="006F279D" w:rsidRPr="00DB31F5">
        <w:rPr>
          <w:lang w:val="en-GB"/>
        </w:rPr>
        <w:t xml:space="preserve">in </w:t>
      </w:r>
      <w:r w:rsidR="00FC0284">
        <w:rPr>
          <w:lang w:val="en-GB"/>
        </w:rPr>
        <w:t xml:space="preserve">regard to </w:t>
      </w:r>
      <w:r w:rsidR="006F279D" w:rsidRPr="00DB31F5">
        <w:rPr>
          <w:lang w:val="en-GB"/>
        </w:rPr>
        <w:t>NB-IoT multicarrier operation as included in [1]</w:t>
      </w:r>
      <w:r w:rsidR="00FC0284">
        <w:rPr>
          <w:lang w:val="en-GB"/>
        </w:rPr>
        <w:t>.</w:t>
      </w:r>
    </w:p>
    <w:p w14:paraId="0812796B" w14:textId="4B2972DD" w:rsidR="00FC0284" w:rsidRDefault="006F279D" w:rsidP="00E07CB1">
      <w:pPr>
        <w:rPr>
          <w:lang w:val="en-GB"/>
        </w:rPr>
      </w:pPr>
      <w:r w:rsidRPr="00DB31F5">
        <w:rPr>
          <w:lang w:val="en-GB"/>
        </w:rPr>
        <w:t>F</w:t>
      </w:r>
      <w:r w:rsidR="0098494A" w:rsidRPr="00DB31F5">
        <w:rPr>
          <w:lang w:val="en-GB"/>
        </w:rPr>
        <w:t>ollowing proposal</w:t>
      </w:r>
      <w:r w:rsidR="00240C74" w:rsidRPr="00DB31F5">
        <w:rPr>
          <w:lang w:val="en-GB"/>
        </w:rPr>
        <w:t>s</w:t>
      </w:r>
      <w:r w:rsidR="00091D16" w:rsidRPr="00DB31F5">
        <w:rPr>
          <w:lang w:val="en-GB"/>
        </w:rPr>
        <w:t xml:space="preserve"> </w:t>
      </w:r>
      <w:r w:rsidR="00AE4C98" w:rsidRPr="00DB31F5">
        <w:rPr>
          <w:lang w:val="en-GB"/>
        </w:rPr>
        <w:t xml:space="preserve">for agreement </w:t>
      </w:r>
      <w:r w:rsidR="00240C74" w:rsidRPr="00DB31F5">
        <w:rPr>
          <w:lang w:val="en-GB"/>
        </w:rPr>
        <w:t>are</w:t>
      </w:r>
      <w:r w:rsidR="00091D16" w:rsidRPr="00DB31F5">
        <w:rPr>
          <w:lang w:val="en-GB"/>
        </w:rPr>
        <w:t xml:space="preserve"> made</w:t>
      </w:r>
      <w:r w:rsidR="0098494A" w:rsidRPr="00DB31F5">
        <w:rPr>
          <w:lang w:val="en-GB"/>
        </w:rPr>
        <w:t>:</w:t>
      </w:r>
    </w:p>
    <w:p w14:paraId="2350988E" w14:textId="19DDC015" w:rsidR="00E07CB1" w:rsidRPr="00FC0284" w:rsidRDefault="00E07CB1" w:rsidP="00FC0284">
      <w:pPr>
        <w:pStyle w:val="RAN4Proposal0"/>
        <w:numPr>
          <w:ilvl w:val="0"/>
          <w:numId w:val="24"/>
        </w:numPr>
        <w:ind w:left="1134" w:hanging="1134"/>
        <w:contextualSpacing w:val="0"/>
        <w:jc w:val="both"/>
      </w:pPr>
      <w:r w:rsidRPr="00FC0284">
        <w:rPr>
          <w:color w:val="000000" w:themeColor="text1"/>
        </w:rPr>
        <w:t xml:space="preserve">Option 1 </w:t>
      </w:r>
      <w:r w:rsidR="00FC0284">
        <w:rPr>
          <w:color w:val="000000" w:themeColor="text1"/>
        </w:rPr>
        <w:t xml:space="preserve">of the WF </w:t>
      </w:r>
      <w:r w:rsidRPr="00FC0284">
        <w:rPr>
          <w:color w:val="000000" w:themeColor="text1"/>
        </w:rPr>
        <w:t xml:space="preserve">applies for UE in enhanced coverage: NRSRP measurements on non-anchor carrier can be filtered or combined with NRSRP measurement on anchor carrier after translating the non-anchor carrier measurement with parameter </w:t>
      </w:r>
      <w:proofErr w:type="spellStart"/>
      <w:r w:rsidRPr="00FC0284">
        <w:rPr>
          <w:color w:val="000000" w:themeColor="text1"/>
        </w:rPr>
        <w:t>nrs-PowerOffsetNonAnchor</w:t>
      </w:r>
      <w:proofErr w:type="spellEnd"/>
      <w:r w:rsidRPr="00FC0284">
        <w:rPr>
          <w:color w:val="000000" w:themeColor="text1"/>
        </w:rPr>
        <w:t xml:space="preserve"> without any conditions or prerequisites, provided that the UE is in enhanced coverage (SINR &lt; -6 dB).</w:t>
      </w:r>
    </w:p>
    <w:p w14:paraId="65F94BF0" w14:textId="02FCFD2D" w:rsidR="00E07CB1" w:rsidRPr="00E07CB1" w:rsidRDefault="00E07CB1" w:rsidP="00E07CB1">
      <w:pPr>
        <w:pStyle w:val="RAN4Proposal0"/>
        <w:spacing w:after="120"/>
        <w:ind w:left="1134" w:hanging="1134"/>
        <w:contextualSpacing w:val="0"/>
        <w:rPr>
          <w:lang w:eastAsia="x-none"/>
        </w:rPr>
      </w:pPr>
      <w:r w:rsidRPr="00E07CB1">
        <w:rPr>
          <w:lang w:eastAsia="x-none"/>
        </w:rPr>
        <w:t xml:space="preserve">Option 2 </w:t>
      </w:r>
      <w:r w:rsidR="00FC0284">
        <w:rPr>
          <w:lang w:eastAsia="x-none"/>
        </w:rPr>
        <w:t xml:space="preserve">of the WF </w:t>
      </w:r>
      <w:r w:rsidRPr="00E07CB1">
        <w:rPr>
          <w:lang w:eastAsia="x-none"/>
        </w:rPr>
        <w:t xml:space="preserve">applies for UE in normal coverage: NRSRP measurements on non-anchor carrier can be filtered or combined with NRSRP measurement on anchor carrier after translating the non-anchor carrier measurement with parameter </w:t>
      </w:r>
      <w:proofErr w:type="spellStart"/>
      <w:r w:rsidRPr="00E07CB1">
        <w:rPr>
          <w:lang w:eastAsia="x-none"/>
        </w:rPr>
        <w:t>nrs-PowerOffsetNonAnchor</w:t>
      </w:r>
      <w:proofErr w:type="spellEnd"/>
      <w:r w:rsidR="00A07220">
        <w:rPr>
          <w:lang w:eastAsia="x-none"/>
        </w:rPr>
        <w:t>,</w:t>
      </w:r>
      <w:bookmarkStart w:id="5" w:name="_GoBack"/>
      <w:bookmarkEnd w:id="5"/>
      <w:r w:rsidRPr="00E07CB1">
        <w:rPr>
          <w:lang w:eastAsia="x-none"/>
        </w:rPr>
        <w:t xml:space="preserve"> provided that</w:t>
      </w:r>
    </w:p>
    <w:p w14:paraId="27E3138D" w14:textId="77777777" w:rsidR="00E07CB1" w:rsidRPr="00E07CB1" w:rsidRDefault="00E07CB1" w:rsidP="00E07CB1">
      <w:pPr>
        <w:pStyle w:val="ListParagraph"/>
        <w:numPr>
          <w:ilvl w:val="0"/>
          <w:numId w:val="23"/>
        </w:numPr>
        <w:ind w:left="1418" w:hanging="284"/>
        <w:rPr>
          <w:b/>
          <w:bCs/>
          <w:lang w:val="en-GB" w:eastAsia="x-none"/>
        </w:rPr>
      </w:pPr>
      <w:r w:rsidRPr="00E07CB1">
        <w:rPr>
          <w:b/>
          <w:bCs/>
          <w:lang w:val="en-GB" w:eastAsia="x-none"/>
        </w:rPr>
        <w:t xml:space="preserve">the UE is in normal coverage (SINR </w:t>
      </w:r>
      <w:r w:rsidRPr="00E07CB1">
        <w:rPr>
          <w:rFonts w:cs="Times New Roman"/>
          <w:b/>
          <w:bCs/>
          <w:lang w:val="en-GB" w:eastAsia="x-none"/>
        </w:rPr>
        <w:t>≥</w:t>
      </w:r>
      <w:r w:rsidRPr="00E07CB1">
        <w:rPr>
          <w:b/>
          <w:bCs/>
          <w:lang w:val="en-GB" w:eastAsia="x-none"/>
        </w:rPr>
        <w:t xml:space="preserve"> -6 dB) and </w:t>
      </w:r>
    </w:p>
    <w:p w14:paraId="0A591CB3" w14:textId="1E829E92" w:rsidR="00E07CB1" w:rsidRPr="00FC0284" w:rsidRDefault="00E07CB1" w:rsidP="00E07CB1">
      <w:pPr>
        <w:pStyle w:val="ListParagraph"/>
        <w:numPr>
          <w:ilvl w:val="0"/>
          <w:numId w:val="23"/>
        </w:numPr>
        <w:ind w:left="1418" w:hanging="284"/>
        <w:rPr>
          <w:b/>
          <w:bCs/>
          <w:lang w:val="en-GB" w:eastAsia="x-none"/>
        </w:rPr>
      </w:pPr>
      <w:r w:rsidRPr="00E07CB1">
        <w:rPr>
          <w:b/>
          <w:bCs/>
          <w:color w:val="000000" w:themeColor="text1"/>
          <w:lang w:eastAsia="x-none"/>
        </w:rPr>
        <w:t xml:space="preserve">the comparison of NRSRP samples between anchor and non-anchor carrier, taken during the same measurement period and accounting for the signal power offset, yields a difference within a margin </w:t>
      </w:r>
      <w:r w:rsidRPr="00E07CB1">
        <w:rPr>
          <w:b/>
          <w:bCs/>
          <w:i/>
          <w:iCs/>
          <w:color w:val="000000" w:themeColor="text1"/>
          <w:lang w:eastAsia="x-none"/>
        </w:rPr>
        <w:t>M</w:t>
      </w:r>
      <w:r w:rsidRPr="00E07CB1">
        <w:rPr>
          <w:b/>
          <w:bCs/>
          <w:color w:val="000000" w:themeColor="text1"/>
          <w:lang w:eastAsia="x-none"/>
        </w:rPr>
        <w:t xml:space="preserve"> (FFS if a fixed predefined value or a value signaled by the network should be applied).</w:t>
      </w:r>
    </w:p>
    <w:p w14:paraId="6B0983B5" w14:textId="77777777" w:rsidR="003B659E" w:rsidRPr="00DB31F5" w:rsidRDefault="003B659E" w:rsidP="0008612A">
      <w:pPr>
        <w:pStyle w:val="RAN4H1"/>
      </w:pPr>
      <w:r w:rsidRPr="00DB31F5">
        <w:t>References</w:t>
      </w:r>
    </w:p>
    <w:p w14:paraId="702C4BEA" w14:textId="77777777" w:rsidR="00853E2B" w:rsidRPr="00BC77B0" w:rsidRDefault="00853E2B" w:rsidP="00853E2B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BC77B0">
        <w:rPr>
          <w:rFonts w:eastAsia="Times New Roman" w:cs="Times New Roman"/>
          <w:color w:val="000000" w:themeColor="text1"/>
          <w:szCs w:val="20"/>
          <w:lang w:val="en-GB"/>
        </w:rPr>
        <w:t>RP-</w:t>
      </w:r>
      <w:r>
        <w:rPr>
          <w:rFonts w:eastAsia="Times New Roman" w:cs="Times New Roman"/>
          <w:color w:val="000000" w:themeColor="text1"/>
          <w:szCs w:val="20"/>
          <w:lang w:val="en-GB"/>
        </w:rPr>
        <w:t>200293</w:t>
      </w:r>
      <w:r w:rsidRPr="00BC77B0">
        <w:rPr>
          <w:rFonts w:eastAsia="Times New Roman" w:cs="Times New Roman"/>
          <w:color w:val="000000" w:themeColor="text1"/>
          <w:szCs w:val="20"/>
          <w:lang w:val="en-GB"/>
        </w:rPr>
        <w:t xml:space="preserve">, "WID revision: Additional enhancements for NB-IoT", source: </w:t>
      </w:r>
      <w:proofErr w:type="spellStart"/>
      <w:r w:rsidRPr="00BC77B0">
        <w:rPr>
          <w:rFonts w:eastAsia="Times New Roman" w:cs="Times New Roman"/>
          <w:color w:val="000000" w:themeColor="text1"/>
          <w:szCs w:val="20"/>
          <w:lang w:val="en-GB"/>
        </w:rPr>
        <w:t>Futurewei</w:t>
      </w:r>
      <w:proofErr w:type="spellEnd"/>
    </w:p>
    <w:p w14:paraId="441BFFE4" w14:textId="61171C12" w:rsidR="0094043F" w:rsidRPr="00F20D19" w:rsidRDefault="00BB7ED6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DB31F5">
        <w:rPr>
          <w:rFonts w:eastAsia="Times New Roman" w:cs="Times New Roman"/>
          <w:color w:val="000000" w:themeColor="text1"/>
          <w:szCs w:val="20"/>
          <w:lang w:val="en-GB"/>
        </w:rPr>
        <w:t>R4</w:t>
      </w:r>
      <w:r w:rsidR="00AF6DCA" w:rsidRPr="00DB31F5">
        <w:rPr>
          <w:rFonts w:eastAsia="Times New Roman" w:cs="Times New Roman"/>
          <w:color w:val="000000" w:themeColor="text1"/>
          <w:szCs w:val="20"/>
          <w:lang w:val="en-GB"/>
        </w:rPr>
        <w:t>-</w:t>
      </w:r>
      <w:r w:rsidR="003F5F62">
        <w:rPr>
          <w:rFonts w:eastAsia="Times New Roman" w:cs="Times New Roman"/>
          <w:color w:val="000000" w:themeColor="text1"/>
          <w:szCs w:val="20"/>
          <w:lang w:val="en-GB"/>
        </w:rPr>
        <w:t>2002337</w:t>
      </w:r>
      <w:r w:rsidR="00AF6DCA" w:rsidRPr="00DB31F5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47374E" w:rsidRPr="00DB31F5">
        <w:t>Way forward on RRM requirements of R16 enhancement for NB-IoT</w:t>
      </w:r>
      <w:r w:rsidR="00AF6DCA" w:rsidRPr="00DB31F5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3D6942" w:rsidRPr="00DB31F5">
        <w:rPr>
          <w:rFonts w:eastAsia="Times New Roman"/>
          <w:color w:val="000000" w:themeColor="text1"/>
          <w:szCs w:val="20"/>
          <w:lang w:val="en-GB"/>
        </w:rPr>
        <w:t xml:space="preserve">Huawei, </w:t>
      </w:r>
      <w:proofErr w:type="spellStart"/>
      <w:r w:rsidR="003D6942" w:rsidRPr="00DB31F5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4E9CBD3F" w14:textId="0642F75D" w:rsidR="00F20D19" w:rsidRPr="00F20D19" w:rsidRDefault="00F20D19" w:rsidP="00F20D19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DB31F5">
        <w:rPr>
          <w:rFonts w:eastAsia="Times New Roman" w:cs="Times New Roman"/>
          <w:color w:val="000000" w:themeColor="text1"/>
          <w:szCs w:val="20"/>
          <w:lang w:val="en-GB"/>
        </w:rPr>
        <w:t>R4-1915890, "</w:t>
      </w:r>
      <w:r w:rsidRPr="00DB31F5">
        <w:t>Way forward on RRM requirements of R16 enhancement for NB-IoT</w:t>
      </w:r>
      <w:r w:rsidRPr="00DB31F5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Pr="00DB31F5">
        <w:rPr>
          <w:rFonts w:eastAsia="Times New Roman"/>
          <w:color w:val="000000" w:themeColor="text1"/>
          <w:szCs w:val="20"/>
          <w:lang w:val="en-GB"/>
        </w:rPr>
        <w:t xml:space="preserve">Huawei, </w:t>
      </w:r>
      <w:proofErr w:type="spellStart"/>
      <w:r w:rsidRPr="00DB31F5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580C7F20" w14:textId="70F25886" w:rsidR="004229AE" w:rsidRPr="00CC2F3C" w:rsidRDefault="004229AE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CC2F3C">
        <w:rPr>
          <w:rFonts w:eastAsia="Times New Roman" w:cs="Times New Roman"/>
          <w:color w:val="000000" w:themeColor="text1"/>
          <w:szCs w:val="20"/>
          <w:lang w:val="en-GB"/>
        </w:rPr>
        <w:t>R4-1915195, "Remaining issues on RRM measurements in non-anchor carrier for NB-IoT", source: Qualcomm Incorporated</w:t>
      </w:r>
    </w:p>
    <w:p w14:paraId="63FD9E3B" w14:textId="280D5B9D" w:rsidR="00B01FCB" w:rsidRPr="00CC2F3C" w:rsidRDefault="00B01FCB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CC2F3C">
        <w:rPr>
          <w:rFonts w:eastAsia="Times New Roman" w:cs="Times New Roman"/>
          <w:color w:val="000000" w:themeColor="text1"/>
          <w:szCs w:val="20"/>
          <w:lang w:val="en-GB"/>
        </w:rPr>
        <w:t>R4-</w:t>
      </w:r>
      <w:r w:rsidRPr="00CC2F3C">
        <w:rPr>
          <w:szCs w:val="20"/>
          <w:lang w:val="en-GB"/>
        </w:rPr>
        <w:t xml:space="preserve">1914731, </w:t>
      </w:r>
      <w:r w:rsidRPr="00CC2F3C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CC2F3C">
        <w:rPr>
          <w:szCs w:val="20"/>
          <w:lang w:val="en-GB"/>
        </w:rPr>
        <w:t>Remaining discussions on non-anchor carrier RRM measurements</w:t>
      </w:r>
      <w:r w:rsidRPr="00CC2F3C">
        <w:rPr>
          <w:rFonts w:eastAsia="Times New Roman" w:cs="Times New Roman"/>
          <w:color w:val="000000" w:themeColor="text1"/>
          <w:szCs w:val="20"/>
          <w:lang w:val="en-GB"/>
        </w:rPr>
        <w:t>", source: Ericsson</w:t>
      </w:r>
    </w:p>
    <w:p w14:paraId="23806C34" w14:textId="475101BF" w:rsidR="00CC2F3C" w:rsidRPr="00E040F5" w:rsidRDefault="00CC2F3C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CC2F3C">
        <w:rPr>
          <w:color w:val="000000" w:themeColor="text1"/>
          <w:szCs w:val="20"/>
          <w:lang w:val="en-GB"/>
        </w:rPr>
        <w:t>R4-2001752</w:t>
      </w:r>
      <w:r w:rsidRPr="00CC2F3C">
        <w:rPr>
          <w:rFonts w:cs="Times New Roman"/>
          <w:color w:val="000000" w:themeColor="text1"/>
          <w:szCs w:val="20"/>
          <w:lang w:val="en-GB"/>
        </w:rPr>
        <w:t>,</w:t>
      </w:r>
      <w:r w:rsidRPr="00CC2F3C">
        <w:rPr>
          <w:rFonts w:cs="Times New Roman"/>
          <w:szCs w:val="20"/>
        </w:rPr>
        <w:t xml:space="preserve"> </w:t>
      </w:r>
      <w:r w:rsidRPr="00CC2F3C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CC2F3C">
        <w:rPr>
          <w:rFonts w:cs="Times New Roman"/>
          <w:szCs w:val="20"/>
        </w:rPr>
        <w:t>Remaining discussions on non-anchor carrier RRM measurements</w:t>
      </w:r>
      <w:r w:rsidRPr="00CC2F3C">
        <w:rPr>
          <w:rFonts w:eastAsia="Times New Roman" w:cs="Times New Roman"/>
          <w:color w:val="000000" w:themeColor="text1"/>
          <w:szCs w:val="20"/>
          <w:lang w:val="en-GB"/>
        </w:rPr>
        <w:t>", source: Ericsson</w:t>
      </w:r>
    </w:p>
    <w:p w14:paraId="09BCC5BF" w14:textId="0CC14B65" w:rsidR="00E040F5" w:rsidRPr="00CC2F3C" w:rsidRDefault="00E040F5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>
        <w:rPr>
          <w:color w:val="000000" w:themeColor="text1"/>
          <w:szCs w:val="20"/>
          <w:lang w:val="en-GB"/>
        </w:rPr>
        <w:t>R4-2002296,</w:t>
      </w:r>
      <w:r w:rsidRPr="00E040F5">
        <w:t xml:space="preserve"> </w:t>
      </w:r>
      <w:r w:rsidRPr="00CC2F3C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E040F5">
        <w:rPr>
          <w:color w:val="000000" w:themeColor="text1"/>
          <w:szCs w:val="20"/>
          <w:lang w:val="en-GB"/>
        </w:rPr>
        <w:t>Email discussion summary for RAN4#94e_#71_NB_IOTenh3_RRM</w:t>
      </w:r>
      <w:r w:rsidRPr="00DB31F5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>
        <w:rPr>
          <w:rFonts w:eastAsia="Times New Roman" w:cs="Times New Roman"/>
          <w:color w:val="000000" w:themeColor="text1"/>
          <w:szCs w:val="20"/>
          <w:lang w:val="en-GB"/>
        </w:rPr>
        <w:t>Moderator (</w:t>
      </w:r>
      <w:r w:rsidRPr="00DB31F5">
        <w:rPr>
          <w:rFonts w:eastAsia="Times New Roman"/>
          <w:color w:val="000000" w:themeColor="text1"/>
          <w:szCs w:val="20"/>
          <w:lang w:val="en-GB"/>
        </w:rPr>
        <w:t>Huawei</w:t>
      </w:r>
      <w:r>
        <w:rPr>
          <w:rFonts w:eastAsia="Times New Roman"/>
          <w:color w:val="000000" w:themeColor="text1"/>
          <w:szCs w:val="20"/>
          <w:lang w:val="en-GB"/>
        </w:rPr>
        <w:t>)</w:t>
      </w:r>
    </w:p>
    <w:sectPr w:rsidR="00E040F5" w:rsidRPr="00CC2F3C" w:rsidSect="0085635B">
      <w:footerReference w:type="default" r:id="rId8"/>
      <w:pgSz w:w="11907" w:h="16840" w:code="9"/>
      <w:pgMar w:top="1412" w:right="1134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0E5C1" w14:textId="77777777" w:rsidR="004906EF" w:rsidRDefault="004906EF" w:rsidP="00001C9B">
      <w:pPr>
        <w:spacing w:after="0" w:line="240" w:lineRule="auto"/>
      </w:pPr>
      <w:r>
        <w:separator/>
      </w:r>
    </w:p>
  </w:endnote>
  <w:endnote w:type="continuationSeparator" w:id="0">
    <w:p w14:paraId="078F9C0C" w14:textId="77777777" w:rsidR="004906EF" w:rsidRDefault="004906E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A438EA" w:rsidRDefault="00A438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A438EA" w:rsidRDefault="00A43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CC140" w14:textId="77777777" w:rsidR="004906EF" w:rsidRDefault="004906EF" w:rsidP="00001C9B">
      <w:pPr>
        <w:spacing w:after="0" w:line="240" w:lineRule="auto"/>
      </w:pPr>
      <w:r>
        <w:separator/>
      </w:r>
    </w:p>
  </w:footnote>
  <w:footnote w:type="continuationSeparator" w:id="0">
    <w:p w14:paraId="64AB512D" w14:textId="77777777" w:rsidR="004906EF" w:rsidRDefault="004906E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7156"/>
    <w:multiLevelType w:val="hybridMultilevel"/>
    <w:tmpl w:val="9F226DA4"/>
    <w:lvl w:ilvl="0" w:tplc="C16A972C">
      <w:start w:val="22177"/>
      <w:numFmt w:val="bullet"/>
      <w:lvlText w:val="–"/>
      <w:lvlJc w:val="left"/>
      <w:pPr>
        <w:ind w:left="1854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C518B9"/>
    <w:multiLevelType w:val="hybridMultilevel"/>
    <w:tmpl w:val="3CAAC706"/>
    <w:lvl w:ilvl="0" w:tplc="E5B05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ECE38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48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88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5E4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2E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D88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82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9D08EC"/>
    <w:multiLevelType w:val="hybridMultilevel"/>
    <w:tmpl w:val="EAECEC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33F69"/>
    <w:multiLevelType w:val="hybridMultilevel"/>
    <w:tmpl w:val="E4A8C5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C5A00">
      <w:start w:val="173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E54CB"/>
    <w:multiLevelType w:val="hybridMultilevel"/>
    <w:tmpl w:val="5A2C9B9A"/>
    <w:lvl w:ilvl="0" w:tplc="0D6429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CC7C5A00">
      <w:start w:val="173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4027B"/>
    <w:multiLevelType w:val="hybridMultilevel"/>
    <w:tmpl w:val="99EA3D38"/>
    <w:lvl w:ilvl="0" w:tplc="57C8F0D8">
      <w:start w:val="6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87026A"/>
    <w:multiLevelType w:val="hybridMultilevel"/>
    <w:tmpl w:val="870667A0"/>
    <w:lvl w:ilvl="0" w:tplc="5682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AC2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82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26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69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8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26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E3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4A1C47D6"/>
    <w:multiLevelType w:val="hybridMultilevel"/>
    <w:tmpl w:val="4C92F8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C5A00">
      <w:start w:val="173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11" w15:restartNumberingAfterBreak="0">
    <w:nsid w:val="4DA44281"/>
    <w:multiLevelType w:val="hybridMultilevel"/>
    <w:tmpl w:val="ACFA869E"/>
    <w:lvl w:ilvl="0" w:tplc="FE4AE3D0">
      <w:start w:val="1"/>
      <w:numFmt w:val="decimal"/>
      <w:pStyle w:val="RAN4Proposal0"/>
      <w:lvlText w:val="Proposal %1:"/>
      <w:lvlJc w:val="left"/>
      <w:pPr>
        <w:ind w:left="9858" w:hanging="36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8877" w:hanging="360"/>
      </w:pPr>
    </w:lvl>
    <w:lvl w:ilvl="2" w:tplc="0409001B" w:tentative="1">
      <w:start w:val="1"/>
      <w:numFmt w:val="lowerRoman"/>
      <w:lvlText w:val="%3."/>
      <w:lvlJc w:val="right"/>
      <w:pPr>
        <w:ind w:left="9597" w:hanging="180"/>
      </w:pPr>
    </w:lvl>
    <w:lvl w:ilvl="3" w:tplc="0409000F" w:tentative="1">
      <w:start w:val="1"/>
      <w:numFmt w:val="decimal"/>
      <w:lvlText w:val="%4."/>
      <w:lvlJc w:val="left"/>
      <w:pPr>
        <w:ind w:left="10317" w:hanging="360"/>
      </w:pPr>
    </w:lvl>
    <w:lvl w:ilvl="4" w:tplc="04090019" w:tentative="1">
      <w:start w:val="1"/>
      <w:numFmt w:val="lowerLetter"/>
      <w:lvlText w:val="%5."/>
      <w:lvlJc w:val="left"/>
      <w:pPr>
        <w:ind w:left="11037" w:hanging="360"/>
      </w:pPr>
    </w:lvl>
    <w:lvl w:ilvl="5" w:tplc="0409001B" w:tentative="1">
      <w:start w:val="1"/>
      <w:numFmt w:val="lowerRoman"/>
      <w:lvlText w:val="%6."/>
      <w:lvlJc w:val="right"/>
      <w:pPr>
        <w:ind w:left="11757" w:hanging="180"/>
      </w:pPr>
    </w:lvl>
    <w:lvl w:ilvl="6" w:tplc="0409000F" w:tentative="1">
      <w:start w:val="1"/>
      <w:numFmt w:val="decimal"/>
      <w:lvlText w:val="%7."/>
      <w:lvlJc w:val="left"/>
      <w:pPr>
        <w:ind w:left="12477" w:hanging="360"/>
      </w:pPr>
    </w:lvl>
    <w:lvl w:ilvl="7" w:tplc="04090019" w:tentative="1">
      <w:start w:val="1"/>
      <w:numFmt w:val="lowerLetter"/>
      <w:lvlText w:val="%8."/>
      <w:lvlJc w:val="left"/>
      <w:pPr>
        <w:ind w:left="13197" w:hanging="360"/>
      </w:pPr>
    </w:lvl>
    <w:lvl w:ilvl="8" w:tplc="040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2" w15:restartNumberingAfterBreak="0">
    <w:nsid w:val="52781929"/>
    <w:multiLevelType w:val="hybridMultilevel"/>
    <w:tmpl w:val="EDEC0D48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52902170"/>
    <w:multiLevelType w:val="hybridMultilevel"/>
    <w:tmpl w:val="E586F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22A64"/>
    <w:multiLevelType w:val="hybridMultilevel"/>
    <w:tmpl w:val="ADC274A2"/>
    <w:lvl w:ilvl="0" w:tplc="0D6429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64D6EAB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B7E2170"/>
    <w:multiLevelType w:val="hybridMultilevel"/>
    <w:tmpl w:val="0E567FA6"/>
    <w:lvl w:ilvl="0" w:tplc="A9BE7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2A9DA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62D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48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846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7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D2C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9A5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D6015"/>
    <w:multiLevelType w:val="hybridMultilevel"/>
    <w:tmpl w:val="9A66BA0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0"/>
  </w:num>
  <w:num w:numId="5">
    <w:abstractNumId w:val="15"/>
  </w:num>
  <w:num w:numId="6">
    <w:abstractNumId w:val="11"/>
    <w:lvlOverride w:ilvl="0">
      <w:startOverride w:val="1"/>
    </w:lvlOverride>
  </w:num>
  <w:num w:numId="7">
    <w:abstractNumId w:val="17"/>
  </w:num>
  <w:num w:numId="8">
    <w:abstractNumId w:val="13"/>
  </w:num>
  <w:num w:numId="9">
    <w:abstractNumId w:val="7"/>
  </w:num>
  <w:num w:numId="10">
    <w:abstractNumId w:val="3"/>
  </w:num>
  <w:num w:numId="11">
    <w:abstractNumId w:val="2"/>
  </w:num>
  <w:num w:numId="12">
    <w:abstractNumId w:val="9"/>
  </w:num>
  <w:num w:numId="13">
    <w:abstractNumId w:val="14"/>
  </w:num>
  <w:num w:numId="14">
    <w:abstractNumId w:val="12"/>
  </w:num>
  <w:num w:numId="15">
    <w:abstractNumId w:val="18"/>
  </w:num>
  <w:num w:numId="16">
    <w:abstractNumId w:val="5"/>
  </w:num>
  <w:num w:numId="17">
    <w:abstractNumId w:val="11"/>
  </w:num>
  <w:num w:numId="18">
    <w:abstractNumId w:val="11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0"/>
  </w:num>
  <w:num w:numId="21">
    <w:abstractNumId w:val="16"/>
  </w:num>
  <w:num w:numId="22">
    <w:abstractNumId w:val="4"/>
  </w:num>
  <w:num w:numId="23">
    <w:abstractNumId w:val="6"/>
  </w:num>
  <w:num w:numId="24">
    <w:abstractNumId w:val="1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00EF"/>
    <w:rsid w:val="0001485A"/>
    <w:rsid w:val="00021D62"/>
    <w:rsid w:val="0002350E"/>
    <w:rsid w:val="00023724"/>
    <w:rsid w:val="00036117"/>
    <w:rsid w:val="00062CF3"/>
    <w:rsid w:val="00063656"/>
    <w:rsid w:val="00070F78"/>
    <w:rsid w:val="000851EE"/>
    <w:rsid w:val="00085B6E"/>
    <w:rsid w:val="0008612A"/>
    <w:rsid w:val="00091D16"/>
    <w:rsid w:val="000B0056"/>
    <w:rsid w:val="000B3D00"/>
    <w:rsid w:val="000C1D14"/>
    <w:rsid w:val="000F2046"/>
    <w:rsid w:val="000F2EE5"/>
    <w:rsid w:val="000F334F"/>
    <w:rsid w:val="000F37AA"/>
    <w:rsid w:val="00105833"/>
    <w:rsid w:val="00116B4A"/>
    <w:rsid w:val="00121297"/>
    <w:rsid w:val="00125A5F"/>
    <w:rsid w:val="0013619E"/>
    <w:rsid w:val="00136333"/>
    <w:rsid w:val="00143C2B"/>
    <w:rsid w:val="00154C7D"/>
    <w:rsid w:val="00161971"/>
    <w:rsid w:val="00170F1F"/>
    <w:rsid w:val="00172426"/>
    <w:rsid w:val="001745F8"/>
    <w:rsid w:val="00176671"/>
    <w:rsid w:val="001838CF"/>
    <w:rsid w:val="001A39E2"/>
    <w:rsid w:val="001B1094"/>
    <w:rsid w:val="001B445C"/>
    <w:rsid w:val="001B7AA8"/>
    <w:rsid w:val="001C2F6D"/>
    <w:rsid w:val="001C31AC"/>
    <w:rsid w:val="001D19B7"/>
    <w:rsid w:val="001D67AA"/>
    <w:rsid w:val="001E147B"/>
    <w:rsid w:val="001E1F8C"/>
    <w:rsid w:val="001E30F6"/>
    <w:rsid w:val="0020200D"/>
    <w:rsid w:val="00211053"/>
    <w:rsid w:val="00212763"/>
    <w:rsid w:val="00216FB9"/>
    <w:rsid w:val="002250C2"/>
    <w:rsid w:val="00227E56"/>
    <w:rsid w:val="00235F5C"/>
    <w:rsid w:val="00237A68"/>
    <w:rsid w:val="00240C74"/>
    <w:rsid w:val="0025067E"/>
    <w:rsid w:val="002573B5"/>
    <w:rsid w:val="00270159"/>
    <w:rsid w:val="0027038C"/>
    <w:rsid w:val="002B4922"/>
    <w:rsid w:val="002C1D4E"/>
    <w:rsid w:val="002C2D19"/>
    <w:rsid w:val="002D10FA"/>
    <w:rsid w:val="002D4C55"/>
    <w:rsid w:val="002E67B4"/>
    <w:rsid w:val="002F232B"/>
    <w:rsid w:val="0031710B"/>
    <w:rsid w:val="00317F6E"/>
    <w:rsid w:val="003277CC"/>
    <w:rsid w:val="0033542F"/>
    <w:rsid w:val="00341220"/>
    <w:rsid w:val="00351CB5"/>
    <w:rsid w:val="00352F91"/>
    <w:rsid w:val="00356B66"/>
    <w:rsid w:val="003854C3"/>
    <w:rsid w:val="00386D2A"/>
    <w:rsid w:val="00387078"/>
    <w:rsid w:val="003911F1"/>
    <w:rsid w:val="00392C5B"/>
    <w:rsid w:val="003A0C94"/>
    <w:rsid w:val="003B0756"/>
    <w:rsid w:val="003B2908"/>
    <w:rsid w:val="003B291B"/>
    <w:rsid w:val="003B659E"/>
    <w:rsid w:val="003C2683"/>
    <w:rsid w:val="003C5A4D"/>
    <w:rsid w:val="003D24E0"/>
    <w:rsid w:val="003D6942"/>
    <w:rsid w:val="003E00B9"/>
    <w:rsid w:val="003F047A"/>
    <w:rsid w:val="003F5D0F"/>
    <w:rsid w:val="003F5F62"/>
    <w:rsid w:val="00405D65"/>
    <w:rsid w:val="00412329"/>
    <w:rsid w:val="00417AA0"/>
    <w:rsid w:val="004229AE"/>
    <w:rsid w:val="004328F6"/>
    <w:rsid w:val="0043750A"/>
    <w:rsid w:val="0043751D"/>
    <w:rsid w:val="00463CE1"/>
    <w:rsid w:val="004714BE"/>
    <w:rsid w:val="0047374E"/>
    <w:rsid w:val="004746A8"/>
    <w:rsid w:val="00474863"/>
    <w:rsid w:val="00480EBB"/>
    <w:rsid w:val="004906EF"/>
    <w:rsid w:val="00493295"/>
    <w:rsid w:val="004B7B4A"/>
    <w:rsid w:val="004C04E2"/>
    <w:rsid w:val="004C5B83"/>
    <w:rsid w:val="004C7414"/>
    <w:rsid w:val="004D59E2"/>
    <w:rsid w:val="004E006D"/>
    <w:rsid w:val="004E0DE3"/>
    <w:rsid w:val="004E5E66"/>
    <w:rsid w:val="004E6FA5"/>
    <w:rsid w:val="004F185B"/>
    <w:rsid w:val="004F3CDD"/>
    <w:rsid w:val="00503B4D"/>
    <w:rsid w:val="00504EE9"/>
    <w:rsid w:val="00523CE3"/>
    <w:rsid w:val="00531D72"/>
    <w:rsid w:val="0054442C"/>
    <w:rsid w:val="00544780"/>
    <w:rsid w:val="00550285"/>
    <w:rsid w:val="00552A98"/>
    <w:rsid w:val="00574E8D"/>
    <w:rsid w:val="00576B52"/>
    <w:rsid w:val="00576CF2"/>
    <w:rsid w:val="0058090D"/>
    <w:rsid w:val="005836F8"/>
    <w:rsid w:val="005918FA"/>
    <w:rsid w:val="0059395E"/>
    <w:rsid w:val="005A57F8"/>
    <w:rsid w:val="005B3414"/>
    <w:rsid w:val="005C1F7D"/>
    <w:rsid w:val="005D2E8D"/>
    <w:rsid w:val="005D4B8B"/>
    <w:rsid w:val="005D4F5B"/>
    <w:rsid w:val="005E61A8"/>
    <w:rsid w:val="005F6419"/>
    <w:rsid w:val="005F6EA4"/>
    <w:rsid w:val="005F7C3A"/>
    <w:rsid w:val="005F7DA4"/>
    <w:rsid w:val="00617400"/>
    <w:rsid w:val="00651041"/>
    <w:rsid w:val="006536C9"/>
    <w:rsid w:val="00664950"/>
    <w:rsid w:val="00671BF1"/>
    <w:rsid w:val="00681DD5"/>
    <w:rsid w:val="0068316F"/>
    <w:rsid w:val="00683220"/>
    <w:rsid w:val="00685155"/>
    <w:rsid w:val="00687FA0"/>
    <w:rsid w:val="00695E7D"/>
    <w:rsid w:val="006A36A3"/>
    <w:rsid w:val="006B1D20"/>
    <w:rsid w:val="006B6F68"/>
    <w:rsid w:val="006B7010"/>
    <w:rsid w:val="006C21F3"/>
    <w:rsid w:val="006F279D"/>
    <w:rsid w:val="006F28AC"/>
    <w:rsid w:val="0070259A"/>
    <w:rsid w:val="00702EDD"/>
    <w:rsid w:val="007145FF"/>
    <w:rsid w:val="007151B9"/>
    <w:rsid w:val="007300BD"/>
    <w:rsid w:val="007335E4"/>
    <w:rsid w:val="00751515"/>
    <w:rsid w:val="00752213"/>
    <w:rsid w:val="007657EE"/>
    <w:rsid w:val="007665E6"/>
    <w:rsid w:val="007675A7"/>
    <w:rsid w:val="00781BC3"/>
    <w:rsid w:val="00783911"/>
    <w:rsid w:val="0078439C"/>
    <w:rsid w:val="00785232"/>
    <w:rsid w:val="007A3695"/>
    <w:rsid w:val="007C312C"/>
    <w:rsid w:val="007C38E1"/>
    <w:rsid w:val="007C3ED0"/>
    <w:rsid w:val="007C5F26"/>
    <w:rsid w:val="007E215E"/>
    <w:rsid w:val="007E448E"/>
    <w:rsid w:val="007F0A48"/>
    <w:rsid w:val="007F389B"/>
    <w:rsid w:val="00806A76"/>
    <w:rsid w:val="00811C9D"/>
    <w:rsid w:val="00816C80"/>
    <w:rsid w:val="008310AF"/>
    <w:rsid w:val="0083376B"/>
    <w:rsid w:val="00841BCD"/>
    <w:rsid w:val="008430C8"/>
    <w:rsid w:val="008442FE"/>
    <w:rsid w:val="00852CE6"/>
    <w:rsid w:val="00853E2B"/>
    <w:rsid w:val="0085635B"/>
    <w:rsid w:val="00856B05"/>
    <w:rsid w:val="00863350"/>
    <w:rsid w:val="008665E8"/>
    <w:rsid w:val="008826C1"/>
    <w:rsid w:val="00884A85"/>
    <w:rsid w:val="00893814"/>
    <w:rsid w:val="008C3C3F"/>
    <w:rsid w:val="008E1B89"/>
    <w:rsid w:val="008F7385"/>
    <w:rsid w:val="009042BD"/>
    <w:rsid w:val="0090789C"/>
    <w:rsid w:val="00915D64"/>
    <w:rsid w:val="0092227D"/>
    <w:rsid w:val="00932535"/>
    <w:rsid w:val="0094043F"/>
    <w:rsid w:val="009475B6"/>
    <w:rsid w:val="0094792A"/>
    <w:rsid w:val="0095560C"/>
    <w:rsid w:val="00956D22"/>
    <w:rsid w:val="009614B9"/>
    <w:rsid w:val="00966C27"/>
    <w:rsid w:val="00967205"/>
    <w:rsid w:val="00970480"/>
    <w:rsid w:val="00970C6E"/>
    <w:rsid w:val="00971AF1"/>
    <w:rsid w:val="00976ABD"/>
    <w:rsid w:val="00977869"/>
    <w:rsid w:val="00977E1D"/>
    <w:rsid w:val="0098494A"/>
    <w:rsid w:val="00992706"/>
    <w:rsid w:val="00995CDA"/>
    <w:rsid w:val="009A7D99"/>
    <w:rsid w:val="009D15E4"/>
    <w:rsid w:val="009F082C"/>
    <w:rsid w:val="00A07220"/>
    <w:rsid w:val="00A14BDD"/>
    <w:rsid w:val="00A22B78"/>
    <w:rsid w:val="00A25AE5"/>
    <w:rsid w:val="00A27A08"/>
    <w:rsid w:val="00A31161"/>
    <w:rsid w:val="00A35025"/>
    <w:rsid w:val="00A37002"/>
    <w:rsid w:val="00A438EA"/>
    <w:rsid w:val="00A4446B"/>
    <w:rsid w:val="00A521A7"/>
    <w:rsid w:val="00A5311A"/>
    <w:rsid w:val="00A77E50"/>
    <w:rsid w:val="00A81E08"/>
    <w:rsid w:val="00A830A0"/>
    <w:rsid w:val="00A8484B"/>
    <w:rsid w:val="00A91E9D"/>
    <w:rsid w:val="00AA01F2"/>
    <w:rsid w:val="00AA109F"/>
    <w:rsid w:val="00AA1B0E"/>
    <w:rsid w:val="00AC5CA7"/>
    <w:rsid w:val="00AD0A04"/>
    <w:rsid w:val="00AE1944"/>
    <w:rsid w:val="00AE4C98"/>
    <w:rsid w:val="00AE56B1"/>
    <w:rsid w:val="00AF1751"/>
    <w:rsid w:val="00AF4C2F"/>
    <w:rsid w:val="00AF6DCA"/>
    <w:rsid w:val="00B01FCB"/>
    <w:rsid w:val="00B03C53"/>
    <w:rsid w:val="00B03C78"/>
    <w:rsid w:val="00B055E3"/>
    <w:rsid w:val="00B20B2E"/>
    <w:rsid w:val="00B25077"/>
    <w:rsid w:val="00B25D36"/>
    <w:rsid w:val="00B33AFD"/>
    <w:rsid w:val="00B341AF"/>
    <w:rsid w:val="00B470D8"/>
    <w:rsid w:val="00B73862"/>
    <w:rsid w:val="00B938E0"/>
    <w:rsid w:val="00B94B19"/>
    <w:rsid w:val="00BA6E48"/>
    <w:rsid w:val="00BA724E"/>
    <w:rsid w:val="00BB3A1B"/>
    <w:rsid w:val="00BB7ED6"/>
    <w:rsid w:val="00BC1A20"/>
    <w:rsid w:val="00BC75A5"/>
    <w:rsid w:val="00BF2218"/>
    <w:rsid w:val="00BF5683"/>
    <w:rsid w:val="00C130C2"/>
    <w:rsid w:val="00C27C64"/>
    <w:rsid w:val="00C35E07"/>
    <w:rsid w:val="00C561AF"/>
    <w:rsid w:val="00C562E9"/>
    <w:rsid w:val="00C6652E"/>
    <w:rsid w:val="00C6761A"/>
    <w:rsid w:val="00C745E5"/>
    <w:rsid w:val="00C8249A"/>
    <w:rsid w:val="00C931A1"/>
    <w:rsid w:val="00CA7D31"/>
    <w:rsid w:val="00CB0852"/>
    <w:rsid w:val="00CB1AF8"/>
    <w:rsid w:val="00CC2524"/>
    <w:rsid w:val="00CC2F3C"/>
    <w:rsid w:val="00CC6A3D"/>
    <w:rsid w:val="00CD181B"/>
    <w:rsid w:val="00CD7492"/>
    <w:rsid w:val="00CE3A6B"/>
    <w:rsid w:val="00CF1700"/>
    <w:rsid w:val="00CF480D"/>
    <w:rsid w:val="00D00211"/>
    <w:rsid w:val="00D06309"/>
    <w:rsid w:val="00D10A52"/>
    <w:rsid w:val="00D1585C"/>
    <w:rsid w:val="00D31956"/>
    <w:rsid w:val="00D351EA"/>
    <w:rsid w:val="00D358A6"/>
    <w:rsid w:val="00D43403"/>
    <w:rsid w:val="00D5158A"/>
    <w:rsid w:val="00D52C75"/>
    <w:rsid w:val="00D613A9"/>
    <w:rsid w:val="00D62E71"/>
    <w:rsid w:val="00D644D1"/>
    <w:rsid w:val="00D740CA"/>
    <w:rsid w:val="00D81C0A"/>
    <w:rsid w:val="00D841B3"/>
    <w:rsid w:val="00D85728"/>
    <w:rsid w:val="00DA0CBC"/>
    <w:rsid w:val="00DB19FA"/>
    <w:rsid w:val="00DB31F5"/>
    <w:rsid w:val="00DB32BB"/>
    <w:rsid w:val="00DB4870"/>
    <w:rsid w:val="00DB54AC"/>
    <w:rsid w:val="00DB594B"/>
    <w:rsid w:val="00DB6076"/>
    <w:rsid w:val="00DC1AEA"/>
    <w:rsid w:val="00DC2984"/>
    <w:rsid w:val="00DD555A"/>
    <w:rsid w:val="00DF2997"/>
    <w:rsid w:val="00DF2F07"/>
    <w:rsid w:val="00E00C78"/>
    <w:rsid w:val="00E040F5"/>
    <w:rsid w:val="00E06217"/>
    <w:rsid w:val="00E07CB1"/>
    <w:rsid w:val="00E17413"/>
    <w:rsid w:val="00E21084"/>
    <w:rsid w:val="00E455B1"/>
    <w:rsid w:val="00E50C1F"/>
    <w:rsid w:val="00E51440"/>
    <w:rsid w:val="00E71676"/>
    <w:rsid w:val="00E81AFA"/>
    <w:rsid w:val="00E91FDF"/>
    <w:rsid w:val="00E94B04"/>
    <w:rsid w:val="00EA2650"/>
    <w:rsid w:val="00EB1188"/>
    <w:rsid w:val="00EC7BC3"/>
    <w:rsid w:val="00ED1857"/>
    <w:rsid w:val="00ED43CB"/>
    <w:rsid w:val="00ED7600"/>
    <w:rsid w:val="00EF2A70"/>
    <w:rsid w:val="00EF389F"/>
    <w:rsid w:val="00EF44D4"/>
    <w:rsid w:val="00F04673"/>
    <w:rsid w:val="00F1362C"/>
    <w:rsid w:val="00F1451C"/>
    <w:rsid w:val="00F204BA"/>
    <w:rsid w:val="00F20D19"/>
    <w:rsid w:val="00F231E7"/>
    <w:rsid w:val="00F261F2"/>
    <w:rsid w:val="00F31666"/>
    <w:rsid w:val="00F31A9E"/>
    <w:rsid w:val="00F461AC"/>
    <w:rsid w:val="00F61D5D"/>
    <w:rsid w:val="00F670FB"/>
    <w:rsid w:val="00F732F7"/>
    <w:rsid w:val="00F74844"/>
    <w:rsid w:val="00F824F5"/>
    <w:rsid w:val="00F82992"/>
    <w:rsid w:val="00F83D13"/>
    <w:rsid w:val="00F86826"/>
    <w:rsid w:val="00F90A1B"/>
    <w:rsid w:val="00F9169B"/>
    <w:rsid w:val="00F92531"/>
    <w:rsid w:val="00FA02D2"/>
    <w:rsid w:val="00FB4968"/>
    <w:rsid w:val="00FC0284"/>
    <w:rsid w:val="00FC049B"/>
    <w:rsid w:val="00FC29B9"/>
    <w:rsid w:val="00FC6FD3"/>
    <w:rsid w:val="00FD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BF429C81-97D2-49EA-9DC3-413B71D6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07CB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7"/>
      </w:numPr>
      <w:ind w:left="8157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EB1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66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30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04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05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00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3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65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A276A-5E9E-4CD8-98E8-1D325A5E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1300</Words>
  <Characters>8190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On NRSRP processing in multicarrier operation</vt:lpstr>
      <vt:lpstr>Electronic Meeting, 20 – 30 April, 2020</vt:lpstr>
      <vt:lpstr>Introduction</vt:lpstr>
      <vt:lpstr>Discussion</vt:lpstr>
      <vt:lpstr>    Combining anchor and non-anchor NRSRP samples</vt:lpstr>
      <vt:lpstr>Conclusion</vt:lpstr>
      <vt:lpstr>References</vt:lpstr>
      <vt:lpstr>    RP-200293, "WID revision: Additional enhancements for NB-IoT", source: Futurewei</vt:lpstr>
      <vt:lpstr>    R4-2002337, "Way forward on RRM requirements of R16 enhancement for NB-IoT", sou</vt:lpstr>
      <vt:lpstr>    R4-1915890, "Way forward on RRM requirements of R16 enhancement for NB-IoT", sou</vt:lpstr>
      <vt:lpstr>    R4-1915195, "Remaining issues on RRM measurements in non-anchor carrier for NB-I</vt:lpstr>
      <vt:lpstr>    R4-1914731, "Remaining discussions on non-anchor carrier RRM measurements", sour</vt:lpstr>
      <vt:lpstr>    R4-2001752, "Remaining discussions on non-anchor carrier RRM measurements", sour</vt:lpstr>
      <vt:lpstr>    R4-2002296, "Email discussion summary for RAN4#94e_#71_NB_IOTenh3_RRM", source: </vt:lpstr>
    </vt:vector>
  </TitlesOfParts>
  <Company/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NRSRP processing in multicarrier operation</dc:title>
  <dc:subject/>
  <dc:creator>Juergen Hofmann</dc:creator>
  <cp:keywords/>
  <dc:description/>
  <cp:lastModifiedBy>Juergen Hofmann</cp:lastModifiedBy>
  <cp:revision>30</cp:revision>
  <dcterms:created xsi:type="dcterms:W3CDTF">2020-02-12T17:19:00Z</dcterms:created>
  <dcterms:modified xsi:type="dcterms:W3CDTF">2020-04-10T14:20:00Z</dcterms:modified>
</cp:coreProperties>
</file>