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42DB" w:rsidRPr="00134D09" w:rsidRDefault="002342DB" w:rsidP="002342DB">
      <w:pPr>
        <w:pStyle w:val="a3"/>
        <w:rPr>
          <w:rFonts w:cs="Arial"/>
          <w:noProof w:val="0"/>
          <w:sz w:val="24"/>
          <w:szCs w:val="24"/>
        </w:rPr>
      </w:pPr>
      <w:r w:rsidRPr="00134D09">
        <w:rPr>
          <w:rFonts w:cs="Arial"/>
          <w:noProof w:val="0"/>
          <w:sz w:val="24"/>
          <w:szCs w:val="24"/>
        </w:rPr>
        <w:t xml:space="preserve">3GPP RAN WG4 Meeting #94-e                                       </w:t>
      </w:r>
      <w:r w:rsidR="002654AD" w:rsidRPr="002654AD">
        <w:rPr>
          <w:rFonts w:cs="Arial"/>
          <w:noProof w:val="0"/>
          <w:sz w:val="24"/>
          <w:szCs w:val="24"/>
        </w:rPr>
        <w:t>R4-2001562</w:t>
      </w:r>
      <w:bookmarkStart w:id="0" w:name="_GoBack"/>
      <w:bookmarkEnd w:id="0"/>
      <w:r w:rsidRPr="00134D09">
        <w:rPr>
          <w:rFonts w:cs="Arial"/>
          <w:noProof w:val="0"/>
          <w:sz w:val="24"/>
          <w:szCs w:val="24"/>
        </w:rPr>
        <w:t xml:space="preserve">                                             </w:t>
      </w:r>
    </w:p>
    <w:p w:rsidR="002342DB" w:rsidRPr="00134D09" w:rsidRDefault="002342DB" w:rsidP="002342DB">
      <w:pPr>
        <w:pStyle w:val="a3"/>
        <w:rPr>
          <w:noProof w:val="0"/>
          <w:lang w:val="en-GB"/>
        </w:rPr>
      </w:pPr>
      <w:r w:rsidRPr="00134D09">
        <w:rPr>
          <w:rFonts w:cs="Arial"/>
          <w:noProof w:val="0"/>
          <w:sz w:val="24"/>
          <w:szCs w:val="24"/>
        </w:rPr>
        <w:t>Online, 24th February – 6th March 2020</w:t>
      </w:r>
    </w:p>
    <w:p w:rsidR="00DF0231" w:rsidRPr="002D2977" w:rsidRDefault="00DF0231" w:rsidP="00DF0231">
      <w:pPr>
        <w:pStyle w:val="a3"/>
        <w:tabs>
          <w:tab w:val="right" w:pos="9630"/>
          <w:tab w:val="right" w:pos="13323"/>
        </w:tabs>
        <w:rPr>
          <w:rFonts w:cs="Arial"/>
          <w:noProof w:val="0"/>
          <w:sz w:val="24"/>
          <w:szCs w:val="24"/>
          <w:lang w:eastAsia="ja-JP"/>
        </w:rPr>
      </w:pPr>
      <w:r w:rsidRPr="002D2977">
        <w:rPr>
          <w:rFonts w:cs="Arial"/>
          <w:noProof w:val="0"/>
          <w:sz w:val="24"/>
          <w:szCs w:val="24"/>
        </w:rPr>
        <w:tab/>
      </w:r>
    </w:p>
    <w:p w:rsidR="00DF0231" w:rsidRPr="002A5E54" w:rsidRDefault="00DF0231" w:rsidP="00DF0231">
      <w:pPr>
        <w:pStyle w:val="a3"/>
        <w:rPr>
          <w:rFonts w:eastAsia="宋体"/>
          <w:noProof w:val="0"/>
          <w:sz w:val="24"/>
          <w:szCs w:val="24"/>
          <w:lang w:eastAsia="zh-CN"/>
        </w:rPr>
      </w:pP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87326D">
        <w:rPr>
          <w:rFonts w:ascii="Arial" w:hAnsi="Arial"/>
          <w:sz w:val="24"/>
          <w:lang w:val="en-US"/>
        </w:rPr>
        <w:t>8</w:t>
      </w:r>
      <w:r w:rsidR="00EA5149">
        <w:rPr>
          <w:rFonts w:ascii="Arial" w:hAnsi="Arial"/>
          <w:sz w:val="24"/>
          <w:lang w:val="en-US"/>
        </w:rPr>
        <w:t>.1.4.</w:t>
      </w:r>
      <w:r w:rsidR="0020033A">
        <w:rPr>
          <w:rFonts w:ascii="Arial" w:hAnsi="Arial"/>
          <w:sz w:val="24"/>
          <w:lang w:val="en-US"/>
        </w:rPr>
        <w:t>1</w:t>
      </w:r>
      <w:r w:rsidR="00E06792">
        <w:rPr>
          <w:rFonts w:ascii="Arial" w:hAnsi="Arial"/>
          <w:sz w:val="24"/>
          <w:lang w:val="en-US"/>
        </w:rPr>
        <w:t>0</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7326D">
        <w:rPr>
          <w:rFonts w:ascii="Arial" w:hAnsi="Arial"/>
          <w:sz w:val="24"/>
          <w:lang w:val="en-US"/>
        </w:rPr>
        <w:t>Discussion o</w:t>
      </w:r>
      <w:r w:rsidR="0087326D" w:rsidRPr="0020033A">
        <w:rPr>
          <w:rFonts w:ascii="Arial" w:hAnsi="Arial"/>
          <w:sz w:val="24"/>
          <w:lang w:val="en-US"/>
        </w:rPr>
        <w:t>n</w:t>
      </w:r>
      <w:r w:rsidR="000E2C03" w:rsidRPr="0020033A">
        <w:rPr>
          <w:rFonts w:ascii="Arial" w:hAnsi="Arial"/>
          <w:sz w:val="24"/>
          <w:lang w:val="en-US"/>
        </w:rPr>
        <w:t xml:space="preserve"> </w:t>
      </w:r>
      <w:r w:rsidR="00E06792" w:rsidRPr="00E06792">
        <w:rPr>
          <w:rFonts w:ascii="Arial" w:hAnsi="Arial" w:hint="eastAsia"/>
          <w:sz w:val="24"/>
          <w:lang w:val="en-US"/>
        </w:rPr>
        <w:t>measurement</w:t>
      </w:r>
      <w:r w:rsidR="00E06792">
        <w:rPr>
          <w:rFonts w:ascii="Arial" w:hAnsi="Arial"/>
          <w:sz w:val="24"/>
          <w:lang w:val="en-US"/>
        </w:rPr>
        <w:t xml:space="preserve"> requirement</w:t>
      </w:r>
      <w:r w:rsidR="0087326D">
        <w:rPr>
          <w:rFonts w:ascii="Arial" w:hAnsi="Arial"/>
          <w:sz w:val="24"/>
          <w:lang w:val="en-US"/>
        </w:rPr>
        <w:t xml:space="preserve"> in</w:t>
      </w:r>
      <w:r w:rsidR="00914A03" w:rsidRPr="00914A03">
        <w:rPr>
          <w:rFonts w:ascii="Arial" w:hAnsi="Arial"/>
          <w:sz w:val="24"/>
          <w:lang w:val="en-US"/>
        </w:rPr>
        <w:t xml:space="preserve"> NR-U</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E06792" w:rsidRDefault="00E06792" w:rsidP="00E06792">
      <w:pPr>
        <w:rPr>
          <w:rFonts w:eastAsiaTheme="minorEastAsia"/>
          <w:lang w:val="en-US" w:eastAsia="zh-CN"/>
        </w:rPr>
      </w:pPr>
      <w:r w:rsidRPr="002D2977">
        <w:rPr>
          <w:rFonts w:eastAsiaTheme="minorEastAsia"/>
          <w:lang w:val="en-US" w:eastAsia="zh-CN"/>
        </w:rPr>
        <w:t>In last meeting RAN4 9</w:t>
      </w:r>
      <w:r>
        <w:rPr>
          <w:rFonts w:eastAsiaTheme="minorEastAsia"/>
          <w:lang w:val="en-US" w:eastAsia="zh-CN"/>
        </w:rPr>
        <w:t>3</w:t>
      </w:r>
      <w:r w:rsidRPr="002D2977">
        <w:rPr>
          <w:rFonts w:eastAsiaTheme="minorEastAsia"/>
          <w:lang w:val="en-US" w:eastAsia="zh-CN"/>
        </w:rPr>
        <w:t>, the RRM requirements and impact of NR-U are discussed, and the potential agreements and the remaining open issues</w:t>
      </w:r>
      <w:r>
        <w:rPr>
          <w:rFonts w:eastAsiaTheme="minorEastAsia"/>
          <w:lang w:val="en-US" w:eastAsia="zh-CN"/>
        </w:rPr>
        <w:t xml:space="preserve"> about </w:t>
      </w:r>
      <w:r w:rsidRPr="00E06792">
        <w:rPr>
          <w:rFonts w:eastAsiaTheme="minorEastAsia"/>
          <w:lang w:val="en-US" w:eastAsia="zh-CN"/>
        </w:rPr>
        <w:t>measurement requirement</w:t>
      </w:r>
      <w:r w:rsidRPr="002D2977">
        <w:rPr>
          <w:rFonts w:eastAsiaTheme="minorEastAsia"/>
          <w:lang w:val="en-US" w:eastAsia="zh-CN"/>
        </w:rPr>
        <w:t xml:space="preserve"> are summarized in the WF [1]</w:t>
      </w:r>
      <w:r>
        <w:rPr>
          <w:rFonts w:eastAsiaTheme="minorEastAsia" w:hint="eastAsia"/>
          <w:lang w:val="en-US" w:eastAsia="zh-CN"/>
        </w:rPr>
        <w:t>.</w:t>
      </w:r>
    </w:p>
    <w:p w:rsidR="00E06792" w:rsidRDefault="00E06792" w:rsidP="00DF0231">
      <w:pPr>
        <w:rPr>
          <w:rFonts w:eastAsiaTheme="minorEastAsia"/>
          <w:lang w:val="en-US" w:eastAsia="zh-CN"/>
        </w:rPr>
      </w:pPr>
      <w:r w:rsidRPr="002D2977">
        <w:rPr>
          <w:rFonts w:eastAsiaTheme="minorEastAsia"/>
          <w:lang w:val="en-US" w:eastAsia="zh-CN"/>
        </w:rPr>
        <w:t xml:space="preserve">In this paper, we discuss the </w:t>
      </w:r>
      <w:r>
        <w:rPr>
          <w:rFonts w:eastAsiaTheme="minorEastAsia"/>
          <w:lang w:val="en-US" w:eastAsia="zh-CN"/>
        </w:rPr>
        <w:t xml:space="preserve">remaining issues about </w:t>
      </w:r>
      <w:r w:rsidRPr="00E06792">
        <w:rPr>
          <w:rFonts w:eastAsiaTheme="minorEastAsia"/>
          <w:lang w:val="en-US" w:eastAsia="zh-CN"/>
        </w:rPr>
        <w:t>measurement requirement</w:t>
      </w:r>
      <w:r w:rsidRPr="00780883">
        <w:rPr>
          <w:rFonts w:eastAsiaTheme="minorEastAsia"/>
          <w:lang w:val="en-US" w:eastAsia="zh-CN"/>
        </w:rPr>
        <w:t xml:space="preserve"> </w:t>
      </w:r>
      <w:r w:rsidRPr="002D2977">
        <w:rPr>
          <w:rFonts w:eastAsiaTheme="minorEastAsia"/>
          <w:lang w:val="en-US" w:eastAsia="zh-CN"/>
        </w:rPr>
        <w:t>in NR-U based on the discussion in the last meeting.</w:t>
      </w:r>
    </w:p>
    <w:p w:rsidR="00DF0231" w:rsidRDefault="00DF0231" w:rsidP="00DF0231">
      <w:pPr>
        <w:pStyle w:val="1"/>
        <w:numPr>
          <w:ilvl w:val="0"/>
          <w:numId w:val="1"/>
        </w:numPr>
        <w:rPr>
          <w:lang w:val="en-US"/>
        </w:rPr>
      </w:pPr>
      <w:r w:rsidRPr="002D2977">
        <w:rPr>
          <w:lang w:val="en-US"/>
        </w:rPr>
        <w:t>Discussion</w:t>
      </w:r>
    </w:p>
    <w:p w:rsidR="00FC0F9D" w:rsidRDefault="0020033A" w:rsidP="00DF0231">
      <w:pPr>
        <w:rPr>
          <w:rFonts w:eastAsiaTheme="minorEastAsia" w:cs="v4.2.0"/>
          <w:lang w:eastAsia="zh-CN"/>
        </w:rPr>
      </w:pPr>
      <w:r>
        <w:rPr>
          <w:rFonts w:eastAsiaTheme="minorEastAsia" w:cs="v4.2.0" w:hint="eastAsia"/>
          <w:lang w:eastAsia="zh-CN"/>
        </w:rPr>
        <w:t>I</w:t>
      </w:r>
      <w:r>
        <w:rPr>
          <w:rFonts w:eastAsiaTheme="minorEastAsia" w:cs="v4.2.0"/>
          <w:lang w:eastAsia="zh-CN"/>
        </w:rPr>
        <w:t xml:space="preserve">n the last RAN4 93 meeting, </w:t>
      </w:r>
      <w:r w:rsidR="00E06792">
        <w:rPr>
          <w:rFonts w:eastAsiaTheme="minorEastAsia" w:cs="v4.2.0"/>
          <w:lang w:eastAsia="zh-CN"/>
        </w:rPr>
        <w:t>the measurement reporting requirements are discussed consider the impact of LBT, and the potential agreements are as follows</w:t>
      </w:r>
      <w:r w:rsidR="00E06792">
        <w:rPr>
          <w:rFonts w:eastAsiaTheme="minorEastAsia" w:cs="v4.2.0" w:hint="eastAsia"/>
          <w:lang w:eastAsia="zh-CN"/>
        </w:rPr>
        <w:t>:</w:t>
      </w:r>
    </w:p>
    <w:tbl>
      <w:tblPr>
        <w:tblStyle w:val="a7"/>
        <w:tblW w:w="0" w:type="auto"/>
        <w:tblLook w:val="04A0" w:firstRow="1" w:lastRow="0" w:firstColumn="1" w:lastColumn="0" w:noHBand="0" w:noVBand="1"/>
      </w:tblPr>
      <w:tblGrid>
        <w:gridCol w:w="9562"/>
      </w:tblGrid>
      <w:tr w:rsidR="00E06792" w:rsidTr="00E06792">
        <w:tc>
          <w:tcPr>
            <w:tcW w:w="9562" w:type="dxa"/>
          </w:tcPr>
          <w:p w:rsidR="004708E3" w:rsidRPr="00E06792" w:rsidRDefault="004708E3" w:rsidP="00E06792">
            <w:pPr>
              <w:numPr>
                <w:ilvl w:val="0"/>
                <w:numId w:val="11"/>
              </w:numPr>
              <w:rPr>
                <w:rFonts w:eastAsiaTheme="minorEastAsia" w:cs="v4.2.0"/>
                <w:lang w:val="en-US" w:eastAsia="zh-CN"/>
              </w:rPr>
            </w:pPr>
            <w:r w:rsidRPr="00E06792">
              <w:rPr>
                <w:rFonts w:eastAsiaTheme="minorEastAsia" w:cs="v4.2.0"/>
                <w:lang w:val="en-US" w:eastAsia="zh-CN"/>
              </w:rPr>
              <w:t>Background: Agreed in RAN4#92-bis:</w:t>
            </w:r>
          </w:p>
          <w:p w:rsidR="004708E3" w:rsidRPr="00E06792" w:rsidRDefault="004708E3" w:rsidP="00E06792">
            <w:pPr>
              <w:numPr>
                <w:ilvl w:val="1"/>
                <w:numId w:val="11"/>
              </w:numPr>
              <w:rPr>
                <w:rFonts w:eastAsiaTheme="minorEastAsia" w:cs="v4.2.0"/>
                <w:lang w:val="en-US" w:eastAsia="zh-CN"/>
              </w:rPr>
            </w:pPr>
            <w:r w:rsidRPr="00E06792">
              <w:rPr>
                <w:rFonts w:eastAsiaTheme="minorEastAsia" w:cs="v4.2.0"/>
                <w:lang w:val="en-US" w:eastAsia="zh-CN"/>
              </w:rPr>
              <w:t xml:space="preserve">Event-triggered reporting: </w:t>
            </w:r>
          </w:p>
          <w:p w:rsidR="004708E3" w:rsidRPr="00E06792" w:rsidRDefault="004708E3" w:rsidP="00E06792">
            <w:pPr>
              <w:numPr>
                <w:ilvl w:val="2"/>
                <w:numId w:val="11"/>
              </w:numPr>
              <w:rPr>
                <w:rFonts w:eastAsiaTheme="minorEastAsia" w:cs="v4.2.0"/>
                <w:lang w:val="en-US" w:eastAsia="zh-CN"/>
              </w:rPr>
            </w:pPr>
            <w:r w:rsidRPr="00E06792">
              <w:rPr>
                <w:rFonts w:eastAsiaTheme="minorEastAsia" w:cs="v4.2.0"/>
                <w:lang w:val="en-US" w:eastAsia="zh-CN"/>
              </w:rPr>
              <w:t>UE measurement reporting delay is extended to account for UL LBT failures resulting in UE being not being able to transmit, provided the UL resources are configured</w:t>
            </w:r>
          </w:p>
          <w:p w:rsidR="004708E3" w:rsidRPr="00E06792" w:rsidRDefault="004708E3" w:rsidP="00E06792">
            <w:pPr>
              <w:numPr>
                <w:ilvl w:val="2"/>
                <w:numId w:val="11"/>
              </w:numPr>
              <w:rPr>
                <w:rFonts w:eastAsiaTheme="minorEastAsia" w:cs="v4.2.0"/>
                <w:lang w:val="en-US" w:eastAsia="zh-CN"/>
              </w:rPr>
            </w:pPr>
            <w:r w:rsidRPr="00E06792">
              <w:rPr>
                <w:rFonts w:eastAsiaTheme="minorEastAsia" w:cs="v4.2.0"/>
                <w:lang w:val="en-US" w:eastAsia="zh-CN"/>
              </w:rPr>
              <w:t xml:space="preserve">This applies for all </w:t>
            </w:r>
            <w:r w:rsidRPr="00E06792">
              <w:rPr>
                <w:rFonts w:eastAsiaTheme="minorEastAsia" w:cs="v4.2.0"/>
                <w:lang w:val="x-none" w:eastAsia="zh-CN"/>
              </w:rPr>
              <w:t>UL channel access categories other than the channel access category 1</w:t>
            </w:r>
          </w:p>
          <w:p w:rsidR="004708E3" w:rsidRPr="00E06792" w:rsidRDefault="004708E3" w:rsidP="00E06792">
            <w:pPr>
              <w:numPr>
                <w:ilvl w:val="3"/>
                <w:numId w:val="11"/>
              </w:numPr>
              <w:rPr>
                <w:rFonts w:eastAsiaTheme="minorEastAsia" w:cs="v4.2.0"/>
                <w:lang w:val="en-US" w:eastAsia="zh-CN"/>
              </w:rPr>
            </w:pPr>
            <w:r w:rsidRPr="00E06792">
              <w:rPr>
                <w:rFonts w:eastAsiaTheme="minorEastAsia" w:cs="v4.2.0"/>
                <w:lang w:val="x-none" w:eastAsia="zh-CN"/>
              </w:rPr>
              <w:t>Existing reporting requirements apply for the reporting based on the UL channel access category 1</w:t>
            </w:r>
          </w:p>
          <w:p w:rsidR="004708E3" w:rsidRPr="00E06792" w:rsidRDefault="004708E3" w:rsidP="00E06792">
            <w:pPr>
              <w:numPr>
                <w:ilvl w:val="0"/>
                <w:numId w:val="11"/>
              </w:numPr>
              <w:rPr>
                <w:rFonts w:eastAsiaTheme="minorEastAsia" w:cs="v4.2.0"/>
                <w:lang w:val="en-US" w:eastAsia="zh-CN"/>
              </w:rPr>
            </w:pPr>
            <w:r w:rsidRPr="00E06792">
              <w:rPr>
                <w:rFonts w:eastAsiaTheme="minorEastAsia" w:cs="v4.2.0"/>
                <w:lang w:val="en-US" w:eastAsia="zh-CN"/>
              </w:rPr>
              <w:t xml:space="preserve">Event triggered reporting: </w:t>
            </w:r>
          </w:p>
          <w:p w:rsidR="004708E3" w:rsidRPr="00E06792" w:rsidRDefault="004708E3" w:rsidP="00E06792">
            <w:pPr>
              <w:numPr>
                <w:ilvl w:val="1"/>
                <w:numId w:val="11"/>
              </w:numPr>
              <w:rPr>
                <w:rFonts w:eastAsiaTheme="minorEastAsia" w:cs="v4.2.0"/>
                <w:lang w:val="en-US" w:eastAsia="zh-CN"/>
              </w:rPr>
            </w:pPr>
            <w:r w:rsidRPr="00E06792">
              <w:rPr>
                <w:rFonts w:eastAsiaTheme="minorEastAsia" w:cs="v4.2.0"/>
                <w:lang w:val="en-US" w:eastAsia="zh-CN"/>
              </w:rPr>
              <w:t xml:space="preserve">FFS: UE shall abandon the measurement report when the extension </w:t>
            </w:r>
            <w:r w:rsidRPr="00E06792">
              <w:rPr>
                <w:rFonts w:eastAsiaTheme="minorEastAsia" w:cs="v4.2.0"/>
                <w:lang w:val="en-US" w:eastAsia="zh-CN"/>
              </w:rPr>
              <w:sym w:font="Symbol" w:char="F044"/>
            </w:r>
            <w:r w:rsidRPr="00E06792">
              <w:rPr>
                <w:rFonts w:eastAsiaTheme="minorEastAsia" w:cs="v4.2.0"/>
                <w:vertAlign w:val="subscript"/>
                <w:lang w:val="en-US" w:eastAsia="zh-CN"/>
              </w:rPr>
              <w:t>UL</w:t>
            </w:r>
            <w:r w:rsidRPr="00E06792">
              <w:rPr>
                <w:rFonts w:eastAsiaTheme="minorEastAsia" w:cs="v4.2.0"/>
                <w:lang w:val="en-US" w:eastAsia="zh-CN"/>
              </w:rPr>
              <w:t xml:space="preserve">, i.e., the time period from the time of the first reporting attempt failed due to UL CCA failure until the time of the successful reporting attempt, exceeds </w:t>
            </w:r>
            <w:r w:rsidRPr="00E06792">
              <w:rPr>
                <w:rFonts w:eastAsiaTheme="minorEastAsia" w:cs="v4.2.0"/>
                <w:lang w:val="en-US" w:eastAsia="zh-CN"/>
              </w:rPr>
              <w:sym w:font="Symbol" w:char="F044"/>
            </w:r>
            <w:proofErr w:type="spellStart"/>
            <w:r w:rsidRPr="00E06792">
              <w:rPr>
                <w:rFonts w:eastAsiaTheme="minorEastAsia" w:cs="v4.2.0"/>
                <w:vertAlign w:val="subscript"/>
                <w:lang w:val="en-US" w:eastAsia="zh-CN"/>
              </w:rPr>
              <w:t>UL,max</w:t>
            </w:r>
            <w:proofErr w:type="spellEnd"/>
          </w:p>
          <w:p w:rsidR="004708E3" w:rsidRPr="00E06792" w:rsidRDefault="004708E3" w:rsidP="00E06792">
            <w:pPr>
              <w:numPr>
                <w:ilvl w:val="1"/>
                <w:numId w:val="11"/>
              </w:numPr>
              <w:rPr>
                <w:rFonts w:eastAsiaTheme="minorEastAsia" w:cs="v4.2.0"/>
                <w:lang w:val="en-US" w:eastAsia="zh-CN"/>
              </w:rPr>
            </w:pPr>
            <w:r w:rsidRPr="00E06792">
              <w:rPr>
                <w:rFonts w:eastAsiaTheme="minorEastAsia" w:cs="v4.2.0"/>
                <w:lang w:val="en-US" w:eastAsia="zh-CN"/>
              </w:rPr>
              <w:t>The extension is</w:t>
            </w:r>
          </w:p>
          <w:p w:rsidR="004708E3" w:rsidRPr="00E06792" w:rsidRDefault="004708E3" w:rsidP="00E06792">
            <w:pPr>
              <w:numPr>
                <w:ilvl w:val="2"/>
                <w:numId w:val="11"/>
              </w:numPr>
              <w:rPr>
                <w:rFonts w:eastAsiaTheme="minorEastAsia" w:cs="v4.2.0"/>
                <w:lang w:val="en-US" w:eastAsia="zh-CN"/>
              </w:rPr>
            </w:pPr>
            <w:r w:rsidRPr="00E06792">
              <w:rPr>
                <w:rFonts w:eastAsiaTheme="minorEastAsia" w:cs="v4.2.0"/>
                <w:lang w:val="sv-SE" w:eastAsia="zh-CN"/>
              </w:rPr>
              <w:t>Option 1: determined by RAN1/RAN2 specifications</w:t>
            </w:r>
          </w:p>
          <w:p w:rsidR="004708E3" w:rsidRPr="00E06792" w:rsidRDefault="004708E3" w:rsidP="00E06792">
            <w:pPr>
              <w:numPr>
                <w:ilvl w:val="2"/>
                <w:numId w:val="11"/>
              </w:numPr>
              <w:rPr>
                <w:rFonts w:eastAsiaTheme="minorEastAsia" w:cs="v4.2.0"/>
                <w:lang w:val="en-US" w:eastAsia="zh-CN"/>
              </w:rPr>
            </w:pPr>
            <w:r w:rsidRPr="00E06792">
              <w:rPr>
                <w:rFonts w:eastAsiaTheme="minorEastAsia" w:cs="v4.2.0"/>
                <w:lang w:val="sv-SE" w:eastAsia="zh-CN"/>
              </w:rPr>
              <w:t>Option 2: a pre-defined value</w:t>
            </w:r>
          </w:p>
          <w:p w:rsidR="004708E3" w:rsidRPr="00E06792" w:rsidRDefault="004708E3" w:rsidP="00E06792">
            <w:pPr>
              <w:numPr>
                <w:ilvl w:val="1"/>
                <w:numId w:val="11"/>
              </w:numPr>
              <w:rPr>
                <w:rFonts w:eastAsiaTheme="minorEastAsia" w:cs="v4.2.0"/>
                <w:lang w:val="en-US" w:eastAsia="zh-CN"/>
              </w:rPr>
            </w:pPr>
            <w:r w:rsidRPr="00E06792">
              <w:rPr>
                <w:rFonts w:eastAsiaTheme="minorEastAsia" w:cs="v4.2.0"/>
                <w:lang w:val="en-US" w:eastAsia="zh-CN"/>
              </w:rPr>
              <w:t>measurement reporting delay can be further extended to account for DL LBT failures, in the same way as in the measurement period requirements</w:t>
            </w:r>
          </w:p>
          <w:p w:rsidR="004708E3" w:rsidRPr="00E06792" w:rsidRDefault="004708E3" w:rsidP="00E06792">
            <w:pPr>
              <w:numPr>
                <w:ilvl w:val="0"/>
                <w:numId w:val="11"/>
              </w:numPr>
              <w:rPr>
                <w:rFonts w:eastAsiaTheme="minorEastAsia" w:cs="v4.2.0"/>
                <w:lang w:val="en-US" w:eastAsia="zh-CN"/>
              </w:rPr>
            </w:pPr>
            <w:r w:rsidRPr="00E06792">
              <w:rPr>
                <w:rFonts w:eastAsiaTheme="minorEastAsia" w:cs="v4.2.0"/>
                <w:lang w:eastAsia="zh-CN"/>
              </w:rPr>
              <w:t>Periodic measurement reporting:</w:t>
            </w:r>
          </w:p>
          <w:p w:rsidR="004708E3" w:rsidRPr="00E06792" w:rsidRDefault="004708E3" w:rsidP="00E06792">
            <w:pPr>
              <w:numPr>
                <w:ilvl w:val="1"/>
                <w:numId w:val="11"/>
              </w:numPr>
              <w:rPr>
                <w:rFonts w:eastAsiaTheme="minorEastAsia" w:cs="v4.2.0"/>
                <w:lang w:val="en-US" w:eastAsia="zh-CN"/>
              </w:rPr>
            </w:pPr>
            <w:r w:rsidRPr="00E06792">
              <w:rPr>
                <w:rFonts w:eastAsiaTheme="minorEastAsia" w:cs="v4.2.0"/>
                <w:lang w:eastAsia="zh-CN"/>
              </w:rPr>
              <w:t xml:space="preserve">FFS: UE measurement reporting delay is extended by </w:t>
            </w:r>
            <w:r w:rsidRPr="00E06792">
              <w:rPr>
                <w:rFonts w:eastAsiaTheme="minorEastAsia" w:cs="v4.2.0"/>
                <w:lang w:val="en-US" w:eastAsia="zh-CN"/>
              </w:rPr>
              <w:sym w:font="Symbol" w:char="F044"/>
            </w:r>
            <w:r w:rsidRPr="00E06792">
              <w:rPr>
                <w:rFonts w:eastAsiaTheme="minorEastAsia" w:cs="v4.2.0"/>
                <w:vertAlign w:val="subscript"/>
                <w:lang w:val="en-US" w:eastAsia="zh-CN"/>
              </w:rPr>
              <w:t xml:space="preserve"> UL</w:t>
            </w:r>
            <w:r w:rsidRPr="00E06792">
              <w:rPr>
                <w:rFonts w:eastAsiaTheme="minorEastAsia" w:cs="v4.2.0"/>
                <w:lang w:val="en-US" w:eastAsia="zh-CN"/>
              </w:rPr>
              <w:t xml:space="preserve"> ≤ </w:t>
            </w:r>
            <w:r w:rsidRPr="00E06792">
              <w:rPr>
                <w:rFonts w:eastAsiaTheme="minorEastAsia" w:cs="v4.2.0"/>
                <w:lang w:val="en-US" w:eastAsia="zh-CN"/>
              </w:rPr>
              <w:sym w:font="Symbol" w:char="F044"/>
            </w:r>
            <w:r w:rsidRPr="00E06792">
              <w:rPr>
                <w:rFonts w:eastAsiaTheme="minorEastAsia" w:cs="v4.2.0"/>
                <w:vertAlign w:val="subscript"/>
                <w:lang w:val="en-US" w:eastAsia="zh-CN"/>
              </w:rPr>
              <w:t xml:space="preserve"> </w:t>
            </w:r>
            <w:proofErr w:type="spellStart"/>
            <w:r w:rsidRPr="00E06792">
              <w:rPr>
                <w:rFonts w:eastAsiaTheme="minorEastAsia" w:cs="v4.2.0"/>
                <w:vertAlign w:val="subscript"/>
                <w:lang w:val="en-US" w:eastAsia="zh-CN"/>
              </w:rPr>
              <w:t>UL,max</w:t>
            </w:r>
            <w:proofErr w:type="spellEnd"/>
            <w:r w:rsidRPr="00E06792">
              <w:rPr>
                <w:rFonts w:eastAsiaTheme="minorEastAsia" w:cs="v4.2.0"/>
                <w:vertAlign w:val="subscript"/>
                <w:lang w:val="en-US" w:eastAsia="zh-CN"/>
              </w:rPr>
              <w:t xml:space="preserve"> </w:t>
            </w:r>
            <w:r w:rsidRPr="00E06792">
              <w:rPr>
                <w:rFonts w:eastAsiaTheme="minorEastAsia" w:cs="v4.2.0"/>
                <w:lang w:val="en-US" w:eastAsia="zh-CN"/>
              </w:rPr>
              <w:t xml:space="preserve">where </w:t>
            </w:r>
            <w:r w:rsidRPr="00E06792">
              <w:rPr>
                <w:rFonts w:eastAsiaTheme="minorEastAsia" w:cs="v4.2.0"/>
                <w:lang w:val="en-US" w:eastAsia="zh-CN"/>
              </w:rPr>
              <w:sym w:font="Symbol" w:char="F044"/>
            </w:r>
            <w:r w:rsidRPr="00E06792">
              <w:rPr>
                <w:rFonts w:eastAsiaTheme="minorEastAsia" w:cs="v4.2.0"/>
                <w:vertAlign w:val="subscript"/>
                <w:lang w:val="en-US" w:eastAsia="zh-CN"/>
              </w:rPr>
              <w:t xml:space="preserve"> </w:t>
            </w:r>
            <w:proofErr w:type="spellStart"/>
            <w:r w:rsidRPr="00E06792">
              <w:rPr>
                <w:rFonts w:eastAsiaTheme="minorEastAsia" w:cs="v4.2.0"/>
                <w:vertAlign w:val="subscript"/>
                <w:lang w:val="en-US" w:eastAsia="zh-CN"/>
              </w:rPr>
              <w:t>UL,max</w:t>
            </w:r>
            <w:proofErr w:type="spellEnd"/>
            <w:r w:rsidRPr="00E06792">
              <w:rPr>
                <w:rFonts w:eastAsiaTheme="minorEastAsia" w:cs="v4.2.0"/>
                <w:lang w:val="en-US" w:eastAsia="zh-CN"/>
              </w:rPr>
              <w:t xml:space="preserve"> is limited by </w:t>
            </w:r>
            <w:proofErr w:type="spellStart"/>
            <w:r w:rsidRPr="00E06792">
              <w:rPr>
                <w:rFonts w:eastAsiaTheme="minorEastAsia" w:cs="v4.2.0"/>
                <w:lang w:val="en-US" w:eastAsia="zh-CN"/>
              </w:rPr>
              <w:t>T</w:t>
            </w:r>
            <w:r w:rsidRPr="00E06792">
              <w:rPr>
                <w:rFonts w:eastAsiaTheme="minorEastAsia" w:cs="v4.2.0"/>
                <w:vertAlign w:val="subscript"/>
                <w:lang w:val="en-US" w:eastAsia="zh-CN"/>
              </w:rPr>
              <w:t>report</w:t>
            </w:r>
            <w:proofErr w:type="spellEnd"/>
            <w:r w:rsidRPr="00E06792">
              <w:rPr>
                <w:rFonts w:eastAsiaTheme="minorEastAsia" w:cs="v4.2.0"/>
                <w:lang w:val="en-US" w:eastAsia="zh-CN"/>
              </w:rPr>
              <w:t xml:space="preserve"> (</w:t>
            </w:r>
            <w:proofErr w:type="spellStart"/>
            <w:r w:rsidRPr="00E06792">
              <w:rPr>
                <w:rFonts w:eastAsiaTheme="minorEastAsia" w:cs="v4.2.0"/>
                <w:lang w:val="en-US" w:eastAsia="zh-CN"/>
              </w:rPr>
              <w:t>T</w:t>
            </w:r>
            <w:r w:rsidRPr="00E06792">
              <w:rPr>
                <w:rFonts w:eastAsiaTheme="minorEastAsia" w:cs="v4.2.0"/>
                <w:vertAlign w:val="subscript"/>
                <w:lang w:val="en-US" w:eastAsia="zh-CN"/>
              </w:rPr>
              <w:t>report</w:t>
            </w:r>
            <w:proofErr w:type="spellEnd"/>
            <w:r w:rsidRPr="00E06792">
              <w:rPr>
                <w:rFonts w:eastAsiaTheme="minorEastAsia" w:cs="v4.2.0"/>
                <w:vertAlign w:val="subscript"/>
                <w:lang w:val="en-US" w:eastAsia="zh-CN"/>
              </w:rPr>
              <w:t xml:space="preserve">  </w:t>
            </w:r>
            <w:r w:rsidRPr="00E06792">
              <w:rPr>
                <w:rFonts w:eastAsiaTheme="minorEastAsia" w:cs="v4.2.0"/>
                <w:lang w:val="en-US" w:eastAsia="zh-CN"/>
              </w:rPr>
              <w:t>is the length of one measurement report period), or until the new measurement is available</w:t>
            </w:r>
          </w:p>
          <w:p w:rsidR="004708E3" w:rsidRPr="00E06792" w:rsidRDefault="004708E3" w:rsidP="00E06792">
            <w:pPr>
              <w:numPr>
                <w:ilvl w:val="2"/>
                <w:numId w:val="11"/>
              </w:numPr>
              <w:rPr>
                <w:rFonts w:eastAsiaTheme="minorEastAsia" w:cs="v4.2.0"/>
                <w:lang w:val="en-US" w:eastAsia="zh-CN"/>
              </w:rPr>
            </w:pPr>
            <w:r w:rsidRPr="00E06792">
              <w:rPr>
                <w:rFonts w:eastAsiaTheme="minorEastAsia" w:cs="v4.2.0"/>
                <w:lang w:val="sv-SE" w:eastAsia="zh-CN"/>
              </w:rPr>
              <w:t xml:space="preserve">Option 1: </w:t>
            </w:r>
            <w:r w:rsidRPr="00E06792">
              <w:rPr>
                <w:rFonts w:eastAsiaTheme="minorEastAsia" w:cs="v4.2.0"/>
                <w:lang w:val="en-US" w:eastAsia="zh-CN"/>
              </w:rPr>
              <w:sym w:font="Symbol" w:char="F044"/>
            </w:r>
            <w:r w:rsidRPr="00E06792">
              <w:rPr>
                <w:rFonts w:eastAsiaTheme="minorEastAsia" w:cs="v4.2.0"/>
                <w:vertAlign w:val="subscript"/>
                <w:lang w:val="sv-SE" w:eastAsia="zh-CN"/>
              </w:rPr>
              <w:t>UL,m</w:t>
            </w:r>
            <w:r w:rsidRPr="00E06792">
              <w:rPr>
                <w:rFonts w:eastAsiaTheme="minorEastAsia" w:cs="v4.2.0"/>
                <w:vertAlign w:val="subscript"/>
                <w:lang w:val="x-none" w:eastAsia="zh-CN"/>
              </w:rPr>
              <w:t>ax</w:t>
            </w:r>
            <w:r w:rsidRPr="00E06792">
              <w:rPr>
                <w:rFonts w:eastAsiaTheme="minorEastAsia" w:cs="v4.2.0"/>
                <w:lang w:val="sv-SE" w:eastAsia="zh-CN"/>
              </w:rPr>
              <w:t xml:space="preserve"> is determined by RAN1/RAN2 specifications</w:t>
            </w:r>
          </w:p>
          <w:p w:rsidR="004708E3" w:rsidRPr="00E06792" w:rsidRDefault="004708E3" w:rsidP="00E06792">
            <w:pPr>
              <w:numPr>
                <w:ilvl w:val="2"/>
                <w:numId w:val="11"/>
              </w:numPr>
              <w:rPr>
                <w:rFonts w:eastAsiaTheme="minorEastAsia" w:cs="v4.2.0"/>
                <w:lang w:val="en-US" w:eastAsia="zh-CN"/>
              </w:rPr>
            </w:pPr>
            <w:r w:rsidRPr="00E06792">
              <w:rPr>
                <w:rFonts w:eastAsiaTheme="minorEastAsia" w:cs="v4.2.0"/>
                <w:lang w:val="sv-SE" w:eastAsia="zh-CN"/>
              </w:rPr>
              <w:lastRenderedPageBreak/>
              <w:t xml:space="preserve">Option 2: </w:t>
            </w:r>
            <w:r w:rsidRPr="00E06792">
              <w:rPr>
                <w:rFonts w:eastAsiaTheme="minorEastAsia" w:cs="v4.2.0"/>
                <w:lang w:val="en-US" w:eastAsia="zh-CN"/>
              </w:rPr>
              <w:sym w:font="Symbol" w:char="F044"/>
            </w:r>
            <w:r w:rsidRPr="00E06792">
              <w:rPr>
                <w:rFonts w:eastAsiaTheme="minorEastAsia" w:cs="v4.2.0"/>
                <w:vertAlign w:val="subscript"/>
                <w:lang w:val="sv-SE" w:eastAsia="zh-CN"/>
              </w:rPr>
              <w:t>UL,m</w:t>
            </w:r>
            <w:r w:rsidRPr="00E06792">
              <w:rPr>
                <w:rFonts w:eastAsiaTheme="minorEastAsia" w:cs="v4.2.0"/>
                <w:vertAlign w:val="subscript"/>
                <w:lang w:val="x-none" w:eastAsia="zh-CN"/>
              </w:rPr>
              <w:t>ax</w:t>
            </w:r>
            <w:r w:rsidRPr="00E06792">
              <w:rPr>
                <w:rFonts w:eastAsiaTheme="minorEastAsia" w:cs="v4.2.0"/>
                <w:lang w:val="sv-SE" w:eastAsia="zh-CN"/>
              </w:rPr>
              <w:t xml:space="preserve"> is a pre-defined value</w:t>
            </w:r>
          </w:p>
          <w:p w:rsidR="004708E3" w:rsidRPr="00E06792" w:rsidRDefault="004708E3" w:rsidP="00E06792">
            <w:pPr>
              <w:numPr>
                <w:ilvl w:val="1"/>
                <w:numId w:val="11"/>
              </w:numPr>
              <w:rPr>
                <w:rFonts w:eastAsiaTheme="minorEastAsia" w:cs="v4.2.0"/>
                <w:lang w:val="en-US" w:eastAsia="zh-CN"/>
              </w:rPr>
            </w:pPr>
            <w:r w:rsidRPr="00E06792">
              <w:rPr>
                <w:rFonts w:eastAsiaTheme="minorEastAsia" w:cs="v4.2.0"/>
                <w:lang w:eastAsia="zh-CN"/>
              </w:rPr>
              <w:t xml:space="preserve">No extension for UL </w:t>
            </w:r>
            <w:r w:rsidRPr="00E06792">
              <w:rPr>
                <w:rFonts w:eastAsiaTheme="minorEastAsia" w:cs="v4.2.0"/>
                <w:lang w:val="x-none" w:eastAsia="zh-CN"/>
              </w:rPr>
              <w:t>channel access category 1</w:t>
            </w:r>
          </w:p>
          <w:p w:rsidR="004708E3" w:rsidRPr="00E06792" w:rsidRDefault="004708E3" w:rsidP="00E06792">
            <w:pPr>
              <w:numPr>
                <w:ilvl w:val="0"/>
                <w:numId w:val="11"/>
              </w:numPr>
              <w:rPr>
                <w:rFonts w:eastAsiaTheme="minorEastAsia" w:cs="v4.2.0"/>
                <w:lang w:val="en-US" w:eastAsia="zh-CN"/>
              </w:rPr>
            </w:pPr>
            <w:r w:rsidRPr="00E06792">
              <w:rPr>
                <w:rFonts w:eastAsiaTheme="minorEastAsia" w:cs="v4.2.0"/>
                <w:lang w:val="en-US" w:eastAsia="zh-CN"/>
              </w:rPr>
              <w:t>Event-triggered periodic reporting:</w:t>
            </w:r>
          </w:p>
          <w:p w:rsidR="004708E3" w:rsidRPr="00E06792" w:rsidRDefault="004708E3" w:rsidP="00E06792">
            <w:pPr>
              <w:numPr>
                <w:ilvl w:val="1"/>
                <w:numId w:val="11"/>
              </w:numPr>
              <w:rPr>
                <w:rFonts w:eastAsiaTheme="minorEastAsia" w:cs="v4.2.0"/>
                <w:lang w:val="en-US" w:eastAsia="zh-CN"/>
              </w:rPr>
            </w:pPr>
            <w:r w:rsidRPr="00E06792">
              <w:rPr>
                <w:rFonts w:eastAsiaTheme="minorEastAsia" w:cs="v4.2.0"/>
                <w:lang w:val="en-US" w:eastAsia="zh-CN"/>
              </w:rPr>
              <w:t>UL impact is accounted for based on the same principle as for periodic reporting</w:t>
            </w:r>
          </w:p>
          <w:p w:rsidR="004708E3" w:rsidRPr="00E06792" w:rsidRDefault="004708E3" w:rsidP="00E06792">
            <w:pPr>
              <w:numPr>
                <w:ilvl w:val="1"/>
                <w:numId w:val="11"/>
              </w:numPr>
              <w:rPr>
                <w:rFonts w:eastAsiaTheme="minorEastAsia" w:cs="v4.2.0"/>
                <w:lang w:val="en-US" w:eastAsia="zh-CN"/>
              </w:rPr>
            </w:pPr>
            <w:r w:rsidRPr="00E06792">
              <w:rPr>
                <w:rFonts w:eastAsiaTheme="minorEastAsia" w:cs="v4.2.0"/>
                <w:lang w:val="en-US" w:eastAsia="zh-CN"/>
              </w:rPr>
              <w:t>For the first report, the measurement reporting delay is further extended to account for DL LBT failures, in the same way as for event-triggered reporting</w:t>
            </w:r>
          </w:p>
          <w:p w:rsidR="00E06792" w:rsidRPr="00E06792" w:rsidRDefault="00E06792" w:rsidP="00DF0231">
            <w:pPr>
              <w:rPr>
                <w:rFonts w:eastAsiaTheme="minorEastAsia" w:cs="v4.2.0"/>
                <w:lang w:val="en-US" w:eastAsia="zh-CN"/>
              </w:rPr>
            </w:pPr>
          </w:p>
        </w:tc>
      </w:tr>
    </w:tbl>
    <w:p w:rsidR="00E06792" w:rsidRDefault="00E06792" w:rsidP="00DF0231">
      <w:pPr>
        <w:rPr>
          <w:rFonts w:eastAsiaTheme="minorEastAsia" w:cs="v4.2.0"/>
          <w:lang w:eastAsia="zh-CN"/>
        </w:rPr>
      </w:pPr>
    </w:p>
    <w:p w:rsidR="004708E3" w:rsidRDefault="00E06792" w:rsidP="00DF0231">
      <w:pPr>
        <w:rPr>
          <w:rFonts w:eastAsiaTheme="minorEastAsia" w:cs="v4.2.0"/>
          <w:lang w:val="en-US" w:eastAsia="zh-CN"/>
        </w:rPr>
      </w:pPr>
      <w:r>
        <w:rPr>
          <w:rFonts w:eastAsiaTheme="minorEastAsia" w:cs="v4.2.0" w:hint="eastAsia"/>
          <w:lang w:val="en-US" w:eastAsia="zh-CN"/>
        </w:rPr>
        <w:t>O</w:t>
      </w:r>
      <w:r>
        <w:rPr>
          <w:rFonts w:eastAsiaTheme="minorEastAsia" w:cs="v4.2.0"/>
          <w:lang w:val="en-US" w:eastAsia="zh-CN"/>
        </w:rPr>
        <w:t xml:space="preserve">ne remaining issue is the UE behavior when the measure report cannot be transmitted due to LBT. As proposed in the WF, UE can abandon the measurement report when exceeding the limit of the time period for transmission attempts. However, based on our understanding, the measurement report </w:t>
      </w:r>
      <w:r w:rsidR="004708E3">
        <w:rPr>
          <w:rFonts w:eastAsiaTheme="minorEastAsia" w:cs="v4.2.0"/>
          <w:lang w:val="en-US" w:eastAsia="zh-CN"/>
        </w:rPr>
        <w:t xml:space="preserve">message </w:t>
      </w:r>
      <w:r>
        <w:rPr>
          <w:rFonts w:eastAsiaTheme="minorEastAsia" w:cs="v4.2.0"/>
          <w:lang w:val="en-US" w:eastAsia="zh-CN"/>
        </w:rPr>
        <w:t xml:space="preserve">will be submitted to lower layers for transmission upon the </w:t>
      </w:r>
      <w:r w:rsidR="004708E3">
        <w:rPr>
          <w:rFonts w:eastAsiaTheme="minorEastAsia" w:cs="v4.2.0"/>
          <w:lang w:val="en-US" w:eastAsia="zh-CN"/>
        </w:rPr>
        <w:t>measurement report is generated. The message is invisible for upper layers, and it infeasible to delete the message according to a specific time limits.</w:t>
      </w:r>
    </w:p>
    <w:p w:rsidR="004708E3" w:rsidRPr="00C3080A" w:rsidRDefault="004708E3" w:rsidP="004708E3">
      <w:pPr>
        <w:rPr>
          <w:rFonts w:eastAsiaTheme="minorEastAsia" w:cs="v4.2.0"/>
          <w:b/>
          <w:lang w:val="en-US" w:eastAsia="zh-CN"/>
        </w:rPr>
      </w:pPr>
      <w:r w:rsidRPr="00C3080A">
        <w:rPr>
          <w:rFonts w:eastAsiaTheme="minorEastAsia" w:cs="v4.2.0"/>
          <w:b/>
          <w:lang w:val="en-US" w:eastAsia="zh-CN"/>
        </w:rPr>
        <w:t xml:space="preserve">Observation 1:   The measurement report message will be submitted to lower layers for transmission upon the measurement report is generated. The message is invisible for upper layers, and it </w:t>
      </w:r>
      <w:r w:rsidR="00F97520" w:rsidRPr="00C3080A">
        <w:rPr>
          <w:rFonts w:eastAsiaTheme="minorEastAsia" w:cs="v4.2.0"/>
          <w:b/>
          <w:lang w:val="en-US" w:eastAsia="zh-CN"/>
        </w:rPr>
        <w:t xml:space="preserve">is </w:t>
      </w:r>
      <w:r w:rsidRPr="00C3080A">
        <w:rPr>
          <w:rFonts w:eastAsiaTheme="minorEastAsia" w:cs="v4.2.0"/>
          <w:b/>
          <w:lang w:val="en-US" w:eastAsia="zh-CN"/>
        </w:rPr>
        <w:t>infeasible to delete the message according to a specific time limits.</w:t>
      </w:r>
    </w:p>
    <w:p w:rsidR="004708E3" w:rsidRDefault="00F97520" w:rsidP="004708E3">
      <w:pPr>
        <w:rPr>
          <w:rFonts w:eastAsiaTheme="minorEastAsia" w:cs="v4.2.0"/>
          <w:lang w:val="en-US" w:eastAsia="zh-CN"/>
        </w:rPr>
      </w:pPr>
      <w:r>
        <w:rPr>
          <w:rFonts w:eastAsiaTheme="minorEastAsia" w:cs="v4.2.0"/>
          <w:lang w:val="en-US" w:eastAsia="zh-CN"/>
        </w:rPr>
        <w:t>To handle the LBT failure in the measurement report transmission, RAN2 has defined the consistent UL LBT failure recovery scheme as follows:</w:t>
      </w:r>
    </w:p>
    <w:tbl>
      <w:tblPr>
        <w:tblStyle w:val="a7"/>
        <w:tblW w:w="0" w:type="auto"/>
        <w:tblLook w:val="04A0" w:firstRow="1" w:lastRow="0" w:firstColumn="1" w:lastColumn="0" w:noHBand="0" w:noVBand="1"/>
      </w:tblPr>
      <w:tblGrid>
        <w:gridCol w:w="9562"/>
      </w:tblGrid>
      <w:tr w:rsidR="00D5125B" w:rsidTr="00D5125B">
        <w:tc>
          <w:tcPr>
            <w:tcW w:w="9562" w:type="dxa"/>
          </w:tcPr>
          <w:p w:rsidR="00D5125B" w:rsidRPr="00D5125B" w:rsidRDefault="00D5125B" w:rsidP="00D5125B">
            <w:pPr>
              <w:rPr>
                <w:rFonts w:eastAsiaTheme="minorEastAsia" w:cs="v4.2.0"/>
                <w:b/>
                <w:lang w:eastAsia="zh-CN"/>
              </w:rPr>
            </w:pPr>
            <w:r w:rsidRPr="00D5125B">
              <w:rPr>
                <w:rFonts w:eastAsiaTheme="minorEastAsia" w:cs="v4.2.0"/>
                <w:b/>
                <w:lang w:eastAsia="zh-CN"/>
              </w:rPr>
              <w:t>RAN2 107bis agreements:</w:t>
            </w:r>
          </w:p>
          <w:p w:rsidR="00D5125B" w:rsidRPr="00D5125B" w:rsidRDefault="00D5125B" w:rsidP="00D5125B">
            <w:pPr>
              <w:rPr>
                <w:rFonts w:eastAsiaTheme="minorEastAsia" w:cs="v4.2.0"/>
                <w:lang w:eastAsia="zh-CN"/>
              </w:rPr>
            </w:pPr>
            <w:r w:rsidRPr="00D5125B">
              <w:rPr>
                <w:rFonts w:eastAsiaTheme="minorEastAsia" w:cs="v4.2.0"/>
                <w:lang w:eastAsia="zh-CN"/>
              </w:rPr>
              <w:t>1.</w:t>
            </w:r>
            <w:r w:rsidRPr="00D5125B">
              <w:rPr>
                <w:rFonts w:eastAsiaTheme="minorEastAsia" w:cs="v4.2.0"/>
                <w:lang w:eastAsia="zh-CN"/>
              </w:rPr>
              <w:tab/>
              <w:t xml:space="preserve">MAC relies on reception of a notification of UL LBT failure from the physical layer to detect a consistent UL LBT failure.  </w:t>
            </w:r>
          </w:p>
          <w:p w:rsidR="00D5125B" w:rsidRPr="00D5125B" w:rsidRDefault="00D5125B" w:rsidP="00D5125B">
            <w:pPr>
              <w:rPr>
                <w:rFonts w:eastAsiaTheme="minorEastAsia" w:cs="v4.2.0"/>
                <w:lang w:eastAsia="zh-CN"/>
              </w:rPr>
            </w:pPr>
            <w:r w:rsidRPr="00D5125B">
              <w:rPr>
                <w:rFonts w:eastAsiaTheme="minorEastAsia" w:cs="v4.2.0"/>
                <w:lang w:eastAsia="zh-CN"/>
              </w:rPr>
              <w:t>2.</w:t>
            </w:r>
            <w:r w:rsidRPr="00D5125B">
              <w:rPr>
                <w:rFonts w:eastAsiaTheme="minorEastAsia" w:cs="v4.2.0"/>
                <w:lang w:eastAsia="zh-CN"/>
              </w:rPr>
              <w:tab/>
              <w:t xml:space="preserve">The UE switches to another BWP and initiates RACH upon declaration of consistent LBT failure on </w:t>
            </w:r>
            <w:proofErr w:type="spellStart"/>
            <w:r w:rsidRPr="00D5125B">
              <w:rPr>
                <w:rFonts w:eastAsiaTheme="minorEastAsia" w:cs="v4.2.0"/>
                <w:lang w:eastAsia="zh-CN"/>
              </w:rPr>
              <w:t>PCell</w:t>
            </w:r>
            <w:proofErr w:type="spellEnd"/>
            <w:r w:rsidRPr="00D5125B">
              <w:rPr>
                <w:rFonts w:eastAsiaTheme="minorEastAsia" w:cs="v4.2.0"/>
                <w:lang w:eastAsia="zh-CN"/>
              </w:rPr>
              <w:t xml:space="preserve"> or </w:t>
            </w:r>
            <w:proofErr w:type="spellStart"/>
            <w:r w:rsidRPr="00D5125B">
              <w:rPr>
                <w:rFonts w:eastAsiaTheme="minorEastAsia" w:cs="v4.2.0"/>
                <w:lang w:eastAsia="zh-CN"/>
              </w:rPr>
              <w:t>PSCell</w:t>
            </w:r>
            <w:proofErr w:type="spellEnd"/>
            <w:r w:rsidRPr="00D5125B">
              <w:rPr>
                <w:rFonts w:eastAsiaTheme="minorEastAsia" w:cs="v4.2.0"/>
                <w:lang w:eastAsia="zh-CN"/>
              </w:rPr>
              <w:t xml:space="preserve"> if there is another BWP with configured RACH resources.    </w:t>
            </w:r>
          </w:p>
          <w:p w:rsidR="00D5125B" w:rsidRPr="00D5125B" w:rsidRDefault="00D5125B" w:rsidP="00D5125B">
            <w:pPr>
              <w:rPr>
                <w:rFonts w:eastAsiaTheme="minorEastAsia" w:cs="v4.2.0"/>
                <w:lang w:eastAsia="zh-CN"/>
              </w:rPr>
            </w:pPr>
            <w:r w:rsidRPr="00D5125B">
              <w:rPr>
                <w:rFonts w:eastAsiaTheme="minorEastAsia" w:cs="v4.2.0"/>
                <w:lang w:eastAsia="zh-CN"/>
              </w:rPr>
              <w:t>3.</w:t>
            </w:r>
            <w:r w:rsidRPr="00D5125B">
              <w:rPr>
                <w:rFonts w:eastAsiaTheme="minorEastAsia" w:cs="v4.2.0"/>
                <w:lang w:eastAsia="zh-CN"/>
              </w:rPr>
              <w:tab/>
              <w:t xml:space="preserve">The UE shall perform RLF recovery if the consistent UL LBT failure was detected on the </w:t>
            </w:r>
            <w:proofErr w:type="spellStart"/>
            <w:r w:rsidRPr="00D5125B">
              <w:rPr>
                <w:rFonts w:eastAsiaTheme="minorEastAsia" w:cs="v4.2.0"/>
                <w:lang w:eastAsia="zh-CN"/>
              </w:rPr>
              <w:t>PCell</w:t>
            </w:r>
            <w:proofErr w:type="spellEnd"/>
            <w:r w:rsidRPr="00D5125B">
              <w:rPr>
                <w:rFonts w:eastAsiaTheme="minorEastAsia" w:cs="v4.2.0"/>
                <w:lang w:eastAsia="zh-CN"/>
              </w:rPr>
              <w:t xml:space="preserve"> and UL LBT failure was detected on “N” possible BWP.   “ </w:t>
            </w:r>
          </w:p>
          <w:p w:rsidR="00D5125B" w:rsidRPr="00D5125B" w:rsidRDefault="00D5125B" w:rsidP="00D5125B">
            <w:pPr>
              <w:rPr>
                <w:rFonts w:eastAsiaTheme="minorEastAsia" w:cs="v4.2.0"/>
                <w:lang w:eastAsia="zh-CN"/>
              </w:rPr>
            </w:pPr>
            <w:r w:rsidRPr="00D5125B">
              <w:rPr>
                <w:rFonts w:eastAsiaTheme="minorEastAsia" w:cs="v4.2.0"/>
                <w:lang w:eastAsia="zh-CN"/>
              </w:rPr>
              <w:t>4.</w:t>
            </w:r>
            <w:r w:rsidRPr="00D5125B">
              <w:rPr>
                <w:rFonts w:eastAsiaTheme="minorEastAsia" w:cs="v4.2.0"/>
                <w:lang w:eastAsia="zh-CN"/>
              </w:rPr>
              <w:tab/>
              <w:t xml:space="preserve">When consistent uplink LBT failures are detected on the </w:t>
            </w:r>
            <w:proofErr w:type="spellStart"/>
            <w:r w:rsidRPr="00D5125B">
              <w:rPr>
                <w:rFonts w:eastAsiaTheme="minorEastAsia" w:cs="v4.2.0"/>
                <w:lang w:eastAsia="zh-CN"/>
              </w:rPr>
              <w:t>PSCell</w:t>
            </w:r>
            <w:proofErr w:type="spellEnd"/>
            <w:r w:rsidRPr="00D5125B">
              <w:rPr>
                <w:rFonts w:eastAsiaTheme="minorEastAsia" w:cs="v4.2.0"/>
                <w:lang w:eastAsia="zh-CN"/>
              </w:rPr>
              <w:t xml:space="preserve">, the UE informs MN via the SCG failure information procedure after detecting a consistent UL LBT failure on “N” BWPs.   </w:t>
            </w:r>
          </w:p>
          <w:p w:rsidR="00D5125B" w:rsidRPr="00D5125B" w:rsidRDefault="00D5125B" w:rsidP="00D5125B">
            <w:pPr>
              <w:rPr>
                <w:rFonts w:eastAsiaTheme="minorEastAsia" w:cs="v4.2.0"/>
                <w:lang w:eastAsia="zh-CN"/>
              </w:rPr>
            </w:pPr>
            <w:r w:rsidRPr="00D5125B">
              <w:rPr>
                <w:rFonts w:eastAsiaTheme="minorEastAsia" w:cs="v4.2.0"/>
                <w:lang w:eastAsia="zh-CN"/>
              </w:rPr>
              <w:t>5.</w:t>
            </w:r>
            <w:r w:rsidRPr="00D5125B">
              <w:rPr>
                <w:rFonts w:eastAsiaTheme="minorEastAsia" w:cs="v4.2.0"/>
                <w:lang w:eastAsia="zh-CN"/>
              </w:rPr>
              <w:tab/>
              <w:t xml:space="preserve">“N” is the number of configured BWPs with configured PRACH resources.   If N is larger than one it is up to the UE implementation which BWP the UE selects.  </w:t>
            </w:r>
          </w:p>
          <w:p w:rsidR="00D5125B" w:rsidRPr="00D5125B" w:rsidRDefault="00D5125B" w:rsidP="00D5125B">
            <w:pPr>
              <w:rPr>
                <w:rFonts w:eastAsiaTheme="minorEastAsia" w:cs="v4.2.0"/>
                <w:lang w:eastAsia="zh-CN"/>
              </w:rPr>
            </w:pPr>
            <w:r w:rsidRPr="00D5125B">
              <w:rPr>
                <w:rFonts w:eastAsiaTheme="minorEastAsia" w:cs="v4.2.0"/>
                <w:lang w:eastAsia="zh-CN"/>
              </w:rPr>
              <w:t>6.</w:t>
            </w:r>
            <w:r w:rsidRPr="00D5125B">
              <w:rPr>
                <w:rFonts w:eastAsiaTheme="minorEastAsia" w:cs="v4.2.0"/>
                <w:lang w:eastAsia="zh-CN"/>
              </w:rPr>
              <w:tab/>
              <w:t xml:space="preserve">When consistent uplink LBT failures are detected on </w:t>
            </w:r>
            <w:proofErr w:type="gramStart"/>
            <w:r w:rsidRPr="00D5125B">
              <w:rPr>
                <w:rFonts w:eastAsiaTheme="minorEastAsia" w:cs="v4.2.0"/>
                <w:lang w:eastAsia="zh-CN"/>
              </w:rPr>
              <w:t>an</w:t>
            </w:r>
            <w:proofErr w:type="gramEnd"/>
            <w:r w:rsidRPr="00D5125B">
              <w:rPr>
                <w:rFonts w:eastAsiaTheme="minorEastAsia" w:cs="v4.2.0"/>
                <w:lang w:eastAsia="zh-CN"/>
              </w:rPr>
              <w:t xml:space="preserve"> </w:t>
            </w:r>
            <w:proofErr w:type="spellStart"/>
            <w:r w:rsidRPr="00D5125B">
              <w:rPr>
                <w:rFonts w:eastAsiaTheme="minorEastAsia" w:cs="v4.2.0"/>
                <w:lang w:eastAsia="zh-CN"/>
              </w:rPr>
              <w:t>SCell</w:t>
            </w:r>
            <w:proofErr w:type="spellEnd"/>
            <w:r w:rsidRPr="00D5125B">
              <w:rPr>
                <w:rFonts w:eastAsiaTheme="minorEastAsia" w:cs="v4.2.0"/>
                <w:lang w:eastAsia="zh-CN"/>
              </w:rPr>
              <w:t xml:space="preserve">, a new MAC CE to report this to the node where </w:t>
            </w:r>
            <w:proofErr w:type="spellStart"/>
            <w:r w:rsidRPr="00D5125B">
              <w:rPr>
                <w:rFonts w:eastAsiaTheme="minorEastAsia" w:cs="v4.2.0"/>
                <w:lang w:eastAsia="zh-CN"/>
              </w:rPr>
              <w:t>SCell</w:t>
            </w:r>
            <w:proofErr w:type="spellEnd"/>
            <w:r w:rsidRPr="00D5125B">
              <w:rPr>
                <w:rFonts w:eastAsiaTheme="minorEastAsia" w:cs="v4.2.0"/>
                <w:lang w:eastAsia="zh-CN"/>
              </w:rPr>
              <w:t xml:space="preserve"> belongs to is used.  FFS whether the MAC CE can be used to report failure on </w:t>
            </w:r>
            <w:proofErr w:type="spellStart"/>
            <w:r w:rsidRPr="00D5125B">
              <w:rPr>
                <w:rFonts w:eastAsiaTheme="minorEastAsia" w:cs="v4.2.0"/>
                <w:lang w:eastAsia="zh-CN"/>
              </w:rPr>
              <w:t>PCell</w:t>
            </w:r>
            <w:proofErr w:type="spellEnd"/>
          </w:p>
        </w:tc>
      </w:tr>
    </w:tbl>
    <w:p w:rsidR="00D5125B" w:rsidRPr="00F97520" w:rsidRDefault="00D5125B" w:rsidP="004708E3">
      <w:pPr>
        <w:rPr>
          <w:rFonts w:eastAsiaTheme="minorEastAsia" w:cs="v4.2.0"/>
          <w:lang w:val="en-US" w:eastAsia="zh-CN"/>
        </w:rPr>
      </w:pPr>
    </w:p>
    <w:p w:rsidR="00E06792" w:rsidRDefault="00D5125B" w:rsidP="00DF0231">
      <w:pPr>
        <w:rPr>
          <w:rFonts w:eastAsiaTheme="minorEastAsia" w:cs="v4.2.0"/>
          <w:lang w:val="en-US" w:eastAsia="zh-CN"/>
        </w:rPr>
      </w:pPr>
      <w:r>
        <w:rPr>
          <w:rFonts w:eastAsiaTheme="minorEastAsia" w:cs="v4.2.0" w:hint="eastAsia"/>
          <w:lang w:val="en-US" w:eastAsia="zh-CN"/>
        </w:rPr>
        <w:t>I</w:t>
      </w:r>
      <w:r>
        <w:rPr>
          <w:rFonts w:eastAsiaTheme="minorEastAsia" w:cs="v4.2.0"/>
          <w:lang w:val="en-US" w:eastAsia="zh-CN"/>
        </w:rPr>
        <w:t>t can be observed that when UL LBT failure happens in the physical layer, it will be reported to upper layers and the consistent UL LBT failure recovery will be triggered according to the counters.</w:t>
      </w:r>
    </w:p>
    <w:p w:rsidR="00D5125B" w:rsidRPr="00C3080A" w:rsidRDefault="00D5125B" w:rsidP="00DF0231">
      <w:pPr>
        <w:rPr>
          <w:rFonts w:eastAsiaTheme="minorEastAsia" w:cs="v4.2.0"/>
          <w:b/>
          <w:lang w:val="en-US" w:eastAsia="zh-CN"/>
        </w:rPr>
      </w:pPr>
      <w:r w:rsidRPr="00C3080A">
        <w:rPr>
          <w:rFonts w:eastAsiaTheme="minorEastAsia" w:cs="v4.2.0"/>
          <w:b/>
          <w:lang w:val="en-US" w:eastAsia="zh-CN"/>
        </w:rPr>
        <w:t>Observation 2: The consistent UL LBT failure recovery will handle the UL LBT when the measurement report cannot be transmitted.</w:t>
      </w:r>
    </w:p>
    <w:p w:rsidR="00D5125B" w:rsidRDefault="00C3080A" w:rsidP="00DF0231">
      <w:pPr>
        <w:rPr>
          <w:rFonts w:eastAsiaTheme="minorEastAsia" w:cs="v4.2.0"/>
          <w:lang w:val="en-US" w:eastAsia="zh-CN"/>
        </w:rPr>
      </w:pPr>
      <w:r>
        <w:rPr>
          <w:rFonts w:eastAsiaTheme="minorEastAsia" w:cs="v4.2.0"/>
          <w:lang w:val="en-US" w:eastAsia="zh-CN"/>
        </w:rPr>
        <w:t>Based on the above observation, it is infeasible to delete or abandon a particular message in the physical layer, and with the already-defined UL LBT scheme, there is no need to define new time limits and the corresponding UE behavior in RAN4.</w:t>
      </w:r>
    </w:p>
    <w:p w:rsidR="00C3080A" w:rsidRPr="00C3080A" w:rsidRDefault="00C3080A" w:rsidP="00C3080A">
      <w:pPr>
        <w:rPr>
          <w:rFonts w:eastAsiaTheme="minorEastAsia" w:cs="v4.2.0"/>
          <w:b/>
          <w:lang w:val="en-US" w:eastAsia="zh-CN"/>
        </w:rPr>
      </w:pPr>
      <w:r w:rsidRPr="00C3080A">
        <w:rPr>
          <w:rFonts w:eastAsiaTheme="minorEastAsia" w:cs="v4.2.0"/>
          <w:b/>
          <w:lang w:val="en-US" w:eastAsia="zh-CN"/>
        </w:rPr>
        <w:t>Proposal 1: There is no need to define new time limits and the corresponding UE behavior for measurement reporting in RAN4.</w:t>
      </w:r>
    </w:p>
    <w:p w:rsidR="00C3080A" w:rsidRPr="00C3080A" w:rsidRDefault="00C3080A" w:rsidP="00DF0231">
      <w:pPr>
        <w:rPr>
          <w:rFonts w:eastAsiaTheme="minorEastAsia" w:cs="v4.2.0"/>
          <w:lang w:val="en-US" w:eastAsia="zh-CN"/>
        </w:rPr>
      </w:pPr>
    </w:p>
    <w:p w:rsidR="00DF0231" w:rsidRPr="002D2977" w:rsidRDefault="00DF0231" w:rsidP="00DF0231">
      <w:pPr>
        <w:pStyle w:val="1"/>
        <w:numPr>
          <w:ilvl w:val="0"/>
          <w:numId w:val="1"/>
        </w:numPr>
        <w:rPr>
          <w:lang w:val="en-US"/>
        </w:rPr>
      </w:pPr>
      <w:r w:rsidRPr="002D2977">
        <w:rPr>
          <w:lang w:val="en-US"/>
        </w:rPr>
        <w:lastRenderedPageBreak/>
        <w:t>Conclusions</w:t>
      </w:r>
    </w:p>
    <w:p w:rsidR="00B73A82" w:rsidRDefault="00C3080A" w:rsidP="00C3080A">
      <w:pPr>
        <w:rPr>
          <w:rFonts w:eastAsiaTheme="minorEastAsia"/>
          <w:b/>
          <w:lang w:val="en-US" w:eastAsia="zh-CN"/>
        </w:rPr>
      </w:pPr>
      <w:r w:rsidRPr="00C3080A">
        <w:rPr>
          <w:rFonts w:eastAsiaTheme="minorEastAsia"/>
          <w:b/>
          <w:lang w:val="en-US" w:eastAsia="zh-CN"/>
        </w:rPr>
        <w:t>Observation 1:   The measurement report message will be submitted to lower layers for transmission upon the measurement report is generated. The message is invisible for upper layers, and it is infeasible to delete the message according to a specific time limits.</w:t>
      </w:r>
    </w:p>
    <w:p w:rsidR="00C3080A" w:rsidRPr="00C3080A" w:rsidRDefault="00C3080A" w:rsidP="00C3080A">
      <w:pPr>
        <w:rPr>
          <w:rFonts w:eastAsiaTheme="minorEastAsia" w:cs="v4.2.0"/>
          <w:b/>
          <w:lang w:val="en-US" w:eastAsia="zh-CN"/>
        </w:rPr>
      </w:pPr>
      <w:r w:rsidRPr="00C3080A">
        <w:rPr>
          <w:rFonts w:eastAsiaTheme="minorEastAsia" w:cs="v4.2.0"/>
          <w:b/>
          <w:lang w:val="en-US" w:eastAsia="zh-CN"/>
        </w:rPr>
        <w:t>Observation 2: The consistent UL LBT failure recovery will handle the UL LBT when the measurement report cannot be transmitted.</w:t>
      </w:r>
    </w:p>
    <w:p w:rsidR="00C3080A" w:rsidRPr="00C3080A" w:rsidRDefault="00C3080A" w:rsidP="00C3080A">
      <w:pPr>
        <w:rPr>
          <w:rFonts w:eastAsiaTheme="minorEastAsia" w:cs="v4.2.0"/>
          <w:b/>
          <w:lang w:val="en-US" w:eastAsia="zh-CN"/>
        </w:rPr>
      </w:pPr>
      <w:r w:rsidRPr="00C3080A">
        <w:rPr>
          <w:rFonts w:eastAsiaTheme="minorEastAsia" w:cs="v4.2.0"/>
          <w:b/>
          <w:lang w:val="en-US" w:eastAsia="zh-CN"/>
        </w:rPr>
        <w:t>Proposal 1: There is no need to define new time limits and the corresponding UE behavior for measurement reporting in RAN4</w:t>
      </w:r>
      <w:r>
        <w:rPr>
          <w:rFonts w:eastAsiaTheme="minorEastAsia" w:cs="v4.2.0"/>
          <w:b/>
          <w:lang w:val="en-US" w:eastAsia="zh-CN"/>
        </w:rPr>
        <w:t>.</w:t>
      </w:r>
    </w:p>
    <w:p w:rsidR="00DF0231" w:rsidRPr="002D2977" w:rsidRDefault="00DF0231" w:rsidP="00DF0231">
      <w:pPr>
        <w:pStyle w:val="1"/>
        <w:tabs>
          <w:tab w:val="clear" w:pos="432"/>
        </w:tabs>
        <w:ind w:left="0" w:firstLine="0"/>
        <w:rPr>
          <w:lang w:val="en-US"/>
        </w:rPr>
      </w:pPr>
      <w:r w:rsidRPr="002D2977">
        <w:rPr>
          <w:lang w:val="en-US"/>
        </w:rPr>
        <w:t>References</w:t>
      </w:r>
    </w:p>
    <w:p w:rsidR="00DF0231" w:rsidRPr="0087326D" w:rsidRDefault="00DF0231" w:rsidP="00DF0231">
      <w:r w:rsidRPr="002D2977">
        <w:rPr>
          <w:lang w:val="en-US"/>
        </w:rPr>
        <w:t xml:space="preserve">[1] </w:t>
      </w:r>
      <w:r w:rsidR="009968CF" w:rsidRPr="009968CF">
        <w:rPr>
          <w:lang w:val="en-US"/>
        </w:rPr>
        <w:t>R4-191</w:t>
      </w:r>
      <w:r w:rsidR="0087326D">
        <w:rPr>
          <w:lang w:val="en-US"/>
        </w:rPr>
        <w:t>5777</w:t>
      </w:r>
      <w:r w:rsidRPr="002D2977">
        <w:rPr>
          <w:lang w:val="en-US"/>
        </w:rPr>
        <w:t xml:space="preserve"> “WF on </w:t>
      </w:r>
      <w:r w:rsidR="0087326D">
        <w:rPr>
          <w:lang w:val="en-US"/>
        </w:rPr>
        <w:t>NR-U RRM Requirements</w:t>
      </w:r>
      <w:r w:rsidRPr="002D2977">
        <w:rPr>
          <w:lang w:val="en-US"/>
        </w:rPr>
        <w:t>”</w:t>
      </w:r>
      <w:r w:rsidR="0087326D">
        <w:rPr>
          <w:lang w:val="en-US"/>
        </w:rPr>
        <w:t xml:space="preserve">, </w:t>
      </w:r>
      <w:r w:rsidR="0087326D" w:rsidRPr="0087326D">
        <w:t>Ericsson, Qualcomm Inc.</w:t>
      </w:r>
    </w:p>
    <w:p w:rsidR="00AC2C97" w:rsidRPr="002D2977" w:rsidRDefault="00AC2C97" w:rsidP="00DF0231">
      <w:pPr>
        <w:rPr>
          <w:lang w:val="en-US"/>
        </w:rPr>
      </w:pPr>
      <w:r>
        <w:rPr>
          <w:lang w:val="en-US"/>
        </w:rPr>
        <w:t>[2] TS 38.</w:t>
      </w:r>
      <w:r w:rsidR="00336939">
        <w:rPr>
          <w:lang w:val="en-US"/>
        </w:rPr>
        <w:t>133</w:t>
      </w:r>
    </w:p>
    <w:p w:rsidR="007D0DF7" w:rsidRDefault="007D0DF7"/>
    <w:sectPr w:rsidR="007D0DF7"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0104" w:rsidRDefault="007F0104">
      <w:pPr>
        <w:spacing w:after="0"/>
      </w:pPr>
      <w:r>
        <w:separator/>
      </w:r>
    </w:p>
  </w:endnote>
  <w:endnote w:type="continuationSeparator" w:id="0">
    <w:p w:rsidR="007F0104" w:rsidRDefault="007F01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08E3" w:rsidRDefault="004708E3">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4708E3" w:rsidRDefault="004708E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08E3" w:rsidRDefault="004708E3">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654AD">
      <w:rPr>
        <w:rStyle w:val="a5"/>
      </w:rPr>
      <w:t>1</w:t>
    </w:r>
    <w:r>
      <w:rPr>
        <w:rStyle w:val="a5"/>
      </w:rPr>
      <w:fldChar w:fldCharType="end"/>
    </w:r>
  </w:p>
  <w:p w:rsidR="004708E3" w:rsidRDefault="004708E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0104" w:rsidRDefault="007F0104">
      <w:pPr>
        <w:spacing w:after="0"/>
      </w:pPr>
      <w:r>
        <w:separator/>
      </w:r>
    </w:p>
  </w:footnote>
  <w:footnote w:type="continuationSeparator" w:id="0">
    <w:p w:rsidR="007F0104" w:rsidRDefault="007F010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14721C6"/>
    <w:multiLevelType w:val="hybridMultilevel"/>
    <w:tmpl w:val="D3B44922"/>
    <w:lvl w:ilvl="0" w:tplc="2A78CBEC">
      <w:start w:val="1"/>
      <w:numFmt w:val="bullet"/>
      <w:lvlText w:val="•"/>
      <w:lvlJc w:val="left"/>
      <w:pPr>
        <w:tabs>
          <w:tab w:val="num" w:pos="720"/>
        </w:tabs>
        <w:ind w:left="720" w:hanging="360"/>
      </w:pPr>
      <w:rPr>
        <w:rFonts w:ascii="Arial" w:hAnsi="Arial" w:hint="default"/>
      </w:rPr>
    </w:lvl>
    <w:lvl w:ilvl="1" w:tplc="955EB634">
      <w:numFmt w:val="bullet"/>
      <w:lvlText w:val="•"/>
      <w:lvlJc w:val="left"/>
      <w:pPr>
        <w:tabs>
          <w:tab w:val="num" w:pos="1440"/>
        </w:tabs>
        <w:ind w:left="1440" w:hanging="360"/>
      </w:pPr>
      <w:rPr>
        <w:rFonts w:ascii="Arial" w:hAnsi="Arial" w:hint="default"/>
      </w:rPr>
    </w:lvl>
    <w:lvl w:ilvl="2" w:tplc="93A4754C">
      <w:numFmt w:val="bullet"/>
      <w:lvlText w:val="•"/>
      <w:lvlJc w:val="left"/>
      <w:pPr>
        <w:tabs>
          <w:tab w:val="num" w:pos="2160"/>
        </w:tabs>
        <w:ind w:left="2160" w:hanging="360"/>
      </w:pPr>
      <w:rPr>
        <w:rFonts w:ascii="Arial" w:hAnsi="Arial" w:hint="default"/>
      </w:rPr>
    </w:lvl>
    <w:lvl w:ilvl="3" w:tplc="6FB87E6A">
      <w:numFmt w:val="bullet"/>
      <w:lvlText w:val="•"/>
      <w:lvlJc w:val="left"/>
      <w:pPr>
        <w:tabs>
          <w:tab w:val="num" w:pos="2880"/>
        </w:tabs>
        <w:ind w:left="2880" w:hanging="360"/>
      </w:pPr>
      <w:rPr>
        <w:rFonts w:ascii="Arial" w:hAnsi="Arial" w:hint="default"/>
      </w:rPr>
    </w:lvl>
    <w:lvl w:ilvl="4" w:tplc="4F34D186" w:tentative="1">
      <w:start w:val="1"/>
      <w:numFmt w:val="bullet"/>
      <w:lvlText w:val="•"/>
      <w:lvlJc w:val="left"/>
      <w:pPr>
        <w:tabs>
          <w:tab w:val="num" w:pos="3600"/>
        </w:tabs>
        <w:ind w:left="3600" w:hanging="360"/>
      </w:pPr>
      <w:rPr>
        <w:rFonts w:ascii="Arial" w:hAnsi="Arial" w:hint="default"/>
      </w:rPr>
    </w:lvl>
    <w:lvl w:ilvl="5" w:tplc="99E67402" w:tentative="1">
      <w:start w:val="1"/>
      <w:numFmt w:val="bullet"/>
      <w:lvlText w:val="•"/>
      <w:lvlJc w:val="left"/>
      <w:pPr>
        <w:tabs>
          <w:tab w:val="num" w:pos="4320"/>
        </w:tabs>
        <w:ind w:left="4320" w:hanging="360"/>
      </w:pPr>
      <w:rPr>
        <w:rFonts w:ascii="Arial" w:hAnsi="Arial" w:hint="default"/>
      </w:rPr>
    </w:lvl>
    <w:lvl w:ilvl="6" w:tplc="E8384498" w:tentative="1">
      <w:start w:val="1"/>
      <w:numFmt w:val="bullet"/>
      <w:lvlText w:val="•"/>
      <w:lvlJc w:val="left"/>
      <w:pPr>
        <w:tabs>
          <w:tab w:val="num" w:pos="5040"/>
        </w:tabs>
        <w:ind w:left="5040" w:hanging="360"/>
      </w:pPr>
      <w:rPr>
        <w:rFonts w:ascii="Arial" w:hAnsi="Arial" w:hint="default"/>
      </w:rPr>
    </w:lvl>
    <w:lvl w:ilvl="7" w:tplc="E6F28C8C" w:tentative="1">
      <w:start w:val="1"/>
      <w:numFmt w:val="bullet"/>
      <w:lvlText w:val="•"/>
      <w:lvlJc w:val="left"/>
      <w:pPr>
        <w:tabs>
          <w:tab w:val="num" w:pos="5760"/>
        </w:tabs>
        <w:ind w:left="5760" w:hanging="360"/>
      </w:pPr>
      <w:rPr>
        <w:rFonts w:ascii="Arial" w:hAnsi="Arial" w:hint="default"/>
      </w:rPr>
    </w:lvl>
    <w:lvl w:ilvl="8" w:tplc="51FA38B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0"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5"/>
  </w:num>
  <w:num w:numId="2">
    <w:abstractNumId w:val="0"/>
  </w:num>
  <w:num w:numId="3">
    <w:abstractNumId w:val="9"/>
  </w:num>
  <w:num w:numId="4">
    <w:abstractNumId w:val="10"/>
  </w:num>
  <w:num w:numId="5">
    <w:abstractNumId w:val="7"/>
  </w:num>
  <w:num w:numId="6">
    <w:abstractNumId w:val="4"/>
  </w:num>
  <w:num w:numId="7">
    <w:abstractNumId w:val="6"/>
  </w:num>
  <w:num w:numId="8">
    <w:abstractNumId w:val="1"/>
  </w:num>
  <w:num w:numId="9">
    <w:abstractNumId w:val="3"/>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63E08"/>
    <w:rsid w:val="00067432"/>
    <w:rsid w:val="000A2ED7"/>
    <w:rsid w:val="000A4BCB"/>
    <w:rsid w:val="000D2930"/>
    <w:rsid w:val="000E2C03"/>
    <w:rsid w:val="0020033A"/>
    <w:rsid w:val="002221AC"/>
    <w:rsid w:val="002328DD"/>
    <w:rsid w:val="002342DB"/>
    <w:rsid w:val="00254F38"/>
    <w:rsid w:val="002654AD"/>
    <w:rsid w:val="002A5E54"/>
    <w:rsid w:val="002B45C3"/>
    <w:rsid w:val="002E668C"/>
    <w:rsid w:val="00336939"/>
    <w:rsid w:val="00356FB6"/>
    <w:rsid w:val="003664ED"/>
    <w:rsid w:val="003A5E2B"/>
    <w:rsid w:val="00430F24"/>
    <w:rsid w:val="00435EBD"/>
    <w:rsid w:val="00466D02"/>
    <w:rsid w:val="004708E3"/>
    <w:rsid w:val="00477263"/>
    <w:rsid w:val="0049501A"/>
    <w:rsid w:val="004A678E"/>
    <w:rsid w:val="004A7CF2"/>
    <w:rsid w:val="004C4868"/>
    <w:rsid w:val="00530EB0"/>
    <w:rsid w:val="00545EC2"/>
    <w:rsid w:val="006D43CD"/>
    <w:rsid w:val="00701598"/>
    <w:rsid w:val="00723883"/>
    <w:rsid w:val="00736D84"/>
    <w:rsid w:val="0077159B"/>
    <w:rsid w:val="007902A8"/>
    <w:rsid w:val="007A37DA"/>
    <w:rsid w:val="007B5EE3"/>
    <w:rsid w:val="007D0DF7"/>
    <w:rsid w:val="007D3409"/>
    <w:rsid w:val="007E5F97"/>
    <w:rsid w:val="007F0104"/>
    <w:rsid w:val="007F2E6A"/>
    <w:rsid w:val="00804945"/>
    <w:rsid w:val="0087326D"/>
    <w:rsid w:val="00873C1C"/>
    <w:rsid w:val="00892EAE"/>
    <w:rsid w:val="008A1C4E"/>
    <w:rsid w:val="008D55C5"/>
    <w:rsid w:val="008E2591"/>
    <w:rsid w:val="00914A03"/>
    <w:rsid w:val="009450D8"/>
    <w:rsid w:val="009708D0"/>
    <w:rsid w:val="009968CF"/>
    <w:rsid w:val="009C4E39"/>
    <w:rsid w:val="009C7D5E"/>
    <w:rsid w:val="009D03C6"/>
    <w:rsid w:val="009D2942"/>
    <w:rsid w:val="009E6763"/>
    <w:rsid w:val="009E6DC8"/>
    <w:rsid w:val="00A1597D"/>
    <w:rsid w:val="00A22790"/>
    <w:rsid w:val="00AC2C97"/>
    <w:rsid w:val="00AD69AA"/>
    <w:rsid w:val="00AE6BE0"/>
    <w:rsid w:val="00AF5966"/>
    <w:rsid w:val="00B10C6E"/>
    <w:rsid w:val="00B20460"/>
    <w:rsid w:val="00B41E6D"/>
    <w:rsid w:val="00B73A82"/>
    <w:rsid w:val="00BC47AB"/>
    <w:rsid w:val="00BE1FD4"/>
    <w:rsid w:val="00BE677A"/>
    <w:rsid w:val="00BF00A7"/>
    <w:rsid w:val="00BF6E75"/>
    <w:rsid w:val="00C3080A"/>
    <w:rsid w:val="00C338CA"/>
    <w:rsid w:val="00C50A0A"/>
    <w:rsid w:val="00C83525"/>
    <w:rsid w:val="00CA1729"/>
    <w:rsid w:val="00CE0DA0"/>
    <w:rsid w:val="00D41D2D"/>
    <w:rsid w:val="00D5125B"/>
    <w:rsid w:val="00DB1DD4"/>
    <w:rsid w:val="00DD1DFF"/>
    <w:rsid w:val="00DF0231"/>
    <w:rsid w:val="00E06792"/>
    <w:rsid w:val="00E5666B"/>
    <w:rsid w:val="00E577DD"/>
    <w:rsid w:val="00EA4E79"/>
    <w:rsid w:val="00EA5149"/>
    <w:rsid w:val="00EB02DF"/>
    <w:rsid w:val="00F0497C"/>
    <w:rsid w:val="00F076D1"/>
    <w:rsid w:val="00F303F4"/>
    <w:rsid w:val="00F413E7"/>
    <w:rsid w:val="00F6288A"/>
    <w:rsid w:val="00F97520"/>
    <w:rsid w:val="00FA4943"/>
    <w:rsid w:val="00FC0F9D"/>
    <w:rsid w:val="00FC3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080A"/>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semiHidden/>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semiHidden/>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48502974">
      <w:bodyDiv w:val="1"/>
      <w:marLeft w:val="0"/>
      <w:marRight w:val="0"/>
      <w:marTop w:val="0"/>
      <w:marBottom w:val="0"/>
      <w:divBdr>
        <w:top w:val="none" w:sz="0" w:space="0" w:color="auto"/>
        <w:left w:val="none" w:sz="0" w:space="0" w:color="auto"/>
        <w:bottom w:val="none" w:sz="0" w:space="0" w:color="auto"/>
        <w:right w:val="none" w:sz="0" w:space="0" w:color="auto"/>
      </w:divBdr>
      <w:divsChild>
        <w:div w:id="335809464">
          <w:marLeft w:val="360"/>
          <w:marRight w:val="0"/>
          <w:marTop w:val="200"/>
          <w:marBottom w:val="0"/>
          <w:divBdr>
            <w:top w:val="none" w:sz="0" w:space="0" w:color="auto"/>
            <w:left w:val="none" w:sz="0" w:space="0" w:color="auto"/>
            <w:bottom w:val="none" w:sz="0" w:space="0" w:color="auto"/>
            <w:right w:val="none" w:sz="0" w:space="0" w:color="auto"/>
          </w:divBdr>
        </w:div>
        <w:div w:id="1217274439">
          <w:marLeft w:val="1080"/>
          <w:marRight w:val="0"/>
          <w:marTop w:val="100"/>
          <w:marBottom w:val="0"/>
          <w:divBdr>
            <w:top w:val="none" w:sz="0" w:space="0" w:color="auto"/>
            <w:left w:val="none" w:sz="0" w:space="0" w:color="auto"/>
            <w:bottom w:val="none" w:sz="0" w:space="0" w:color="auto"/>
            <w:right w:val="none" w:sz="0" w:space="0" w:color="auto"/>
          </w:divBdr>
        </w:div>
        <w:div w:id="1717704553">
          <w:marLeft w:val="1800"/>
          <w:marRight w:val="0"/>
          <w:marTop w:val="100"/>
          <w:marBottom w:val="0"/>
          <w:divBdr>
            <w:top w:val="none" w:sz="0" w:space="0" w:color="auto"/>
            <w:left w:val="none" w:sz="0" w:space="0" w:color="auto"/>
            <w:bottom w:val="none" w:sz="0" w:space="0" w:color="auto"/>
            <w:right w:val="none" w:sz="0" w:space="0" w:color="auto"/>
          </w:divBdr>
        </w:div>
        <w:div w:id="2140997098">
          <w:marLeft w:val="1800"/>
          <w:marRight w:val="0"/>
          <w:marTop w:val="100"/>
          <w:marBottom w:val="0"/>
          <w:divBdr>
            <w:top w:val="none" w:sz="0" w:space="0" w:color="auto"/>
            <w:left w:val="none" w:sz="0" w:space="0" w:color="auto"/>
            <w:bottom w:val="none" w:sz="0" w:space="0" w:color="auto"/>
            <w:right w:val="none" w:sz="0" w:space="0" w:color="auto"/>
          </w:divBdr>
        </w:div>
        <w:div w:id="1118065479">
          <w:marLeft w:val="2520"/>
          <w:marRight w:val="0"/>
          <w:marTop w:val="100"/>
          <w:marBottom w:val="0"/>
          <w:divBdr>
            <w:top w:val="none" w:sz="0" w:space="0" w:color="auto"/>
            <w:left w:val="none" w:sz="0" w:space="0" w:color="auto"/>
            <w:bottom w:val="none" w:sz="0" w:space="0" w:color="auto"/>
            <w:right w:val="none" w:sz="0" w:space="0" w:color="auto"/>
          </w:divBdr>
        </w:div>
        <w:div w:id="241837264">
          <w:marLeft w:val="360"/>
          <w:marRight w:val="0"/>
          <w:marTop w:val="200"/>
          <w:marBottom w:val="0"/>
          <w:divBdr>
            <w:top w:val="none" w:sz="0" w:space="0" w:color="auto"/>
            <w:left w:val="none" w:sz="0" w:space="0" w:color="auto"/>
            <w:bottom w:val="none" w:sz="0" w:space="0" w:color="auto"/>
            <w:right w:val="none" w:sz="0" w:space="0" w:color="auto"/>
          </w:divBdr>
        </w:div>
        <w:div w:id="643043466">
          <w:marLeft w:val="1080"/>
          <w:marRight w:val="0"/>
          <w:marTop w:val="100"/>
          <w:marBottom w:val="0"/>
          <w:divBdr>
            <w:top w:val="none" w:sz="0" w:space="0" w:color="auto"/>
            <w:left w:val="none" w:sz="0" w:space="0" w:color="auto"/>
            <w:bottom w:val="none" w:sz="0" w:space="0" w:color="auto"/>
            <w:right w:val="none" w:sz="0" w:space="0" w:color="auto"/>
          </w:divBdr>
        </w:div>
        <w:div w:id="267977054">
          <w:marLeft w:val="1080"/>
          <w:marRight w:val="0"/>
          <w:marTop w:val="100"/>
          <w:marBottom w:val="0"/>
          <w:divBdr>
            <w:top w:val="none" w:sz="0" w:space="0" w:color="auto"/>
            <w:left w:val="none" w:sz="0" w:space="0" w:color="auto"/>
            <w:bottom w:val="none" w:sz="0" w:space="0" w:color="auto"/>
            <w:right w:val="none" w:sz="0" w:space="0" w:color="auto"/>
          </w:divBdr>
        </w:div>
        <w:div w:id="715815143">
          <w:marLeft w:val="1800"/>
          <w:marRight w:val="0"/>
          <w:marTop w:val="100"/>
          <w:marBottom w:val="0"/>
          <w:divBdr>
            <w:top w:val="none" w:sz="0" w:space="0" w:color="auto"/>
            <w:left w:val="none" w:sz="0" w:space="0" w:color="auto"/>
            <w:bottom w:val="none" w:sz="0" w:space="0" w:color="auto"/>
            <w:right w:val="none" w:sz="0" w:space="0" w:color="auto"/>
          </w:divBdr>
        </w:div>
        <w:div w:id="1362510948">
          <w:marLeft w:val="1800"/>
          <w:marRight w:val="0"/>
          <w:marTop w:val="100"/>
          <w:marBottom w:val="0"/>
          <w:divBdr>
            <w:top w:val="none" w:sz="0" w:space="0" w:color="auto"/>
            <w:left w:val="none" w:sz="0" w:space="0" w:color="auto"/>
            <w:bottom w:val="none" w:sz="0" w:space="0" w:color="auto"/>
            <w:right w:val="none" w:sz="0" w:space="0" w:color="auto"/>
          </w:divBdr>
        </w:div>
        <w:div w:id="452984889">
          <w:marLeft w:val="1080"/>
          <w:marRight w:val="0"/>
          <w:marTop w:val="100"/>
          <w:marBottom w:val="0"/>
          <w:divBdr>
            <w:top w:val="none" w:sz="0" w:space="0" w:color="auto"/>
            <w:left w:val="none" w:sz="0" w:space="0" w:color="auto"/>
            <w:bottom w:val="none" w:sz="0" w:space="0" w:color="auto"/>
            <w:right w:val="none" w:sz="0" w:space="0" w:color="auto"/>
          </w:divBdr>
        </w:div>
        <w:div w:id="1772580877">
          <w:marLeft w:val="360"/>
          <w:marRight w:val="0"/>
          <w:marTop w:val="200"/>
          <w:marBottom w:val="0"/>
          <w:divBdr>
            <w:top w:val="none" w:sz="0" w:space="0" w:color="auto"/>
            <w:left w:val="none" w:sz="0" w:space="0" w:color="auto"/>
            <w:bottom w:val="none" w:sz="0" w:space="0" w:color="auto"/>
            <w:right w:val="none" w:sz="0" w:space="0" w:color="auto"/>
          </w:divBdr>
        </w:div>
        <w:div w:id="1134525629">
          <w:marLeft w:val="1080"/>
          <w:marRight w:val="0"/>
          <w:marTop w:val="100"/>
          <w:marBottom w:val="0"/>
          <w:divBdr>
            <w:top w:val="none" w:sz="0" w:space="0" w:color="auto"/>
            <w:left w:val="none" w:sz="0" w:space="0" w:color="auto"/>
            <w:bottom w:val="none" w:sz="0" w:space="0" w:color="auto"/>
            <w:right w:val="none" w:sz="0" w:space="0" w:color="auto"/>
          </w:divBdr>
        </w:div>
        <w:div w:id="729306231">
          <w:marLeft w:val="1800"/>
          <w:marRight w:val="0"/>
          <w:marTop w:val="100"/>
          <w:marBottom w:val="0"/>
          <w:divBdr>
            <w:top w:val="none" w:sz="0" w:space="0" w:color="auto"/>
            <w:left w:val="none" w:sz="0" w:space="0" w:color="auto"/>
            <w:bottom w:val="none" w:sz="0" w:space="0" w:color="auto"/>
            <w:right w:val="none" w:sz="0" w:space="0" w:color="auto"/>
          </w:divBdr>
        </w:div>
        <w:div w:id="1371879785">
          <w:marLeft w:val="1800"/>
          <w:marRight w:val="0"/>
          <w:marTop w:val="100"/>
          <w:marBottom w:val="0"/>
          <w:divBdr>
            <w:top w:val="none" w:sz="0" w:space="0" w:color="auto"/>
            <w:left w:val="none" w:sz="0" w:space="0" w:color="auto"/>
            <w:bottom w:val="none" w:sz="0" w:space="0" w:color="auto"/>
            <w:right w:val="none" w:sz="0" w:space="0" w:color="auto"/>
          </w:divBdr>
        </w:div>
        <w:div w:id="1681227482">
          <w:marLeft w:val="1080"/>
          <w:marRight w:val="0"/>
          <w:marTop w:val="100"/>
          <w:marBottom w:val="0"/>
          <w:divBdr>
            <w:top w:val="none" w:sz="0" w:space="0" w:color="auto"/>
            <w:left w:val="none" w:sz="0" w:space="0" w:color="auto"/>
            <w:bottom w:val="none" w:sz="0" w:space="0" w:color="auto"/>
            <w:right w:val="none" w:sz="0" w:space="0" w:color="auto"/>
          </w:divBdr>
        </w:div>
        <w:div w:id="735056081">
          <w:marLeft w:val="360"/>
          <w:marRight w:val="0"/>
          <w:marTop w:val="200"/>
          <w:marBottom w:val="0"/>
          <w:divBdr>
            <w:top w:val="none" w:sz="0" w:space="0" w:color="auto"/>
            <w:left w:val="none" w:sz="0" w:space="0" w:color="auto"/>
            <w:bottom w:val="none" w:sz="0" w:space="0" w:color="auto"/>
            <w:right w:val="none" w:sz="0" w:space="0" w:color="auto"/>
          </w:divBdr>
        </w:div>
        <w:div w:id="1918900936">
          <w:marLeft w:val="1080"/>
          <w:marRight w:val="0"/>
          <w:marTop w:val="100"/>
          <w:marBottom w:val="0"/>
          <w:divBdr>
            <w:top w:val="none" w:sz="0" w:space="0" w:color="auto"/>
            <w:left w:val="none" w:sz="0" w:space="0" w:color="auto"/>
            <w:bottom w:val="none" w:sz="0" w:space="0" w:color="auto"/>
            <w:right w:val="none" w:sz="0" w:space="0" w:color="auto"/>
          </w:divBdr>
        </w:div>
        <w:div w:id="468398121">
          <w:marLeft w:val="1080"/>
          <w:marRight w:val="0"/>
          <w:marTop w:val="100"/>
          <w:marBottom w:val="0"/>
          <w:divBdr>
            <w:top w:val="none" w:sz="0" w:space="0" w:color="auto"/>
            <w:left w:val="none" w:sz="0" w:space="0" w:color="auto"/>
            <w:bottom w:val="none" w:sz="0" w:space="0" w:color="auto"/>
            <w:right w:val="none" w:sz="0" w:space="0" w:color="auto"/>
          </w:divBdr>
        </w:div>
      </w:divsChild>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40273207">
      <w:bodyDiv w:val="1"/>
      <w:marLeft w:val="0"/>
      <w:marRight w:val="0"/>
      <w:marTop w:val="0"/>
      <w:marBottom w:val="0"/>
      <w:divBdr>
        <w:top w:val="none" w:sz="0" w:space="0" w:color="auto"/>
        <w:left w:val="none" w:sz="0" w:space="0" w:color="auto"/>
        <w:bottom w:val="none" w:sz="0" w:space="0" w:color="auto"/>
        <w:right w:val="none" w:sz="0" w:space="0" w:color="auto"/>
      </w:divBdr>
      <w:divsChild>
        <w:div w:id="1553157362">
          <w:marLeft w:val="360"/>
          <w:marRight w:val="0"/>
          <w:marTop w:val="200"/>
          <w:marBottom w:val="0"/>
          <w:divBdr>
            <w:top w:val="none" w:sz="0" w:space="0" w:color="auto"/>
            <w:left w:val="none" w:sz="0" w:space="0" w:color="auto"/>
            <w:bottom w:val="none" w:sz="0" w:space="0" w:color="auto"/>
            <w:right w:val="none" w:sz="0" w:space="0" w:color="auto"/>
          </w:divBdr>
        </w:div>
        <w:div w:id="1595169948">
          <w:marLeft w:val="1080"/>
          <w:marRight w:val="0"/>
          <w:marTop w:val="100"/>
          <w:marBottom w:val="0"/>
          <w:divBdr>
            <w:top w:val="none" w:sz="0" w:space="0" w:color="auto"/>
            <w:left w:val="none" w:sz="0" w:space="0" w:color="auto"/>
            <w:bottom w:val="none" w:sz="0" w:space="0" w:color="auto"/>
            <w:right w:val="none" w:sz="0" w:space="0" w:color="auto"/>
          </w:divBdr>
        </w:div>
        <w:div w:id="470248406">
          <w:marLeft w:val="1800"/>
          <w:marRight w:val="0"/>
          <w:marTop w:val="100"/>
          <w:marBottom w:val="0"/>
          <w:divBdr>
            <w:top w:val="none" w:sz="0" w:space="0" w:color="auto"/>
            <w:left w:val="none" w:sz="0" w:space="0" w:color="auto"/>
            <w:bottom w:val="none" w:sz="0" w:space="0" w:color="auto"/>
            <w:right w:val="none" w:sz="0" w:space="0" w:color="auto"/>
          </w:divBdr>
        </w:div>
        <w:div w:id="894513168">
          <w:marLeft w:val="1800"/>
          <w:marRight w:val="0"/>
          <w:marTop w:val="100"/>
          <w:marBottom w:val="0"/>
          <w:divBdr>
            <w:top w:val="none" w:sz="0" w:space="0" w:color="auto"/>
            <w:left w:val="none" w:sz="0" w:space="0" w:color="auto"/>
            <w:bottom w:val="none" w:sz="0" w:space="0" w:color="auto"/>
            <w:right w:val="none" w:sz="0" w:space="0" w:color="auto"/>
          </w:divBdr>
        </w:div>
        <w:div w:id="1031492786">
          <w:marLeft w:val="2520"/>
          <w:marRight w:val="0"/>
          <w:marTop w:val="100"/>
          <w:marBottom w:val="0"/>
          <w:divBdr>
            <w:top w:val="none" w:sz="0" w:space="0" w:color="auto"/>
            <w:left w:val="none" w:sz="0" w:space="0" w:color="auto"/>
            <w:bottom w:val="none" w:sz="0" w:space="0" w:color="auto"/>
            <w:right w:val="none" w:sz="0" w:space="0" w:color="auto"/>
          </w:divBdr>
        </w:div>
        <w:div w:id="693924757">
          <w:marLeft w:val="360"/>
          <w:marRight w:val="0"/>
          <w:marTop w:val="200"/>
          <w:marBottom w:val="0"/>
          <w:divBdr>
            <w:top w:val="none" w:sz="0" w:space="0" w:color="auto"/>
            <w:left w:val="none" w:sz="0" w:space="0" w:color="auto"/>
            <w:bottom w:val="none" w:sz="0" w:space="0" w:color="auto"/>
            <w:right w:val="none" w:sz="0" w:space="0" w:color="auto"/>
          </w:divBdr>
        </w:div>
        <w:div w:id="1400977171">
          <w:marLeft w:val="1080"/>
          <w:marRight w:val="0"/>
          <w:marTop w:val="100"/>
          <w:marBottom w:val="0"/>
          <w:divBdr>
            <w:top w:val="none" w:sz="0" w:space="0" w:color="auto"/>
            <w:left w:val="none" w:sz="0" w:space="0" w:color="auto"/>
            <w:bottom w:val="none" w:sz="0" w:space="0" w:color="auto"/>
            <w:right w:val="none" w:sz="0" w:space="0" w:color="auto"/>
          </w:divBdr>
        </w:div>
        <w:div w:id="614021702">
          <w:marLeft w:val="1080"/>
          <w:marRight w:val="0"/>
          <w:marTop w:val="100"/>
          <w:marBottom w:val="0"/>
          <w:divBdr>
            <w:top w:val="none" w:sz="0" w:space="0" w:color="auto"/>
            <w:left w:val="none" w:sz="0" w:space="0" w:color="auto"/>
            <w:bottom w:val="none" w:sz="0" w:space="0" w:color="auto"/>
            <w:right w:val="none" w:sz="0" w:space="0" w:color="auto"/>
          </w:divBdr>
        </w:div>
        <w:div w:id="875435275">
          <w:marLeft w:val="1800"/>
          <w:marRight w:val="0"/>
          <w:marTop w:val="100"/>
          <w:marBottom w:val="0"/>
          <w:divBdr>
            <w:top w:val="none" w:sz="0" w:space="0" w:color="auto"/>
            <w:left w:val="none" w:sz="0" w:space="0" w:color="auto"/>
            <w:bottom w:val="none" w:sz="0" w:space="0" w:color="auto"/>
            <w:right w:val="none" w:sz="0" w:space="0" w:color="auto"/>
          </w:divBdr>
        </w:div>
        <w:div w:id="600652372">
          <w:marLeft w:val="1800"/>
          <w:marRight w:val="0"/>
          <w:marTop w:val="100"/>
          <w:marBottom w:val="0"/>
          <w:divBdr>
            <w:top w:val="none" w:sz="0" w:space="0" w:color="auto"/>
            <w:left w:val="none" w:sz="0" w:space="0" w:color="auto"/>
            <w:bottom w:val="none" w:sz="0" w:space="0" w:color="auto"/>
            <w:right w:val="none" w:sz="0" w:space="0" w:color="auto"/>
          </w:divBdr>
        </w:div>
        <w:div w:id="1166244698">
          <w:marLeft w:val="1080"/>
          <w:marRight w:val="0"/>
          <w:marTop w:val="100"/>
          <w:marBottom w:val="0"/>
          <w:divBdr>
            <w:top w:val="none" w:sz="0" w:space="0" w:color="auto"/>
            <w:left w:val="none" w:sz="0" w:space="0" w:color="auto"/>
            <w:bottom w:val="none" w:sz="0" w:space="0" w:color="auto"/>
            <w:right w:val="none" w:sz="0" w:space="0" w:color="auto"/>
          </w:divBdr>
        </w:div>
        <w:div w:id="1523742472">
          <w:marLeft w:val="360"/>
          <w:marRight w:val="0"/>
          <w:marTop w:val="200"/>
          <w:marBottom w:val="0"/>
          <w:divBdr>
            <w:top w:val="none" w:sz="0" w:space="0" w:color="auto"/>
            <w:left w:val="none" w:sz="0" w:space="0" w:color="auto"/>
            <w:bottom w:val="none" w:sz="0" w:space="0" w:color="auto"/>
            <w:right w:val="none" w:sz="0" w:space="0" w:color="auto"/>
          </w:divBdr>
        </w:div>
        <w:div w:id="1781028495">
          <w:marLeft w:val="1080"/>
          <w:marRight w:val="0"/>
          <w:marTop w:val="100"/>
          <w:marBottom w:val="0"/>
          <w:divBdr>
            <w:top w:val="none" w:sz="0" w:space="0" w:color="auto"/>
            <w:left w:val="none" w:sz="0" w:space="0" w:color="auto"/>
            <w:bottom w:val="none" w:sz="0" w:space="0" w:color="auto"/>
            <w:right w:val="none" w:sz="0" w:space="0" w:color="auto"/>
          </w:divBdr>
        </w:div>
        <w:div w:id="2029868405">
          <w:marLeft w:val="1800"/>
          <w:marRight w:val="0"/>
          <w:marTop w:val="100"/>
          <w:marBottom w:val="0"/>
          <w:divBdr>
            <w:top w:val="none" w:sz="0" w:space="0" w:color="auto"/>
            <w:left w:val="none" w:sz="0" w:space="0" w:color="auto"/>
            <w:bottom w:val="none" w:sz="0" w:space="0" w:color="auto"/>
            <w:right w:val="none" w:sz="0" w:space="0" w:color="auto"/>
          </w:divBdr>
        </w:div>
        <w:div w:id="1554082013">
          <w:marLeft w:val="1800"/>
          <w:marRight w:val="0"/>
          <w:marTop w:val="100"/>
          <w:marBottom w:val="0"/>
          <w:divBdr>
            <w:top w:val="none" w:sz="0" w:space="0" w:color="auto"/>
            <w:left w:val="none" w:sz="0" w:space="0" w:color="auto"/>
            <w:bottom w:val="none" w:sz="0" w:space="0" w:color="auto"/>
            <w:right w:val="none" w:sz="0" w:space="0" w:color="auto"/>
          </w:divBdr>
        </w:div>
        <w:div w:id="66847646">
          <w:marLeft w:val="1080"/>
          <w:marRight w:val="0"/>
          <w:marTop w:val="100"/>
          <w:marBottom w:val="0"/>
          <w:divBdr>
            <w:top w:val="none" w:sz="0" w:space="0" w:color="auto"/>
            <w:left w:val="none" w:sz="0" w:space="0" w:color="auto"/>
            <w:bottom w:val="none" w:sz="0" w:space="0" w:color="auto"/>
            <w:right w:val="none" w:sz="0" w:space="0" w:color="auto"/>
          </w:divBdr>
        </w:div>
        <w:div w:id="1727872086">
          <w:marLeft w:val="360"/>
          <w:marRight w:val="0"/>
          <w:marTop w:val="200"/>
          <w:marBottom w:val="0"/>
          <w:divBdr>
            <w:top w:val="none" w:sz="0" w:space="0" w:color="auto"/>
            <w:left w:val="none" w:sz="0" w:space="0" w:color="auto"/>
            <w:bottom w:val="none" w:sz="0" w:space="0" w:color="auto"/>
            <w:right w:val="none" w:sz="0" w:space="0" w:color="auto"/>
          </w:divBdr>
        </w:div>
        <w:div w:id="878052723">
          <w:marLeft w:val="1080"/>
          <w:marRight w:val="0"/>
          <w:marTop w:val="100"/>
          <w:marBottom w:val="0"/>
          <w:divBdr>
            <w:top w:val="none" w:sz="0" w:space="0" w:color="auto"/>
            <w:left w:val="none" w:sz="0" w:space="0" w:color="auto"/>
            <w:bottom w:val="none" w:sz="0" w:space="0" w:color="auto"/>
            <w:right w:val="none" w:sz="0" w:space="0" w:color="auto"/>
          </w:divBdr>
        </w:div>
        <w:div w:id="1711538378">
          <w:marLeft w:val="1080"/>
          <w:marRight w:val="0"/>
          <w:marTop w:val="100"/>
          <w:marBottom w:val="0"/>
          <w:divBdr>
            <w:top w:val="none" w:sz="0" w:space="0" w:color="auto"/>
            <w:left w:val="none" w:sz="0" w:space="0" w:color="auto"/>
            <w:bottom w:val="none" w:sz="0" w:space="0" w:color="auto"/>
            <w:right w:val="none" w:sz="0" w:space="0" w:color="auto"/>
          </w:divBdr>
        </w:div>
      </w:divsChild>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930388217">
      <w:bodyDiv w:val="1"/>
      <w:marLeft w:val="0"/>
      <w:marRight w:val="0"/>
      <w:marTop w:val="0"/>
      <w:marBottom w:val="0"/>
      <w:divBdr>
        <w:top w:val="none" w:sz="0" w:space="0" w:color="auto"/>
        <w:left w:val="none" w:sz="0" w:space="0" w:color="auto"/>
        <w:bottom w:val="none" w:sz="0" w:space="0" w:color="auto"/>
        <w:right w:val="none" w:sz="0" w:space="0" w:color="auto"/>
      </w:divBdr>
      <w:divsChild>
        <w:div w:id="396703629">
          <w:marLeft w:val="360"/>
          <w:marRight w:val="0"/>
          <w:marTop w:val="200"/>
          <w:marBottom w:val="0"/>
          <w:divBdr>
            <w:top w:val="none" w:sz="0" w:space="0" w:color="auto"/>
            <w:left w:val="none" w:sz="0" w:space="0" w:color="auto"/>
            <w:bottom w:val="none" w:sz="0" w:space="0" w:color="auto"/>
            <w:right w:val="none" w:sz="0" w:space="0" w:color="auto"/>
          </w:divBdr>
        </w:div>
        <w:div w:id="99565505">
          <w:marLeft w:val="1080"/>
          <w:marRight w:val="0"/>
          <w:marTop w:val="100"/>
          <w:marBottom w:val="0"/>
          <w:divBdr>
            <w:top w:val="none" w:sz="0" w:space="0" w:color="auto"/>
            <w:left w:val="none" w:sz="0" w:space="0" w:color="auto"/>
            <w:bottom w:val="none" w:sz="0" w:space="0" w:color="auto"/>
            <w:right w:val="none" w:sz="0" w:space="0" w:color="auto"/>
          </w:divBdr>
        </w:div>
        <w:div w:id="1754011518">
          <w:marLeft w:val="1800"/>
          <w:marRight w:val="0"/>
          <w:marTop w:val="100"/>
          <w:marBottom w:val="0"/>
          <w:divBdr>
            <w:top w:val="none" w:sz="0" w:space="0" w:color="auto"/>
            <w:left w:val="none" w:sz="0" w:space="0" w:color="auto"/>
            <w:bottom w:val="none" w:sz="0" w:space="0" w:color="auto"/>
            <w:right w:val="none" w:sz="0" w:space="0" w:color="auto"/>
          </w:divBdr>
        </w:div>
        <w:div w:id="1410035273">
          <w:marLeft w:val="1800"/>
          <w:marRight w:val="0"/>
          <w:marTop w:val="100"/>
          <w:marBottom w:val="0"/>
          <w:divBdr>
            <w:top w:val="none" w:sz="0" w:space="0" w:color="auto"/>
            <w:left w:val="none" w:sz="0" w:space="0" w:color="auto"/>
            <w:bottom w:val="none" w:sz="0" w:space="0" w:color="auto"/>
            <w:right w:val="none" w:sz="0" w:space="0" w:color="auto"/>
          </w:divBdr>
        </w:div>
        <w:div w:id="406268087">
          <w:marLeft w:val="2520"/>
          <w:marRight w:val="0"/>
          <w:marTop w:val="100"/>
          <w:marBottom w:val="0"/>
          <w:divBdr>
            <w:top w:val="none" w:sz="0" w:space="0" w:color="auto"/>
            <w:left w:val="none" w:sz="0" w:space="0" w:color="auto"/>
            <w:bottom w:val="none" w:sz="0" w:space="0" w:color="auto"/>
            <w:right w:val="none" w:sz="0" w:space="0" w:color="auto"/>
          </w:divBdr>
        </w:div>
        <w:div w:id="1878621696">
          <w:marLeft w:val="360"/>
          <w:marRight w:val="0"/>
          <w:marTop w:val="200"/>
          <w:marBottom w:val="0"/>
          <w:divBdr>
            <w:top w:val="none" w:sz="0" w:space="0" w:color="auto"/>
            <w:left w:val="none" w:sz="0" w:space="0" w:color="auto"/>
            <w:bottom w:val="none" w:sz="0" w:space="0" w:color="auto"/>
            <w:right w:val="none" w:sz="0" w:space="0" w:color="auto"/>
          </w:divBdr>
        </w:div>
        <w:div w:id="1017007241">
          <w:marLeft w:val="1080"/>
          <w:marRight w:val="0"/>
          <w:marTop w:val="100"/>
          <w:marBottom w:val="0"/>
          <w:divBdr>
            <w:top w:val="none" w:sz="0" w:space="0" w:color="auto"/>
            <w:left w:val="none" w:sz="0" w:space="0" w:color="auto"/>
            <w:bottom w:val="none" w:sz="0" w:space="0" w:color="auto"/>
            <w:right w:val="none" w:sz="0" w:space="0" w:color="auto"/>
          </w:divBdr>
        </w:div>
        <w:div w:id="1631017339">
          <w:marLeft w:val="1080"/>
          <w:marRight w:val="0"/>
          <w:marTop w:val="100"/>
          <w:marBottom w:val="0"/>
          <w:divBdr>
            <w:top w:val="none" w:sz="0" w:space="0" w:color="auto"/>
            <w:left w:val="none" w:sz="0" w:space="0" w:color="auto"/>
            <w:bottom w:val="none" w:sz="0" w:space="0" w:color="auto"/>
            <w:right w:val="none" w:sz="0" w:space="0" w:color="auto"/>
          </w:divBdr>
        </w:div>
        <w:div w:id="1743020102">
          <w:marLeft w:val="1800"/>
          <w:marRight w:val="0"/>
          <w:marTop w:val="100"/>
          <w:marBottom w:val="0"/>
          <w:divBdr>
            <w:top w:val="none" w:sz="0" w:space="0" w:color="auto"/>
            <w:left w:val="none" w:sz="0" w:space="0" w:color="auto"/>
            <w:bottom w:val="none" w:sz="0" w:space="0" w:color="auto"/>
            <w:right w:val="none" w:sz="0" w:space="0" w:color="auto"/>
          </w:divBdr>
        </w:div>
        <w:div w:id="300313189">
          <w:marLeft w:val="1800"/>
          <w:marRight w:val="0"/>
          <w:marTop w:val="100"/>
          <w:marBottom w:val="0"/>
          <w:divBdr>
            <w:top w:val="none" w:sz="0" w:space="0" w:color="auto"/>
            <w:left w:val="none" w:sz="0" w:space="0" w:color="auto"/>
            <w:bottom w:val="none" w:sz="0" w:space="0" w:color="auto"/>
            <w:right w:val="none" w:sz="0" w:space="0" w:color="auto"/>
          </w:divBdr>
        </w:div>
        <w:div w:id="1762482122">
          <w:marLeft w:val="1080"/>
          <w:marRight w:val="0"/>
          <w:marTop w:val="100"/>
          <w:marBottom w:val="0"/>
          <w:divBdr>
            <w:top w:val="none" w:sz="0" w:space="0" w:color="auto"/>
            <w:left w:val="none" w:sz="0" w:space="0" w:color="auto"/>
            <w:bottom w:val="none" w:sz="0" w:space="0" w:color="auto"/>
            <w:right w:val="none" w:sz="0" w:space="0" w:color="auto"/>
          </w:divBdr>
        </w:div>
        <w:div w:id="2074084313">
          <w:marLeft w:val="360"/>
          <w:marRight w:val="0"/>
          <w:marTop w:val="200"/>
          <w:marBottom w:val="0"/>
          <w:divBdr>
            <w:top w:val="none" w:sz="0" w:space="0" w:color="auto"/>
            <w:left w:val="none" w:sz="0" w:space="0" w:color="auto"/>
            <w:bottom w:val="none" w:sz="0" w:space="0" w:color="auto"/>
            <w:right w:val="none" w:sz="0" w:space="0" w:color="auto"/>
          </w:divBdr>
        </w:div>
        <w:div w:id="258369518">
          <w:marLeft w:val="1080"/>
          <w:marRight w:val="0"/>
          <w:marTop w:val="100"/>
          <w:marBottom w:val="0"/>
          <w:divBdr>
            <w:top w:val="none" w:sz="0" w:space="0" w:color="auto"/>
            <w:left w:val="none" w:sz="0" w:space="0" w:color="auto"/>
            <w:bottom w:val="none" w:sz="0" w:space="0" w:color="auto"/>
            <w:right w:val="none" w:sz="0" w:space="0" w:color="auto"/>
          </w:divBdr>
        </w:div>
        <w:div w:id="1418821475">
          <w:marLeft w:val="1800"/>
          <w:marRight w:val="0"/>
          <w:marTop w:val="100"/>
          <w:marBottom w:val="0"/>
          <w:divBdr>
            <w:top w:val="none" w:sz="0" w:space="0" w:color="auto"/>
            <w:left w:val="none" w:sz="0" w:space="0" w:color="auto"/>
            <w:bottom w:val="none" w:sz="0" w:space="0" w:color="auto"/>
            <w:right w:val="none" w:sz="0" w:space="0" w:color="auto"/>
          </w:divBdr>
        </w:div>
        <w:div w:id="877819594">
          <w:marLeft w:val="1800"/>
          <w:marRight w:val="0"/>
          <w:marTop w:val="100"/>
          <w:marBottom w:val="0"/>
          <w:divBdr>
            <w:top w:val="none" w:sz="0" w:space="0" w:color="auto"/>
            <w:left w:val="none" w:sz="0" w:space="0" w:color="auto"/>
            <w:bottom w:val="none" w:sz="0" w:space="0" w:color="auto"/>
            <w:right w:val="none" w:sz="0" w:space="0" w:color="auto"/>
          </w:divBdr>
        </w:div>
        <w:div w:id="1909999202">
          <w:marLeft w:val="1080"/>
          <w:marRight w:val="0"/>
          <w:marTop w:val="100"/>
          <w:marBottom w:val="0"/>
          <w:divBdr>
            <w:top w:val="none" w:sz="0" w:space="0" w:color="auto"/>
            <w:left w:val="none" w:sz="0" w:space="0" w:color="auto"/>
            <w:bottom w:val="none" w:sz="0" w:space="0" w:color="auto"/>
            <w:right w:val="none" w:sz="0" w:space="0" w:color="auto"/>
          </w:divBdr>
        </w:div>
        <w:div w:id="318340536">
          <w:marLeft w:val="360"/>
          <w:marRight w:val="0"/>
          <w:marTop w:val="200"/>
          <w:marBottom w:val="0"/>
          <w:divBdr>
            <w:top w:val="none" w:sz="0" w:space="0" w:color="auto"/>
            <w:left w:val="none" w:sz="0" w:space="0" w:color="auto"/>
            <w:bottom w:val="none" w:sz="0" w:space="0" w:color="auto"/>
            <w:right w:val="none" w:sz="0" w:space="0" w:color="auto"/>
          </w:divBdr>
        </w:div>
        <w:div w:id="112067425">
          <w:marLeft w:val="1080"/>
          <w:marRight w:val="0"/>
          <w:marTop w:val="100"/>
          <w:marBottom w:val="0"/>
          <w:divBdr>
            <w:top w:val="none" w:sz="0" w:space="0" w:color="auto"/>
            <w:left w:val="none" w:sz="0" w:space="0" w:color="auto"/>
            <w:bottom w:val="none" w:sz="0" w:space="0" w:color="auto"/>
            <w:right w:val="none" w:sz="0" w:space="0" w:color="auto"/>
          </w:divBdr>
        </w:div>
        <w:div w:id="912272924">
          <w:marLeft w:val="1080"/>
          <w:marRight w:val="0"/>
          <w:marTop w:val="1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630</TotalTime>
  <Pages>1</Pages>
  <Words>842</Words>
  <Characters>4800</Characters>
  <Application>Microsoft Office Word</Application>
  <DocSecurity>0</DocSecurity>
  <Lines>40</Lines>
  <Paragraphs>11</Paragraphs>
  <ScaleCrop>false</ScaleCrop>
  <Company>HUAWEI</Company>
  <LinksUpToDate>false</LinksUpToDate>
  <CharactersWithSpaces>5631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46</cp:revision>
  <dcterms:created xsi:type="dcterms:W3CDTF">2019-09-18T02:52:00Z</dcterms:created>
  <dcterms:modified xsi:type="dcterms:W3CDTF">2020-02-14T16:47:00Z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(3)a/VFNzL8x//cRmYLmrcs2TyI/RJ9H/8oOOoZergaBk5G5ZruKJrr2vzlVd7z8/XoBgPDraKo
5oqacaF8IUZuRsrwH+rV6mq6sGJ44B80f8tcFXqxOEgQB1KpxyuFzGg4x1MYaFW6GE9FYaQL
HTXMztjJVO90x7Xn4jLlAg7+AgJVnkeZcx53WNYJM9SlOxi47Jgd2tgt1RBKVQm2rBcRg9e4
W7dfUYF9+sIyjm3Oxe</vt:lpwstr>
  </property>
  <property fmtid="{D5CDD505-2E9C-101B-9397-08002B2CF9AE}" pid="3" name="_2015_ms_pID_7253431">
    <vt:lpwstr>/tolSNtXBBJgsfjIcS/GKyPuzEjUqoawvo4OioI+K6JrPeWtAbJUZp
j7hLcoRkVGqUcPxD2WirO+f1iWGqNnrXiNAOcCSmdjqLfhGMiYekC+Q209ltJ15mCLnoggzN
gofMHH0krHD5HTYQrVryXfvyxfuJOPN3vs7Z7wkrDvqCh/rlnab8GDM2FGbcUs1tJ8xNH5yc
AZz+VJWbASvQMTfaWG/CnXMsQb8WRXMT7n+G</vt:lpwstr>
  </property>
  <property fmtid="{D5CDD505-2E9C-101B-9397-08002B2CF9AE}" pid="4" name="_2015_ms_pID_7253432">
    <vt:lpwstr>1WRUqY+MHgu1vAuSK2ngRps=</vt:lpwstr>
  </property>
</Properties>
</file>