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87657" w:rsidRPr="00C87657" w:rsidRDefault="00C87657" w:rsidP="00C87657">
      <w:pPr>
        <w:pStyle w:val="a3"/>
        <w:rPr>
          <w:rFonts w:cs="Arial"/>
          <w:noProof w:val="0"/>
          <w:sz w:val="24"/>
          <w:szCs w:val="24"/>
        </w:rPr>
      </w:pPr>
      <w:r w:rsidRPr="00C87657">
        <w:rPr>
          <w:rFonts w:cs="Arial"/>
          <w:noProof w:val="0"/>
          <w:sz w:val="24"/>
          <w:szCs w:val="24"/>
        </w:rPr>
        <w:t xml:space="preserve">3GPP RAN WG4 Meeting #94-e          </w:t>
      </w:r>
      <w:r w:rsidR="00A9515F">
        <w:rPr>
          <w:rFonts w:cs="Arial"/>
          <w:noProof w:val="0"/>
          <w:sz w:val="24"/>
          <w:szCs w:val="24"/>
        </w:rPr>
        <w:t xml:space="preserve">                          </w:t>
      </w:r>
      <w:r w:rsidRPr="00C87657">
        <w:rPr>
          <w:rFonts w:cs="Arial"/>
          <w:noProof w:val="0"/>
          <w:sz w:val="24"/>
          <w:szCs w:val="24"/>
        </w:rPr>
        <w:t xml:space="preserve"> </w:t>
      </w:r>
      <w:r w:rsidR="00A9515F" w:rsidRPr="00A9515F">
        <w:rPr>
          <w:rFonts w:cs="Arial"/>
          <w:noProof w:val="0"/>
          <w:sz w:val="24"/>
          <w:szCs w:val="24"/>
        </w:rPr>
        <w:t>R4-2001552</w:t>
      </w:r>
      <w:r w:rsidRPr="00C87657">
        <w:rPr>
          <w:rFonts w:cs="Arial"/>
          <w:noProof w:val="0"/>
          <w:sz w:val="24"/>
          <w:szCs w:val="24"/>
        </w:rPr>
        <w:t xml:space="preserve">                                         </w:t>
      </w:r>
    </w:p>
    <w:p w:rsidR="00DF0231" w:rsidRPr="00C87657" w:rsidRDefault="00C87657" w:rsidP="00C87657">
      <w:pPr>
        <w:pStyle w:val="a3"/>
        <w:rPr>
          <w:noProof w:val="0"/>
          <w:lang w:val="en-GB"/>
        </w:rPr>
      </w:pPr>
      <w:r w:rsidRPr="00C87657">
        <w:rPr>
          <w:rFonts w:cs="Arial"/>
          <w:noProof w:val="0"/>
          <w:sz w:val="24"/>
          <w:szCs w:val="24"/>
        </w:rPr>
        <w:t>Online, 24th February – 6th March 2020</w:t>
      </w:r>
    </w:p>
    <w:p w:rsidR="00DF0231" w:rsidRPr="002D2977" w:rsidRDefault="00DF0231" w:rsidP="00DF0231">
      <w:pPr>
        <w:pStyle w:val="a4"/>
        <w:rPr>
          <w:noProof w:val="0"/>
        </w:rPr>
      </w:pPr>
    </w:p>
    <w:p w:rsidR="00DF0231" w:rsidRPr="002D2977" w:rsidRDefault="00DF0231" w:rsidP="00DF0231">
      <w:pPr>
        <w:tabs>
          <w:tab w:val="left" w:pos="1985"/>
        </w:tabs>
        <w:rPr>
          <w:rFonts w:ascii="Arial" w:hAnsi="Arial"/>
          <w:sz w:val="24"/>
          <w:lang w:val="en-US"/>
        </w:rPr>
      </w:pPr>
      <w:r w:rsidRPr="002D2977">
        <w:rPr>
          <w:rFonts w:ascii="Arial" w:hAnsi="Arial"/>
          <w:b/>
          <w:sz w:val="24"/>
          <w:lang w:val="en-US"/>
        </w:rPr>
        <w:t>Agenda item:</w:t>
      </w:r>
      <w:r w:rsidRPr="002D2977">
        <w:rPr>
          <w:rFonts w:ascii="Arial" w:hAnsi="Arial"/>
          <w:sz w:val="24"/>
          <w:lang w:val="en-US"/>
        </w:rPr>
        <w:tab/>
      </w:r>
      <w:r w:rsidR="00C87657">
        <w:rPr>
          <w:rFonts w:ascii="Arial" w:hAnsi="Arial"/>
          <w:sz w:val="24"/>
          <w:lang w:val="en-US"/>
        </w:rPr>
        <w:t>7.11.3.3</w:t>
      </w:r>
    </w:p>
    <w:p w:rsidR="00DF0231" w:rsidRPr="002D2977" w:rsidRDefault="00DF0231" w:rsidP="00DF0231">
      <w:pPr>
        <w:tabs>
          <w:tab w:val="left" w:pos="1985"/>
        </w:tabs>
        <w:rPr>
          <w:rFonts w:ascii="Arial" w:hAnsi="Arial"/>
          <w:sz w:val="24"/>
          <w:lang w:val="en-US"/>
        </w:rPr>
      </w:pPr>
      <w:r w:rsidRPr="002D2977">
        <w:rPr>
          <w:rFonts w:ascii="Arial" w:hAnsi="Arial"/>
          <w:b/>
          <w:sz w:val="24"/>
          <w:lang w:val="en-US"/>
        </w:rPr>
        <w:t xml:space="preserve">Source: </w:t>
      </w:r>
      <w:r w:rsidRPr="002D2977">
        <w:rPr>
          <w:rFonts w:ascii="Arial" w:hAnsi="Arial"/>
          <w:b/>
          <w:sz w:val="24"/>
          <w:lang w:val="en-US"/>
        </w:rPr>
        <w:tab/>
      </w:r>
      <w:r w:rsidRPr="00FA7F1A">
        <w:rPr>
          <w:rFonts w:ascii="Arial" w:hAnsi="Arial"/>
          <w:sz w:val="24"/>
          <w:lang w:val="en-US"/>
        </w:rPr>
        <w:t>Huawei, HiSilicon</w:t>
      </w:r>
    </w:p>
    <w:p w:rsidR="00DF0231" w:rsidRPr="002D2977" w:rsidRDefault="00DF0231" w:rsidP="00AF3732">
      <w:pPr>
        <w:tabs>
          <w:tab w:val="left" w:pos="1985"/>
        </w:tabs>
        <w:ind w:left="1980" w:hanging="1980"/>
        <w:rPr>
          <w:rFonts w:ascii="Arial" w:hAnsi="Arial"/>
          <w:sz w:val="24"/>
          <w:lang w:val="en-US"/>
        </w:rPr>
      </w:pPr>
      <w:r w:rsidRPr="002D2977">
        <w:rPr>
          <w:rFonts w:ascii="Arial" w:hAnsi="Arial"/>
          <w:b/>
          <w:sz w:val="24"/>
          <w:lang w:val="en-US"/>
        </w:rPr>
        <w:t>Title:</w:t>
      </w:r>
      <w:r w:rsidRPr="002D2977">
        <w:rPr>
          <w:rFonts w:ascii="Arial" w:hAnsi="Arial"/>
          <w:sz w:val="24"/>
          <w:lang w:val="en-US"/>
        </w:rPr>
        <w:t xml:space="preserve"> </w:t>
      </w:r>
      <w:r w:rsidRPr="002D2977">
        <w:rPr>
          <w:rFonts w:ascii="Arial" w:hAnsi="Arial"/>
          <w:sz w:val="24"/>
          <w:lang w:val="en-US"/>
        </w:rPr>
        <w:tab/>
      </w:r>
      <w:r w:rsidR="00861C19">
        <w:rPr>
          <w:rFonts w:ascii="Arial" w:hAnsi="Arial" w:cs="Arial"/>
          <w:sz w:val="24"/>
          <w:lang w:val="en-US" w:eastAsia="zh-CN"/>
        </w:rPr>
        <w:t>Discussion on the non-anchor RRM measurement requirements</w:t>
      </w:r>
      <w:r w:rsidR="00681BAE">
        <w:rPr>
          <w:rFonts w:ascii="Arial" w:hAnsi="Arial" w:cs="Arial"/>
          <w:sz w:val="24"/>
          <w:lang w:val="en-US" w:eastAsia="zh-CN"/>
        </w:rPr>
        <w:t xml:space="preserve"> </w:t>
      </w:r>
      <w:r w:rsidR="00681BAE" w:rsidRPr="00681BAE">
        <w:rPr>
          <w:rFonts w:ascii="Arial" w:hAnsi="Arial" w:cs="Arial"/>
          <w:sz w:val="24"/>
          <w:lang w:val="en-US" w:eastAsia="zh-CN"/>
        </w:rPr>
        <w:t>Rel-16 NB IoT</w:t>
      </w:r>
    </w:p>
    <w:p w:rsidR="00DF0231" w:rsidRPr="002D2977" w:rsidRDefault="00DF0231" w:rsidP="00DF0231">
      <w:pPr>
        <w:tabs>
          <w:tab w:val="left" w:pos="1985"/>
        </w:tabs>
        <w:ind w:left="1980" w:hanging="1980"/>
        <w:rPr>
          <w:rFonts w:ascii="Arial" w:hAnsi="Arial"/>
          <w:sz w:val="24"/>
          <w:lang w:val="en-US"/>
        </w:rPr>
      </w:pPr>
      <w:r w:rsidRPr="002D2977">
        <w:rPr>
          <w:rFonts w:ascii="Arial" w:hAnsi="Arial"/>
          <w:b/>
          <w:sz w:val="24"/>
          <w:lang w:val="en-US"/>
        </w:rPr>
        <w:t>Document for:</w:t>
      </w:r>
      <w:r w:rsidRPr="002D2977">
        <w:rPr>
          <w:rFonts w:ascii="Arial" w:hAnsi="Arial"/>
          <w:sz w:val="24"/>
          <w:lang w:val="en-US"/>
        </w:rPr>
        <w:tab/>
        <w:t>Discussion</w:t>
      </w:r>
    </w:p>
    <w:p w:rsidR="00DF0231" w:rsidRPr="002D2977" w:rsidRDefault="00DF0231" w:rsidP="00DF0231">
      <w:pPr>
        <w:pStyle w:val="1"/>
        <w:numPr>
          <w:ilvl w:val="0"/>
          <w:numId w:val="1"/>
        </w:numPr>
        <w:rPr>
          <w:lang w:val="en-US"/>
        </w:rPr>
      </w:pPr>
      <w:r w:rsidRPr="002D2977">
        <w:rPr>
          <w:lang w:val="en-US"/>
        </w:rPr>
        <w:t>Introduction</w:t>
      </w:r>
    </w:p>
    <w:p w:rsidR="00861C19" w:rsidRDefault="00DF0231" w:rsidP="00DF0231">
      <w:pPr>
        <w:rPr>
          <w:rFonts w:eastAsiaTheme="minorEastAsia"/>
          <w:lang w:val="en-US" w:eastAsia="zh-CN"/>
        </w:rPr>
      </w:pPr>
      <w:r w:rsidRPr="002D2977">
        <w:rPr>
          <w:rFonts w:eastAsiaTheme="minorEastAsia"/>
          <w:lang w:val="en-US" w:eastAsia="zh-CN"/>
        </w:rPr>
        <w:t>In last meeting RAN4 9</w:t>
      </w:r>
      <w:r w:rsidR="008308EA">
        <w:rPr>
          <w:rFonts w:eastAsiaTheme="minorEastAsia"/>
          <w:lang w:val="en-US" w:eastAsia="zh-CN"/>
        </w:rPr>
        <w:t>3</w:t>
      </w:r>
      <w:r w:rsidRPr="002D2977">
        <w:rPr>
          <w:rFonts w:eastAsiaTheme="minorEastAsia"/>
          <w:lang w:val="en-US" w:eastAsia="zh-CN"/>
        </w:rPr>
        <w:t xml:space="preserve">, </w:t>
      </w:r>
      <w:r w:rsidR="00861C19">
        <w:rPr>
          <w:lang w:eastAsia="zh-CN"/>
        </w:rPr>
        <w:t>the RRM measurement on the non-anchor carriers for R16 NB-</w:t>
      </w:r>
      <w:proofErr w:type="spellStart"/>
      <w:r w:rsidR="00861C19">
        <w:rPr>
          <w:lang w:eastAsia="zh-CN"/>
        </w:rPr>
        <w:t>IoT</w:t>
      </w:r>
      <w:proofErr w:type="spellEnd"/>
      <w:r w:rsidR="00861C19">
        <w:rPr>
          <w:lang w:eastAsia="zh-CN"/>
        </w:rPr>
        <w:t xml:space="preserve"> enhancements are discussed, and a way forward was agreed in [1].</w:t>
      </w:r>
    </w:p>
    <w:p w:rsidR="00861C19" w:rsidRDefault="00DF0231" w:rsidP="00DF0231">
      <w:pPr>
        <w:rPr>
          <w:rFonts w:eastAsiaTheme="minorEastAsia"/>
          <w:lang w:val="en-US" w:eastAsia="zh-CN"/>
        </w:rPr>
      </w:pPr>
      <w:r w:rsidRPr="002D2977">
        <w:rPr>
          <w:rFonts w:eastAsiaTheme="minorEastAsia"/>
          <w:lang w:val="en-US" w:eastAsia="zh-CN"/>
        </w:rPr>
        <w:t xml:space="preserve">In this paper, we discuss the </w:t>
      </w:r>
      <w:r w:rsidR="00861C19">
        <w:rPr>
          <w:rFonts w:eastAsiaTheme="minorEastAsia"/>
          <w:lang w:val="en-US" w:eastAsia="zh-CN"/>
        </w:rPr>
        <w:t xml:space="preserve">remaining issues of RRM measurement on the non-anchor carriers. </w:t>
      </w:r>
      <w:r w:rsidR="00861C19">
        <w:rPr>
          <w:rFonts w:eastAsia="宋体"/>
          <w:lang w:eastAsia="zh-CN"/>
        </w:rPr>
        <w:t>A parallel CR is to implement the requirements for NRS based RRM measurement on non-anchor carriers in [2], along with the previous agreements.</w:t>
      </w:r>
    </w:p>
    <w:p w:rsidR="00DF0231" w:rsidRPr="002D2977" w:rsidRDefault="00DF0231" w:rsidP="00DF0231">
      <w:pPr>
        <w:pStyle w:val="1"/>
        <w:numPr>
          <w:ilvl w:val="0"/>
          <w:numId w:val="1"/>
        </w:numPr>
        <w:rPr>
          <w:lang w:val="en-US"/>
        </w:rPr>
      </w:pPr>
      <w:r w:rsidRPr="002D2977">
        <w:rPr>
          <w:lang w:val="en-US"/>
        </w:rPr>
        <w:t>Discussion</w:t>
      </w:r>
    </w:p>
    <w:p w:rsidR="005A39D5" w:rsidRDefault="00FA74CB" w:rsidP="001E0FCF">
      <w:pPr>
        <w:rPr>
          <w:rFonts w:eastAsia="宋体"/>
          <w:lang w:val="en-US" w:eastAsia="zh-CN"/>
        </w:rPr>
      </w:pPr>
      <w:r>
        <w:rPr>
          <w:rFonts w:eastAsia="宋体"/>
          <w:lang w:val="en-US" w:eastAsia="zh-CN"/>
        </w:rPr>
        <w:t>We have introduced the NRS on the non-anchor carrier, the main benefit from RAN4 perspective is that the UE can utilize the NRS for serving cell RRM measurement on the non-anchor carrier, when the following conditions are met:</w:t>
      </w:r>
    </w:p>
    <w:tbl>
      <w:tblPr>
        <w:tblStyle w:val="a7"/>
        <w:tblW w:w="0" w:type="auto"/>
        <w:tblLook w:val="04A0" w:firstRow="1" w:lastRow="0" w:firstColumn="1" w:lastColumn="0" w:noHBand="0" w:noVBand="1"/>
      </w:tblPr>
      <w:tblGrid>
        <w:gridCol w:w="9562"/>
      </w:tblGrid>
      <w:tr w:rsidR="00FA74CB" w:rsidTr="00FA74CB">
        <w:tc>
          <w:tcPr>
            <w:tcW w:w="9562" w:type="dxa"/>
          </w:tcPr>
          <w:p w:rsidR="000C48E0" w:rsidRPr="00FA74CB" w:rsidRDefault="00D44477" w:rsidP="00FA74CB">
            <w:pPr>
              <w:pStyle w:val="a6"/>
              <w:numPr>
                <w:ilvl w:val="0"/>
                <w:numId w:val="6"/>
              </w:numPr>
              <w:ind w:firstLineChars="0"/>
              <w:rPr>
                <w:rFonts w:eastAsiaTheme="minorEastAsia" w:cs="v4.2.0"/>
                <w:lang w:val="en-US" w:eastAsia="zh-CN"/>
              </w:rPr>
            </w:pPr>
            <w:r w:rsidRPr="00FA74CB">
              <w:rPr>
                <w:rFonts w:eastAsiaTheme="minorEastAsia" w:cs="v4.2.0"/>
                <w:lang w:eastAsia="zh-CN"/>
              </w:rPr>
              <w:t>the relaxed cell monitoring criteria defined in TS 36.306 are met, and</w:t>
            </w:r>
          </w:p>
          <w:p w:rsidR="000C48E0" w:rsidRPr="00FA74CB" w:rsidRDefault="00D44477" w:rsidP="00FA74CB">
            <w:pPr>
              <w:pStyle w:val="a6"/>
              <w:numPr>
                <w:ilvl w:val="0"/>
                <w:numId w:val="6"/>
              </w:numPr>
              <w:ind w:firstLineChars="0"/>
              <w:rPr>
                <w:rFonts w:eastAsiaTheme="minorEastAsia" w:cs="v4.2.0"/>
                <w:lang w:val="en-US" w:eastAsia="zh-CN"/>
              </w:rPr>
            </w:pPr>
            <w:r w:rsidRPr="00FA74CB">
              <w:rPr>
                <w:rFonts w:eastAsiaTheme="minorEastAsia" w:cs="v4.2.0"/>
                <w:lang w:eastAsia="zh-CN"/>
              </w:rPr>
              <w:t>transmit power difference of the signals/channels between anchor- and non-anchor carriers is known to the UE, and</w:t>
            </w:r>
          </w:p>
          <w:p w:rsidR="00FA74CB" w:rsidRPr="00FA74CB" w:rsidRDefault="00D44477" w:rsidP="00FA74CB">
            <w:pPr>
              <w:pStyle w:val="a6"/>
              <w:numPr>
                <w:ilvl w:val="0"/>
                <w:numId w:val="6"/>
              </w:numPr>
              <w:ind w:firstLineChars="0"/>
              <w:rPr>
                <w:rFonts w:eastAsiaTheme="minorEastAsia" w:cs="v4.2.0"/>
                <w:b/>
                <w:lang w:val="en-US" w:eastAsia="zh-CN"/>
              </w:rPr>
            </w:pPr>
            <w:r w:rsidRPr="00FA74CB">
              <w:rPr>
                <w:rFonts w:eastAsiaTheme="minorEastAsia" w:cs="v4.2.0"/>
                <w:lang w:eastAsia="zh-CN"/>
              </w:rPr>
              <w:t xml:space="preserve">UE is not configured with any positioning measurements and there are sufficient number of NRS </w:t>
            </w:r>
            <w:proofErr w:type="spellStart"/>
            <w:r w:rsidRPr="00FA74CB">
              <w:rPr>
                <w:rFonts w:eastAsiaTheme="minorEastAsia" w:cs="v4.2.0"/>
                <w:lang w:eastAsia="zh-CN"/>
              </w:rPr>
              <w:t>subframes</w:t>
            </w:r>
            <w:proofErr w:type="spellEnd"/>
            <w:r w:rsidRPr="00FA74CB">
              <w:rPr>
                <w:rFonts w:eastAsiaTheme="minorEastAsia" w:cs="v4.2.0"/>
                <w:lang w:eastAsia="zh-CN"/>
              </w:rPr>
              <w:t xml:space="preserve"> available for measurements as being discussed in RAN1</w:t>
            </w:r>
          </w:p>
        </w:tc>
      </w:tr>
    </w:tbl>
    <w:p w:rsidR="00FA74CB" w:rsidRDefault="00FA74CB" w:rsidP="001E0FCF">
      <w:pPr>
        <w:rPr>
          <w:rFonts w:eastAsiaTheme="minorEastAsia" w:cs="v4.2.0"/>
          <w:b/>
          <w:lang w:val="x-none" w:eastAsia="zh-CN"/>
        </w:rPr>
      </w:pPr>
    </w:p>
    <w:p w:rsidR="008308EA" w:rsidRDefault="008308EA" w:rsidP="001E0FCF">
      <w:pPr>
        <w:rPr>
          <w:rFonts w:eastAsiaTheme="minorEastAsia" w:cs="v4.2.0"/>
          <w:lang w:val="x-none" w:eastAsia="zh-CN"/>
        </w:rPr>
      </w:pPr>
      <w:r>
        <w:rPr>
          <w:rFonts w:eastAsiaTheme="minorEastAsia" w:cs="v4.2.0"/>
          <w:lang w:val="x-none" w:eastAsia="zh-CN"/>
        </w:rPr>
        <w:t>Based on the discussion during previous meetings, a remaining issues is the feasibility of conducing measurement in non-sparse PO scenarios. According to RAN1 agreements</w:t>
      </w:r>
      <w:r w:rsidR="00966E4A">
        <w:rPr>
          <w:rFonts w:eastAsiaTheme="minorEastAsia" w:cs="v4.2.0"/>
          <w:lang w:val="x-none" w:eastAsia="zh-CN"/>
        </w:rPr>
        <w:t>, the distribution of NRS is related to the density of PO. In non-sparse PO scenarios (</w:t>
      </w:r>
      <w:proofErr w:type="spellStart"/>
      <w:r w:rsidR="00966E4A">
        <w:rPr>
          <w:rFonts w:eastAsiaTheme="minorEastAsia" w:cs="v4.2.0"/>
          <w:lang w:val="x-none" w:eastAsia="zh-CN"/>
        </w:rPr>
        <w:t>nB</w:t>
      </w:r>
      <w:proofErr w:type="spellEnd"/>
      <w:r w:rsidR="00966E4A">
        <w:rPr>
          <w:rFonts w:eastAsiaTheme="minorEastAsia" w:cs="v4.2.0"/>
          <w:lang w:val="x-none" w:eastAsia="zh-CN"/>
        </w:rPr>
        <w:t>&gt;T/2), the number consecutive NRS before a PO is less than 10, which is for the sparse PO case. Thus, whether it is feasible for UE to conduct serving cell measurement on non-anchor carrier in non-sparse PO case is still under discussion, and potential solutions were captured in the WF [1] in RAN4#93 meeting as follows:</w:t>
      </w:r>
    </w:p>
    <w:p w:rsidR="00E01D88" w:rsidRDefault="00E01D88" w:rsidP="001E0FCF">
      <w:pPr>
        <w:rPr>
          <w:rFonts w:eastAsiaTheme="minorEastAsia" w:cs="v4.2.0"/>
          <w:lang w:val="x-none" w:eastAsia="zh-CN"/>
        </w:rPr>
      </w:pPr>
    </w:p>
    <w:tbl>
      <w:tblPr>
        <w:tblStyle w:val="a7"/>
        <w:tblW w:w="0" w:type="auto"/>
        <w:tblLook w:val="04A0" w:firstRow="1" w:lastRow="0" w:firstColumn="1" w:lastColumn="0" w:noHBand="0" w:noVBand="1"/>
      </w:tblPr>
      <w:tblGrid>
        <w:gridCol w:w="9562"/>
      </w:tblGrid>
      <w:tr w:rsidR="00966E4A" w:rsidTr="00966E4A">
        <w:tc>
          <w:tcPr>
            <w:tcW w:w="9562" w:type="dxa"/>
          </w:tcPr>
          <w:p w:rsidR="00D07837" w:rsidRPr="00966E4A" w:rsidRDefault="00D07837" w:rsidP="00966E4A">
            <w:pPr>
              <w:numPr>
                <w:ilvl w:val="0"/>
                <w:numId w:val="8"/>
              </w:numPr>
              <w:rPr>
                <w:rFonts w:eastAsiaTheme="minorEastAsia" w:cs="v4.2.0"/>
                <w:lang w:val="en-US" w:eastAsia="zh-CN"/>
              </w:rPr>
            </w:pPr>
            <w:r w:rsidRPr="00966E4A">
              <w:rPr>
                <w:rFonts w:eastAsiaTheme="minorEastAsia" w:cs="v4.2.0"/>
                <w:lang w:val="en-US" w:eastAsia="zh-CN"/>
              </w:rPr>
              <w:t>FFS the feasibility of NRSRP measurements in non-sparse PO case (</w:t>
            </w:r>
            <w:proofErr w:type="spellStart"/>
            <w:r w:rsidRPr="00966E4A">
              <w:rPr>
                <w:rFonts w:eastAsiaTheme="minorEastAsia" w:cs="v4.2.0"/>
                <w:lang w:val="en-US" w:eastAsia="zh-CN"/>
              </w:rPr>
              <w:t>nB</w:t>
            </w:r>
            <w:proofErr w:type="spellEnd"/>
            <w:r w:rsidRPr="00966E4A">
              <w:rPr>
                <w:rFonts w:eastAsiaTheme="minorEastAsia" w:cs="v4.2.0"/>
                <w:lang w:val="en-US" w:eastAsia="zh-CN"/>
              </w:rPr>
              <w:t>&lt;T/2)</w:t>
            </w:r>
          </w:p>
          <w:p w:rsidR="00D07837" w:rsidRPr="00966E4A" w:rsidRDefault="00D07837" w:rsidP="00966E4A">
            <w:pPr>
              <w:numPr>
                <w:ilvl w:val="1"/>
                <w:numId w:val="8"/>
              </w:numPr>
              <w:rPr>
                <w:rFonts w:eastAsiaTheme="minorEastAsia" w:cs="v4.2.0"/>
                <w:lang w:val="en-US" w:eastAsia="zh-CN"/>
              </w:rPr>
            </w:pPr>
            <w:r w:rsidRPr="00966E4A">
              <w:rPr>
                <w:rFonts w:eastAsiaTheme="minorEastAsia" w:cs="v4.2.0"/>
                <w:lang w:val="en-US" w:eastAsia="zh-CN"/>
              </w:rPr>
              <w:t>Option 1: disallow RRM measurements in non-anchor carrier.</w:t>
            </w:r>
          </w:p>
          <w:p w:rsidR="00D07837" w:rsidRPr="00966E4A" w:rsidRDefault="00D07837" w:rsidP="00966E4A">
            <w:pPr>
              <w:numPr>
                <w:ilvl w:val="1"/>
                <w:numId w:val="8"/>
              </w:numPr>
              <w:rPr>
                <w:rFonts w:eastAsiaTheme="minorEastAsia" w:cs="v4.2.0"/>
                <w:lang w:val="en-US" w:eastAsia="zh-CN"/>
              </w:rPr>
            </w:pPr>
            <w:r w:rsidRPr="00966E4A">
              <w:rPr>
                <w:rFonts w:eastAsiaTheme="minorEastAsia" w:cs="v4.2.0"/>
                <w:lang w:val="en-US" w:eastAsia="zh-CN"/>
              </w:rPr>
              <w:t>Option 2: NRSRP measurements are allowed but with no requirements</w:t>
            </w:r>
          </w:p>
          <w:p w:rsidR="00D07837" w:rsidRPr="00966E4A" w:rsidRDefault="00D07837" w:rsidP="00966E4A">
            <w:pPr>
              <w:numPr>
                <w:ilvl w:val="1"/>
                <w:numId w:val="8"/>
              </w:numPr>
              <w:rPr>
                <w:rFonts w:eastAsiaTheme="minorEastAsia" w:cs="v4.2.0"/>
                <w:lang w:val="en-US" w:eastAsia="zh-CN"/>
              </w:rPr>
            </w:pPr>
            <w:r w:rsidRPr="00966E4A">
              <w:rPr>
                <w:rFonts w:eastAsiaTheme="minorEastAsia" w:cs="v4.2.0"/>
                <w:lang w:val="en-US" w:eastAsia="zh-CN"/>
              </w:rPr>
              <w:t>Option 3: NRSRP measurements are allowed under some cases/conditions which are FFS.</w:t>
            </w:r>
          </w:p>
          <w:p w:rsidR="00966E4A" w:rsidRPr="00966E4A" w:rsidRDefault="00D07837" w:rsidP="001E0FCF">
            <w:pPr>
              <w:numPr>
                <w:ilvl w:val="1"/>
                <w:numId w:val="8"/>
              </w:numPr>
              <w:rPr>
                <w:rFonts w:eastAsiaTheme="minorEastAsia" w:cs="v4.2.0"/>
                <w:lang w:val="en-US" w:eastAsia="zh-CN"/>
              </w:rPr>
            </w:pPr>
            <w:r w:rsidRPr="00966E4A">
              <w:rPr>
                <w:rFonts w:eastAsiaTheme="minorEastAsia" w:cs="v4.2.0"/>
                <w:lang w:val="en-US" w:eastAsia="zh-CN"/>
              </w:rPr>
              <w:t xml:space="preserve">Other options are not excluded. </w:t>
            </w:r>
          </w:p>
        </w:tc>
      </w:tr>
    </w:tbl>
    <w:p w:rsidR="00966E4A" w:rsidRDefault="00966E4A" w:rsidP="001E0FCF">
      <w:pPr>
        <w:rPr>
          <w:rFonts w:eastAsiaTheme="minorEastAsia" w:cs="v4.2.0"/>
          <w:lang w:val="x-none" w:eastAsia="zh-CN"/>
        </w:rPr>
      </w:pPr>
    </w:p>
    <w:p w:rsidR="00966E4A" w:rsidRDefault="00D07837" w:rsidP="001E0FCF">
      <w:pPr>
        <w:rPr>
          <w:rFonts w:eastAsiaTheme="minorEastAsia" w:cs="v4.2.0"/>
          <w:lang w:val="x-none" w:eastAsia="zh-CN"/>
        </w:rPr>
      </w:pPr>
      <w:r>
        <w:rPr>
          <w:rFonts w:eastAsiaTheme="minorEastAsia" w:cs="v4.2.0"/>
          <w:lang w:val="x-none" w:eastAsia="zh-CN"/>
        </w:rPr>
        <w:t xml:space="preserve">According to RAN1 design, in dense PO scenarios, e.g. </w:t>
      </w:r>
      <w:proofErr w:type="spellStart"/>
      <w:r>
        <w:rPr>
          <w:rFonts w:eastAsiaTheme="minorEastAsia" w:cs="v4.2.0"/>
          <w:lang w:val="x-none" w:eastAsia="zh-CN"/>
        </w:rPr>
        <w:t>nB</w:t>
      </w:r>
      <w:proofErr w:type="spellEnd"/>
      <w:r>
        <w:rPr>
          <w:rFonts w:eastAsiaTheme="minorEastAsia" w:cs="v4.2.0"/>
          <w:lang w:val="x-none" w:eastAsia="zh-CN"/>
        </w:rPr>
        <w:t xml:space="preserve">=4T, there is only one NRS before every two PO. Compared with the sparse PO scenarios, where there are consecutive NRS, it will take longer time for measurement to get enough NRS samples in dense PO scenarios. </w:t>
      </w:r>
    </w:p>
    <w:p w:rsidR="00D07837" w:rsidRPr="00BD246C" w:rsidRDefault="00D07837" w:rsidP="001E0FCF">
      <w:pPr>
        <w:rPr>
          <w:rFonts w:eastAsiaTheme="minorEastAsia" w:cs="v4.2.0"/>
          <w:b/>
          <w:lang w:val="x-none" w:eastAsia="zh-CN"/>
        </w:rPr>
      </w:pPr>
      <w:r w:rsidRPr="00BD246C">
        <w:rPr>
          <w:rFonts w:eastAsiaTheme="minorEastAsia" w:cs="v4.2.0"/>
          <w:b/>
          <w:lang w:val="x-none" w:eastAsia="zh-CN"/>
        </w:rPr>
        <w:t>Observation 1 : It will take longer time for measurement to get enough NRS samples in dense PO scenarios.</w:t>
      </w:r>
    </w:p>
    <w:p w:rsidR="00430B21" w:rsidRDefault="00430B21" w:rsidP="001E0FCF">
      <w:pPr>
        <w:rPr>
          <w:rFonts w:eastAsiaTheme="minorEastAsia" w:cs="v4.2.0"/>
          <w:lang w:val="x-none" w:eastAsia="zh-CN"/>
        </w:rPr>
      </w:pPr>
      <w:r>
        <w:rPr>
          <w:rFonts w:eastAsiaTheme="minorEastAsia" w:cs="v4.2.0" w:hint="eastAsia"/>
          <w:lang w:val="x-none" w:eastAsia="zh-CN"/>
        </w:rPr>
        <w:lastRenderedPageBreak/>
        <w:t>S</w:t>
      </w:r>
      <w:r>
        <w:rPr>
          <w:rFonts w:eastAsiaTheme="minorEastAsia" w:cs="v4.2.0"/>
          <w:lang w:val="x-none" w:eastAsia="zh-CN"/>
        </w:rPr>
        <w:t>ince the serving cell measurement happens only once in each DRX cycle or once in N*DRX cycles when WUS is configured. Therefore, the accuracy and performance of serving cell measurement should be guaranteed at the first place.</w:t>
      </w:r>
      <w:r>
        <w:rPr>
          <w:rFonts w:eastAsiaTheme="minorEastAsia" w:cs="v4.2.0" w:hint="eastAsia"/>
          <w:lang w:val="x-none" w:eastAsia="zh-CN"/>
        </w:rPr>
        <w:t xml:space="preserve"> </w:t>
      </w:r>
    </w:p>
    <w:p w:rsidR="00430B21" w:rsidRPr="00BD246C" w:rsidRDefault="00430B21" w:rsidP="001E0FCF">
      <w:pPr>
        <w:rPr>
          <w:rFonts w:eastAsiaTheme="minorEastAsia" w:cs="v4.2.0"/>
          <w:b/>
          <w:lang w:val="x-none" w:eastAsia="zh-CN"/>
        </w:rPr>
      </w:pPr>
      <w:r w:rsidRPr="00BD246C">
        <w:rPr>
          <w:rFonts w:eastAsiaTheme="minorEastAsia" w:cs="v4.2.0"/>
          <w:b/>
          <w:lang w:val="x-none" w:eastAsia="zh-CN"/>
        </w:rPr>
        <w:t>Proposal</w:t>
      </w:r>
      <w:r w:rsidR="00E70AE7" w:rsidRPr="00BD246C">
        <w:rPr>
          <w:rFonts w:eastAsiaTheme="minorEastAsia" w:cs="v4.2.0"/>
          <w:b/>
          <w:lang w:val="x-none" w:eastAsia="zh-CN"/>
        </w:rPr>
        <w:t xml:space="preserve"> 1</w:t>
      </w:r>
      <w:r w:rsidRPr="00BD246C">
        <w:rPr>
          <w:rFonts w:eastAsiaTheme="minorEastAsia" w:cs="v4.2.0"/>
          <w:b/>
          <w:lang w:val="x-none" w:eastAsia="zh-CN"/>
        </w:rPr>
        <w:t>: The performance and accuracy of serving cell measurement should</w:t>
      </w:r>
      <w:r w:rsidR="00E70AE7" w:rsidRPr="00BD246C">
        <w:rPr>
          <w:rFonts w:eastAsiaTheme="minorEastAsia" w:cs="v4.2.0"/>
          <w:b/>
          <w:lang w:val="x-none" w:eastAsia="zh-CN"/>
        </w:rPr>
        <w:t xml:space="preserve"> be guaranteed whether on anchor carrier or non-anchor carrier.</w:t>
      </w:r>
    </w:p>
    <w:p w:rsidR="00E70AE7" w:rsidRDefault="00E70AE7" w:rsidP="001E0FCF">
      <w:pPr>
        <w:rPr>
          <w:rFonts w:eastAsiaTheme="minorEastAsia" w:cs="v4.2.0"/>
          <w:lang w:val="x-none" w:eastAsia="zh-CN"/>
        </w:rPr>
      </w:pPr>
      <w:r>
        <w:rPr>
          <w:rFonts w:eastAsiaTheme="minorEastAsia" w:cs="v4.2.0"/>
          <w:lang w:val="x-none" w:eastAsia="zh-CN"/>
        </w:rPr>
        <w:t xml:space="preserve">Therefore, in dense PO scenarios, UE should follow the same requirements and no relaxation is allowed. UE could switch to anchor carrier for serving cell measurement to avoid extra effort of longer measurement time to get enough NRS samples, which </w:t>
      </w:r>
      <w:r w:rsidR="001939A3">
        <w:rPr>
          <w:rFonts w:eastAsiaTheme="minorEastAsia" w:cs="v4.2.0"/>
          <w:lang w:val="x-none" w:eastAsia="zh-CN"/>
        </w:rPr>
        <w:t>should be left to UE’s implementation to decide whether to conduct serving cell measurement on anchor carrier or non-anchor carrier.</w:t>
      </w:r>
    </w:p>
    <w:p w:rsidR="001939A3" w:rsidRDefault="001939A3" w:rsidP="001E0FCF">
      <w:pPr>
        <w:rPr>
          <w:rFonts w:eastAsiaTheme="minorEastAsia" w:cs="v4.2.0"/>
          <w:lang w:val="x-none" w:eastAsia="zh-CN"/>
        </w:rPr>
      </w:pPr>
    </w:p>
    <w:p w:rsidR="001939A3" w:rsidRPr="00BD246C" w:rsidRDefault="001939A3" w:rsidP="001E0FCF">
      <w:pPr>
        <w:rPr>
          <w:rFonts w:eastAsiaTheme="minorEastAsia" w:cs="v4.2.0"/>
          <w:b/>
          <w:lang w:val="x-none" w:eastAsia="zh-CN"/>
        </w:rPr>
      </w:pPr>
      <w:r w:rsidRPr="00BD246C">
        <w:rPr>
          <w:rFonts w:eastAsiaTheme="minorEastAsia" w:cs="v4.2.0"/>
          <w:b/>
          <w:lang w:val="x-none" w:eastAsia="zh-CN"/>
        </w:rPr>
        <w:t xml:space="preserve">Proposal 2: </w:t>
      </w:r>
      <w:r w:rsidR="0033767E" w:rsidRPr="00BD246C">
        <w:rPr>
          <w:rFonts w:eastAsiaTheme="minorEastAsia" w:cs="v4.2.0"/>
          <w:b/>
          <w:lang w:val="x-none" w:eastAsia="zh-CN"/>
        </w:rPr>
        <w:t>UE should follow the same requirements no matter the NRS distribution when the serving cell measurement is conducted on non-anchor carriers.</w:t>
      </w:r>
    </w:p>
    <w:p w:rsidR="0033767E" w:rsidRPr="00BD246C" w:rsidRDefault="0033767E" w:rsidP="001E0FCF">
      <w:pPr>
        <w:rPr>
          <w:rFonts w:eastAsiaTheme="minorEastAsia" w:cs="v4.2.0"/>
          <w:b/>
          <w:lang w:val="x-none" w:eastAsia="zh-CN"/>
        </w:rPr>
      </w:pPr>
      <w:r w:rsidRPr="00BD246C">
        <w:rPr>
          <w:rFonts w:eastAsiaTheme="minorEastAsia" w:cs="v4.2.0"/>
          <w:b/>
          <w:lang w:val="x-none" w:eastAsia="zh-CN"/>
        </w:rPr>
        <w:t>Proposal 3: It is left for UE implementation on which carriers to do the measurements to achieve desired measurement accuracy.</w:t>
      </w:r>
    </w:p>
    <w:p w:rsidR="00DF6E92" w:rsidRPr="00E70AE7" w:rsidRDefault="00DF6E92" w:rsidP="00DF6E92">
      <w:pPr>
        <w:rPr>
          <w:rFonts w:eastAsia="宋体"/>
          <w:lang w:val="x-none" w:eastAsia="zh-CN"/>
        </w:rPr>
      </w:pPr>
    </w:p>
    <w:p w:rsidR="00DF0231" w:rsidRPr="002D2977" w:rsidRDefault="00DF0231" w:rsidP="00DF0231">
      <w:pPr>
        <w:pStyle w:val="1"/>
        <w:numPr>
          <w:ilvl w:val="0"/>
          <w:numId w:val="1"/>
        </w:numPr>
        <w:rPr>
          <w:lang w:val="en-US"/>
        </w:rPr>
      </w:pPr>
      <w:r w:rsidRPr="002D2977">
        <w:rPr>
          <w:lang w:val="en-US"/>
        </w:rPr>
        <w:t>Conclusions</w:t>
      </w:r>
    </w:p>
    <w:p w:rsidR="00BD246C" w:rsidRPr="00BD246C" w:rsidRDefault="00BD246C" w:rsidP="00BD246C">
      <w:pPr>
        <w:rPr>
          <w:rFonts w:eastAsiaTheme="minorEastAsia" w:cs="v4.2.0"/>
          <w:b/>
          <w:lang w:val="x-none" w:eastAsia="zh-CN"/>
        </w:rPr>
      </w:pPr>
      <w:r w:rsidRPr="00BD246C">
        <w:rPr>
          <w:rFonts w:eastAsiaTheme="minorEastAsia" w:cs="v4.2.0"/>
          <w:b/>
          <w:lang w:val="x-none" w:eastAsia="zh-CN"/>
        </w:rPr>
        <w:t>Observation 1 : It will take longer time for measurement to get enough NRS samples in dense PO scenarios.</w:t>
      </w:r>
    </w:p>
    <w:p w:rsidR="00BD246C" w:rsidRPr="00BD246C" w:rsidRDefault="00BD246C" w:rsidP="00BD246C">
      <w:pPr>
        <w:rPr>
          <w:rFonts w:eastAsiaTheme="minorEastAsia" w:cs="v4.2.0"/>
          <w:b/>
          <w:lang w:val="x-none" w:eastAsia="zh-CN"/>
        </w:rPr>
      </w:pPr>
      <w:r w:rsidRPr="00BD246C">
        <w:rPr>
          <w:rFonts w:eastAsiaTheme="minorEastAsia" w:cs="v4.2.0"/>
          <w:b/>
          <w:lang w:val="x-none" w:eastAsia="zh-CN"/>
        </w:rPr>
        <w:t>Proposal 1: The performance and accuracy of serving cell measurement should be guaranteed whether on anchor carrier or non-anchor carrier.</w:t>
      </w:r>
    </w:p>
    <w:p w:rsidR="00BD246C" w:rsidRPr="00BD246C" w:rsidRDefault="00BD246C" w:rsidP="00BD246C">
      <w:pPr>
        <w:rPr>
          <w:rFonts w:eastAsiaTheme="minorEastAsia" w:cs="v4.2.0"/>
          <w:b/>
          <w:lang w:val="x-none" w:eastAsia="zh-CN"/>
        </w:rPr>
      </w:pPr>
      <w:r w:rsidRPr="00BD246C">
        <w:rPr>
          <w:rFonts w:eastAsiaTheme="minorEastAsia" w:cs="v4.2.0"/>
          <w:b/>
          <w:lang w:val="x-none" w:eastAsia="zh-CN"/>
        </w:rPr>
        <w:t>Proposal 2: UE should follow the same requirements and no relaxation is allowed no matter the NRS distribution when the serving cell measurement is conducted on non-anchor carriers.</w:t>
      </w:r>
    </w:p>
    <w:p w:rsidR="00F076D1" w:rsidRPr="00BD246C" w:rsidRDefault="00BD246C" w:rsidP="00DF0231">
      <w:pPr>
        <w:rPr>
          <w:rFonts w:eastAsiaTheme="minorEastAsia" w:cs="v4.2.0"/>
          <w:b/>
          <w:lang w:val="x-none" w:eastAsia="zh-CN"/>
        </w:rPr>
      </w:pPr>
      <w:r w:rsidRPr="00BD246C">
        <w:rPr>
          <w:rFonts w:eastAsiaTheme="minorEastAsia" w:cs="v4.2.0"/>
          <w:b/>
          <w:lang w:val="x-none" w:eastAsia="zh-CN"/>
        </w:rPr>
        <w:t>Proposal 3: It is left for UE implementation on which carriers to do the measurements to achieve desired measurement accuracy.</w:t>
      </w:r>
    </w:p>
    <w:p w:rsidR="00DF0231" w:rsidRPr="002D2977" w:rsidRDefault="00DF0231" w:rsidP="00DF0231">
      <w:pPr>
        <w:pStyle w:val="1"/>
        <w:tabs>
          <w:tab w:val="clear" w:pos="432"/>
        </w:tabs>
        <w:ind w:left="0" w:firstLine="0"/>
        <w:rPr>
          <w:lang w:val="en-US"/>
        </w:rPr>
      </w:pPr>
      <w:r w:rsidRPr="002D2977">
        <w:rPr>
          <w:lang w:val="en-US"/>
        </w:rPr>
        <w:t>References</w:t>
      </w:r>
    </w:p>
    <w:p w:rsidR="00DF0231" w:rsidRDefault="00DF0231" w:rsidP="00DF0231">
      <w:pPr>
        <w:rPr>
          <w:lang w:val="en-US"/>
        </w:rPr>
      </w:pPr>
      <w:r w:rsidRPr="002D2977">
        <w:rPr>
          <w:lang w:val="en-US"/>
        </w:rPr>
        <w:t xml:space="preserve">[1] </w:t>
      </w:r>
      <w:r w:rsidR="008308EA" w:rsidRPr="008308EA">
        <w:rPr>
          <w:lang w:val="en-US"/>
        </w:rPr>
        <w:t>R4-1915890</w:t>
      </w:r>
      <w:r w:rsidR="00861C19">
        <w:rPr>
          <w:lang w:val="en-US"/>
        </w:rPr>
        <w:t xml:space="preserve"> </w:t>
      </w:r>
      <w:r w:rsidR="00861C19" w:rsidRPr="00861C19">
        <w:rPr>
          <w:lang w:val="en-US"/>
        </w:rPr>
        <w:t>Way forward on RRM requirements of R16 enhancement for NB-</w:t>
      </w:r>
      <w:proofErr w:type="spellStart"/>
      <w:r w:rsidR="00861C19" w:rsidRPr="00861C19">
        <w:rPr>
          <w:lang w:val="en-US"/>
        </w:rPr>
        <w:t>IoT</w:t>
      </w:r>
      <w:proofErr w:type="spellEnd"/>
      <w:r w:rsidR="00861C19">
        <w:rPr>
          <w:lang w:val="en-US"/>
        </w:rPr>
        <w:t>, Huawei</w:t>
      </w:r>
    </w:p>
    <w:p w:rsidR="00C44BDB" w:rsidRPr="002D2977" w:rsidRDefault="00C44BDB" w:rsidP="00DF0231">
      <w:pPr>
        <w:rPr>
          <w:lang w:val="en-US"/>
        </w:rPr>
      </w:pPr>
      <w:r>
        <w:rPr>
          <w:lang w:val="en-US"/>
        </w:rPr>
        <w:t xml:space="preserve">[2] </w:t>
      </w:r>
      <w:r w:rsidRPr="00C44BDB">
        <w:rPr>
          <w:lang w:val="en-US"/>
        </w:rPr>
        <w:t>R4-2001551</w:t>
      </w:r>
      <w:r>
        <w:rPr>
          <w:lang w:val="en-US"/>
        </w:rPr>
        <w:t xml:space="preserve"> </w:t>
      </w:r>
      <w:r w:rsidRPr="00C44BDB">
        <w:rPr>
          <w:lang w:val="en-US"/>
        </w:rPr>
        <w:t>CR on non-anchor RRM measurement requirements in Rel-16 NB IoT</w:t>
      </w:r>
      <w:bookmarkStart w:id="0" w:name="_GoBack"/>
      <w:bookmarkEnd w:id="0"/>
    </w:p>
    <w:p w:rsidR="007D0DF7" w:rsidRPr="001E0FCF" w:rsidRDefault="007D0DF7">
      <w:pPr>
        <w:rPr>
          <w:rFonts w:eastAsiaTheme="minorEastAsia"/>
          <w:lang w:val="en-US" w:eastAsia="zh-CN"/>
        </w:rPr>
      </w:pPr>
    </w:p>
    <w:sectPr w:rsidR="007D0DF7" w:rsidRPr="001E0FCF" w:rsidSect="00701598">
      <w:footerReference w:type="even" r:id="rId7"/>
      <w:footerReference w:type="default" r:id="rId8"/>
      <w:footnotePr>
        <w:numRestart w:val="eachSect"/>
      </w:footnotePr>
      <w:pgSz w:w="11907" w:h="16840" w:code="9"/>
      <w:pgMar w:top="1411" w:right="1197" w:bottom="1138" w:left="1138" w:header="850" w:footer="346"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E734E" w:rsidRDefault="003E734E">
      <w:pPr>
        <w:spacing w:after="0"/>
      </w:pPr>
      <w:r>
        <w:separator/>
      </w:r>
    </w:p>
  </w:endnote>
  <w:endnote w:type="continuationSeparator" w:id="0">
    <w:p w:rsidR="003E734E" w:rsidRDefault="003E734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v4.2.0">
    <w:altName w:val="Times New Roman"/>
    <w:charset w:val="00"/>
    <w:family w:val="auto"/>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07837" w:rsidRDefault="00D07837">
    <w:pPr>
      <w:pStyle w:val="a4"/>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Pr>
        <w:rStyle w:val="a5"/>
      </w:rPr>
      <w:t>8</w:t>
    </w:r>
    <w:r>
      <w:rPr>
        <w:rStyle w:val="a5"/>
      </w:rPr>
      <w:fldChar w:fldCharType="end"/>
    </w:r>
  </w:p>
  <w:p w:rsidR="00D07837" w:rsidRDefault="00D07837">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07837" w:rsidRDefault="00D07837">
    <w:pPr>
      <w:pStyle w:val="a4"/>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C44BDB">
      <w:rPr>
        <w:rStyle w:val="a5"/>
      </w:rPr>
      <w:t>2</w:t>
    </w:r>
    <w:r>
      <w:rPr>
        <w:rStyle w:val="a5"/>
      </w:rPr>
      <w:fldChar w:fldCharType="end"/>
    </w:r>
  </w:p>
  <w:p w:rsidR="00D07837" w:rsidRDefault="00D07837">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E734E" w:rsidRDefault="003E734E">
      <w:pPr>
        <w:spacing w:after="0"/>
      </w:pPr>
      <w:r>
        <w:separator/>
      </w:r>
    </w:p>
  </w:footnote>
  <w:footnote w:type="continuationSeparator" w:id="0">
    <w:p w:rsidR="003E734E" w:rsidRDefault="003E734E">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1B57FFA"/>
    <w:multiLevelType w:val="hybridMultilevel"/>
    <w:tmpl w:val="3AD8E71C"/>
    <w:lvl w:ilvl="0" w:tplc="041D0001">
      <w:start w:val="5"/>
      <w:numFmt w:val="bullet"/>
      <w:lvlText w:val=""/>
      <w:lvlJc w:val="left"/>
      <w:pPr>
        <w:ind w:left="720" w:hanging="360"/>
      </w:pPr>
      <w:rPr>
        <w:rFonts w:ascii="Symbol" w:eastAsia="Times New Roman" w:hAnsi="Symbol" w:cs="Times New Roman" w:hint="default"/>
        <w:b w:val="0"/>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 w15:restartNumberingAfterBreak="0">
    <w:nsid w:val="1C2B4AAE"/>
    <w:multiLevelType w:val="hybridMultilevel"/>
    <w:tmpl w:val="B2B8DEA0"/>
    <w:lvl w:ilvl="0" w:tplc="0B42402E">
      <w:start w:val="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37C659B6"/>
    <w:multiLevelType w:val="hybridMultilevel"/>
    <w:tmpl w:val="D1706214"/>
    <w:lvl w:ilvl="0" w:tplc="FD1E1D9E">
      <w:start w:val="1"/>
      <w:numFmt w:val="bullet"/>
      <w:lvlText w:val="–"/>
      <w:lvlJc w:val="left"/>
      <w:pPr>
        <w:tabs>
          <w:tab w:val="num" w:pos="720"/>
        </w:tabs>
        <w:ind w:left="720" w:hanging="360"/>
      </w:pPr>
      <w:rPr>
        <w:rFonts w:ascii="Arial" w:hAnsi="Arial" w:hint="default"/>
      </w:rPr>
    </w:lvl>
    <w:lvl w:ilvl="1" w:tplc="AAE6CBCE">
      <w:start w:val="1"/>
      <w:numFmt w:val="bullet"/>
      <w:lvlText w:val="–"/>
      <w:lvlJc w:val="left"/>
      <w:pPr>
        <w:tabs>
          <w:tab w:val="num" w:pos="1440"/>
        </w:tabs>
        <w:ind w:left="1440" w:hanging="360"/>
      </w:pPr>
      <w:rPr>
        <w:rFonts w:ascii="Arial" w:hAnsi="Arial" w:hint="default"/>
      </w:rPr>
    </w:lvl>
    <w:lvl w:ilvl="2" w:tplc="21D41492" w:tentative="1">
      <w:start w:val="1"/>
      <w:numFmt w:val="bullet"/>
      <w:lvlText w:val="–"/>
      <w:lvlJc w:val="left"/>
      <w:pPr>
        <w:tabs>
          <w:tab w:val="num" w:pos="2160"/>
        </w:tabs>
        <w:ind w:left="2160" w:hanging="360"/>
      </w:pPr>
      <w:rPr>
        <w:rFonts w:ascii="Arial" w:hAnsi="Arial" w:hint="default"/>
      </w:rPr>
    </w:lvl>
    <w:lvl w:ilvl="3" w:tplc="854AE7FC" w:tentative="1">
      <w:start w:val="1"/>
      <w:numFmt w:val="bullet"/>
      <w:lvlText w:val="–"/>
      <w:lvlJc w:val="left"/>
      <w:pPr>
        <w:tabs>
          <w:tab w:val="num" w:pos="2880"/>
        </w:tabs>
        <w:ind w:left="2880" w:hanging="360"/>
      </w:pPr>
      <w:rPr>
        <w:rFonts w:ascii="Arial" w:hAnsi="Arial" w:hint="default"/>
      </w:rPr>
    </w:lvl>
    <w:lvl w:ilvl="4" w:tplc="675244B2" w:tentative="1">
      <w:start w:val="1"/>
      <w:numFmt w:val="bullet"/>
      <w:lvlText w:val="–"/>
      <w:lvlJc w:val="left"/>
      <w:pPr>
        <w:tabs>
          <w:tab w:val="num" w:pos="3600"/>
        </w:tabs>
        <w:ind w:left="3600" w:hanging="360"/>
      </w:pPr>
      <w:rPr>
        <w:rFonts w:ascii="Arial" w:hAnsi="Arial" w:hint="default"/>
      </w:rPr>
    </w:lvl>
    <w:lvl w:ilvl="5" w:tplc="D79ADEE0" w:tentative="1">
      <w:start w:val="1"/>
      <w:numFmt w:val="bullet"/>
      <w:lvlText w:val="–"/>
      <w:lvlJc w:val="left"/>
      <w:pPr>
        <w:tabs>
          <w:tab w:val="num" w:pos="4320"/>
        </w:tabs>
        <w:ind w:left="4320" w:hanging="360"/>
      </w:pPr>
      <w:rPr>
        <w:rFonts w:ascii="Arial" w:hAnsi="Arial" w:hint="default"/>
      </w:rPr>
    </w:lvl>
    <w:lvl w:ilvl="6" w:tplc="CA768834" w:tentative="1">
      <w:start w:val="1"/>
      <w:numFmt w:val="bullet"/>
      <w:lvlText w:val="–"/>
      <w:lvlJc w:val="left"/>
      <w:pPr>
        <w:tabs>
          <w:tab w:val="num" w:pos="5040"/>
        </w:tabs>
        <w:ind w:left="5040" w:hanging="360"/>
      </w:pPr>
      <w:rPr>
        <w:rFonts w:ascii="Arial" w:hAnsi="Arial" w:hint="default"/>
      </w:rPr>
    </w:lvl>
    <w:lvl w:ilvl="7" w:tplc="D08078D0" w:tentative="1">
      <w:start w:val="1"/>
      <w:numFmt w:val="bullet"/>
      <w:lvlText w:val="–"/>
      <w:lvlJc w:val="left"/>
      <w:pPr>
        <w:tabs>
          <w:tab w:val="num" w:pos="5760"/>
        </w:tabs>
        <w:ind w:left="5760" w:hanging="360"/>
      </w:pPr>
      <w:rPr>
        <w:rFonts w:ascii="Arial" w:hAnsi="Arial" w:hint="default"/>
      </w:rPr>
    </w:lvl>
    <w:lvl w:ilvl="8" w:tplc="4A589704"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444F59F0"/>
    <w:multiLevelType w:val="multilevel"/>
    <w:tmpl w:val="8B4A193E"/>
    <w:lvl w:ilvl="0">
      <w:start w:val="1"/>
      <w:numFmt w:val="decimal"/>
      <w:lvlText w:val="%1."/>
      <w:lvlJc w:val="left"/>
      <w:pPr>
        <w:tabs>
          <w:tab w:val="num" w:pos="432"/>
        </w:tabs>
        <w:ind w:left="432" w:hanging="432"/>
      </w:pPr>
      <w:rPr>
        <w:rFonts w:hint="default"/>
        <w:lang w:val="en-GB"/>
      </w:rPr>
    </w:lvl>
    <w:lvl w:ilvl="1">
      <w:start w:val="1"/>
      <w:numFmt w:val="decimal"/>
      <w:lvlText w:val="%1.%2."/>
      <w:lvlJc w:val="left"/>
      <w:pPr>
        <w:tabs>
          <w:tab w:val="num" w:pos="8226"/>
        </w:tabs>
        <w:ind w:left="822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4EFF5AD8"/>
    <w:multiLevelType w:val="hybridMultilevel"/>
    <w:tmpl w:val="B3EC055E"/>
    <w:lvl w:ilvl="0" w:tplc="68AA9DC4">
      <w:start w:val="1"/>
      <w:numFmt w:val="bullet"/>
      <w:lvlText w:val="•"/>
      <w:lvlJc w:val="left"/>
      <w:pPr>
        <w:tabs>
          <w:tab w:val="num" w:pos="720"/>
        </w:tabs>
        <w:ind w:left="720" w:hanging="360"/>
      </w:pPr>
      <w:rPr>
        <w:rFonts w:ascii="Arial" w:hAnsi="Arial" w:hint="default"/>
      </w:rPr>
    </w:lvl>
    <w:lvl w:ilvl="1" w:tplc="193A1B7E">
      <w:start w:val="1"/>
      <w:numFmt w:val="bullet"/>
      <w:lvlText w:val="•"/>
      <w:lvlJc w:val="left"/>
      <w:pPr>
        <w:tabs>
          <w:tab w:val="num" w:pos="1440"/>
        </w:tabs>
        <w:ind w:left="1440" w:hanging="360"/>
      </w:pPr>
      <w:rPr>
        <w:rFonts w:ascii="Arial" w:hAnsi="Arial" w:hint="default"/>
      </w:rPr>
    </w:lvl>
    <w:lvl w:ilvl="2" w:tplc="019290AE">
      <w:numFmt w:val="bullet"/>
      <w:lvlText w:val="•"/>
      <w:lvlJc w:val="left"/>
      <w:pPr>
        <w:tabs>
          <w:tab w:val="num" w:pos="2160"/>
        </w:tabs>
        <w:ind w:left="2160" w:hanging="360"/>
      </w:pPr>
      <w:rPr>
        <w:rFonts w:ascii="Arial" w:hAnsi="Arial" w:hint="default"/>
      </w:rPr>
    </w:lvl>
    <w:lvl w:ilvl="3" w:tplc="F8CE7BDC" w:tentative="1">
      <w:start w:val="1"/>
      <w:numFmt w:val="bullet"/>
      <w:lvlText w:val="•"/>
      <w:lvlJc w:val="left"/>
      <w:pPr>
        <w:tabs>
          <w:tab w:val="num" w:pos="2880"/>
        </w:tabs>
        <w:ind w:left="2880" w:hanging="360"/>
      </w:pPr>
      <w:rPr>
        <w:rFonts w:ascii="Arial" w:hAnsi="Arial" w:hint="default"/>
      </w:rPr>
    </w:lvl>
    <w:lvl w:ilvl="4" w:tplc="19BEE9E8" w:tentative="1">
      <w:start w:val="1"/>
      <w:numFmt w:val="bullet"/>
      <w:lvlText w:val="•"/>
      <w:lvlJc w:val="left"/>
      <w:pPr>
        <w:tabs>
          <w:tab w:val="num" w:pos="3600"/>
        </w:tabs>
        <w:ind w:left="3600" w:hanging="360"/>
      </w:pPr>
      <w:rPr>
        <w:rFonts w:ascii="Arial" w:hAnsi="Arial" w:hint="default"/>
      </w:rPr>
    </w:lvl>
    <w:lvl w:ilvl="5" w:tplc="F2066386" w:tentative="1">
      <w:start w:val="1"/>
      <w:numFmt w:val="bullet"/>
      <w:lvlText w:val="•"/>
      <w:lvlJc w:val="left"/>
      <w:pPr>
        <w:tabs>
          <w:tab w:val="num" w:pos="4320"/>
        </w:tabs>
        <w:ind w:left="4320" w:hanging="360"/>
      </w:pPr>
      <w:rPr>
        <w:rFonts w:ascii="Arial" w:hAnsi="Arial" w:hint="default"/>
      </w:rPr>
    </w:lvl>
    <w:lvl w:ilvl="6" w:tplc="63507EE8" w:tentative="1">
      <w:start w:val="1"/>
      <w:numFmt w:val="bullet"/>
      <w:lvlText w:val="•"/>
      <w:lvlJc w:val="left"/>
      <w:pPr>
        <w:tabs>
          <w:tab w:val="num" w:pos="5040"/>
        </w:tabs>
        <w:ind w:left="5040" w:hanging="360"/>
      </w:pPr>
      <w:rPr>
        <w:rFonts w:ascii="Arial" w:hAnsi="Arial" w:hint="default"/>
      </w:rPr>
    </w:lvl>
    <w:lvl w:ilvl="7" w:tplc="1F184A4A" w:tentative="1">
      <w:start w:val="1"/>
      <w:numFmt w:val="bullet"/>
      <w:lvlText w:val="•"/>
      <w:lvlJc w:val="left"/>
      <w:pPr>
        <w:tabs>
          <w:tab w:val="num" w:pos="5760"/>
        </w:tabs>
        <w:ind w:left="5760" w:hanging="360"/>
      </w:pPr>
      <w:rPr>
        <w:rFonts w:ascii="Arial" w:hAnsi="Arial" w:hint="default"/>
      </w:rPr>
    </w:lvl>
    <w:lvl w:ilvl="8" w:tplc="49F0D00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553D3BEC"/>
    <w:multiLevelType w:val="hybridMultilevel"/>
    <w:tmpl w:val="325AF42E"/>
    <w:lvl w:ilvl="0" w:tplc="0B42402E">
      <w:start w:val="8"/>
      <w:numFmt w:val="bullet"/>
      <w:lvlText w:val="-"/>
      <w:lvlJc w:val="left"/>
      <w:pPr>
        <w:ind w:left="620" w:hanging="420"/>
      </w:pPr>
      <w:rPr>
        <w:rFonts w:ascii="Times New Roman" w:eastAsiaTheme="minorEastAsia"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6" w15:restartNumberingAfterBreak="0">
    <w:nsid w:val="5DEF7613"/>
    <w:multiLevelType w:val="hybridMultilevel"/>
    <w:tmpl w:val="1534D01E"/>
    <w:lvl w:ilvl="0" w:tplc="B39298D0">
      <w:start w:val="1"/>
      <w:numFmt w:val="bullet"/>
      <w:lvlText w:val="•"/>
      <w:lvlJc w:val="left"/>
      <w:pPr>
        <w:tabs>
          <w:tab w:val="num" w:pos="720"/>
        </w:tabs>
        <w:ind w:left="720" w:hanging="360"/>
      </w:pPr>
      <w:rPr>
        <w:rFonts w:ascii="Arial" w:hAnsi="Arial" w:hint="default"/>
      </w:rPr>
    </w:lvl>
    <w:lvl w:ilvl="1" w:tplc="F6FCC5BC">
      <w:numFmt w:val="bullet"/>
      <w:lvlText w:val="–"/>
      <w:lvlJc w:val="left"/>
      <w:pPr>
        <w:tabs>
          <w:tab w:val="num" w:pos="1440"/>
        </w:tabs>
        <w:ind w:left="1440" w:hanging="360"/>
      </w:pPr>
      <w:rPr>
        <w:rFonts w:ascii="Arial" w:hAnsi="Arial" w:hint="default"/>
      </w:rPr>
    </w:lvl>
    <w:lvl w:ilvl="2" w:tplc="5316DF9A" w:tentative="1">
      <w:start w:val="1"/>
      <w:numFmt w:val="bullet"/>
      <w:lvlText w:val="•"/>
      <w:lvlJc w:val="left"/>
      <w:pPr>
        <w:tabs>
          <w:tab w:val="num" w:pos="2160"/>
        </w:tabs>
        <w:ind w:left="2160" w:hanging="360"/>
      </w:pPr>
      <w:rPr>
        <w:rFonts w:ascii="Arial" w:hAnsi="Arial" w:hint="default"/>
      </w:rPr>
    </w:lvl>
    <w:lvl w:ilvl="3" w:tplc="A4F6E04C" w:tentative="1">
      <w:start w:val="1"/>
      <w:numFmt w:val="bullet"/>
      <w:lvlText w:val="•"/>
      <w:lvlJc w:val="left"/>
      <w:pPr>
        <w:tabs>
          <w:tab w:val="num" w:pos="2880"/>
        </w:tabs>
        <w:ind w:left="2880" w:hanging="360"/>
      </w:pPr>
      <w:rPr>
        <w:rFonts w:ascii="Arial" w:hAnsi="Arial" w:hint="default"/>
      </w:rPr>
    </w:lvl>
    <w:lvl w:ilvl="4" w:tplc="567E86A4" w:tentative="1">
      <w:start w:val="1"/>
      <w:numFmt w:val="bullet"/>
      <w:lvlText w:val="•"/>
      <w:lvlJc w:val="left"/>
      <w:pPr>
        <w:tabs>
          <w:tab w:val="num" w:pos="3600"/>
        </w:tabs>
        <w:ind w:left="3600" w:hanging="360"/>
      </w:pPr>
      <w:rPr>
        <w:rFonts w:ascii="Arial" w:hAnsi="Arial" w:hint="default"/>
      </w:rPr>
    </w:lvl>
    <w:lvl w:ilvl="5" w:tplc="D5582E1A" w:tentative="1">
      <w:start w:val="1"/>
      <w:numFmt w:val="bullet"/>
      <w:lvlText w:val="•"/>
      <w:lvlJc w:val="left"/>
      <w:pPr>
        <w:tabs>
          <w:tab w:val="num" w:pos="4320"/>
        </w:tabs>
        <w:ind w:left="4320" w:hanging="360"/>
      </w:pPr>
      <w:rPr>
        <w:rFonts w:ascii="Arial" w:hAnsi="Arial" w:hint="default"/>
      </w:rPr>
    </w:lvl>
    <w:lvl w:ilvl="6" w:tplc="F500B4D6" w:tentative="1">
      <w:start w:val="1"/>
      <w:numFmt w:val="bullet"/>
      <w:lvlText w:val="•"/>
      <w:lvlJc w:val="left"/>
      <w:pPr>
        <w:tabs>
          <w:tab w:val="num" w:pos="5040"/>
        </w:tabs>
        <w:ind w:left="5040" w:hanging="360"/>
      </w:pPr>
      <w:rPr>
        <w:rFonts w:ascii="Arial" w:hAnsi="Arial" w:hint="default"/>
      </w:rPr>
    </w:lvl>
    <w:lvl w:ilvl="7" w:tplc="FFA87DBC" w:tentative="1">
      <w:start w:val="1"/>
      <w:numFmt w:val="bullet"/>
      <w:lvlText w:val="•"/>
      <w:lvlJc w:val="left"/>
      <w:pPr>
        <w:tabs>
          <w:tab w:val="num" w:pos="5760"/>
        </w:tabs>
        <w:ind w:left="5760" w:hanging="360"/>
      </w:pPr>
      <w:rPr>
        <w:rFonts w:ascii="Arial" w:hAnsi="Arial" w:hint="default"/>
      </w:rPr>
    </w:lvl>
    <w:lvl w:ilvl="8" w:tplc="13DC55EE"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78C331FA"/>
    <w:multiLevelType w:val="hybridMultilevel"/>
    <w:tmpl w:val="17543E2A"/>
    <w:lvl w:ilvl="0" w:tplc="FA1EF84E">
      <w:start w:val="1"/>
      <w:numFmt w:val="decimal"/>
      <w:lvlText w:val="%1."/>
      <w:lvlJc w:val="left"/>
      <w:pPr>
        <w:ind w:left="780" w:hanging="360"/>
      </w:pPr>
      <w:rPr>
        <w:rFonts w:hint="default"/>
        <w:i w:val="0"/>
      </w:rPr>
    </w:lvl>
    <w:lvl w:ilvl="1" w:tplc="10090019" w:tentative="1">
      <w:start w:val="1"/>
      <w:numFmt w:val="lowerLetter"/>
      <w:lvlText w:val="%2."/>
      <w:lvlJc w:val="left"/>
      <w:pPr>
        <w:ind w:left="1500" w:hanging="360"/>
      </w:pPr>
    </w:lvl>
    <w:lvl w:ilvl="2" w:tplc="1009001B" w:tentative="1">
      <w:start w:val="1"/>
      <w:numFmt w:val="lowerRoman"/>
      <w:lvlText w:val="%3."/>
      <w:lvlJc w:val="right"/>
      <w:pPr>
        <w:ind w:left="2220" w:hanging="180"/>
      </w:pPr>
    </w:lvl>
    <w:lvl w:ilvl="3" w:tplc="1009000F" w:tentative="1">
      <w:start w:val="1"/>
      <w:numFmt w:val="decimal"/>
      <w:lvlText w:val="%4."/>
      <w:lvlJc w:val="left"/>
      <w:pPr>
        <w:ind w:left="2940" w:hanging="360"/>
      </w:pPr>
    </w:lvl>
    <w:lvl w:ilvl="4" w:tplc="10090019" w:tentative="1">
      <w:start w:val="1"/>
      <w:numFmt w:val="lowerLetter"/>
      <w:lvlText w:val="%5."/>
      <w:lvlJc w:val="left"/>
      <w:pPr>
        <w:ind w:left="3660" w:hanging="360"/>
      </w:pPr>
    </w:lvl>
    <w:lvl w:ilvl="5" w:tplc="1009001B" w:tentative="1">
      <w:start w:val="1"/>
      <w:numFmt w:val="lowerRoman"/>
      <w:lvlText w:val="%6."/>
      <w:lvlJc w:val="right"/>
      <w:pPr>
        <w:ind w:left="4380" w:hanging="180"/>
      </w:pPr>
    </w:lvl>
    <w:lvl w:ilvl="6" w:tplc="1009000F" w:tentative="1">
      <w:start w:val="1"/>
      <w:numFmt w:val="decimal"/>
      <w:lvlText w:val="%7."/>
      <w:lvlJc w:val="left"/>
      <w:pPr>
        <w:ind w:left="5100" w:hanging="360"/>
      </w:pPr>
    </w:lvl>
    <w:lvl w:ilvl="7" w:tplc="10090019" w:tentative="1">
      <w:start w:val="1"/>
      <w:numFmt w:val="lowerLetter"/>
      <w:lvlText w:val="%8."/>
      <w:lvlJc w:val="left"/>
      <w:pPr>
        <w:ind w:left="5820" w:hanging="360"/>
      </w:pPr>
    </w:lvl>
    <w:lvl w:ilvl="8" w:tplc="1009001B" w:tentative="1">
      <w:start w:val="1"/>
      <w:numFmt w:val="lowerRoman"/>
      <w:lvlText w:val="%9."/>
      <w:lvlJc w:val="right"/>
      <w:pPr>
        <w:ind w:left="6540" w:hanging="180"/>
      </w:pPr>
    </w:lvl>
  </w:abstractNum>
  <w:num w:numId="1">
    <w:abstractNumId w:val="3"/>
  </w:num>
  <w:num w:numId="2">
    <w:abstractNumId w:val="0"/>
  </w:num>
  <w:num w:numId="3">
    <w:abstractNumId w:val="4"/>
  </w:num>
  <w:num w:numId="4">
    <w:abstractNumId w:val="7"/>
  </w:num>
  <w:num w:numId="5">
    <w:abstractNumId w:val="2"/>
  </w:num>
  <w:num w:numId="6">
    <w:abstractNumId w:val="1"/>
  </w:num>
  <w:num w:numId="7">
    <w:abstractNumId w:val="5"/>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22790"/>
    <w:rsid w:val="00015CC5"/>
    <w:rsid w:val="00024803"/>
    <w:rsid w:val="00063E08"/>
    <w:rsid w:val="000C48E0"/>
    <w:rsid w:val="000D2930"/>
    <w:rsid w:val="00102796"/>
    <w:rsid w:val="00136D20"/>
    <w:rsid w:val="001939A3"/>
    <w:rsid w:val="001A5F53"/>
    <w:rsid w:val="001E0FCF"/>
    <w:rsid w:val="00207516"/>
    <w:rsid w:val="002221AC"/>
    <w:rsid w:val="002328DD"/>
    <w:rsid w:val="00254F38"/>
    <w:rsid w:val="002B6715"/>
    <w:rsid w:val="002E668C"/>
    <w:rsid w:val="00310794"/>
    <w:rsid w:val="0033466C"/>
    <w:rsid w:val="0033767E"/>
    <w:rsid w:val="00356FB6"/>
    <w:rsid w:val="003E734E"/>
    <w:rsid w:val="00430B21"/>
    <w:rsid w:val="00430F24"/>
    <w:rsid w:val="00435EBD"/>
    <w:rsid w:val="00466D02"/>
    <w:rsid w:val="00477263"/>
    <w:rsid w:val="004A7CF2"/>
    <w:rsid w:val="005060FE"/>
    <w:rsid w:val="005A39D5"/>
    <w:rsid w:val="005C2485"/>
    <w:rsid w:val="00626745"/>
    <w:rsid w:val="00681BAE"/>
    <w:rsid w:val="006F72C0"/>
    <w:rsid w:val="00701598"/>
    <w:rsid w:val="00772FB9"/>
    <w:rsid w:val="007D0DF7"/>
    <w:rsid w:val="007D3409"/>
    <w:rsid w:val="00804945"/>
    <w:rsid w:val="008308EA"/>
    <w:rsid w:val="00861C19"/>
    <w:rsid w:val="00873C1C"/>
    <w:rsid w:val="00892EAE"/>
    <w:rsid w:val="008A1C4E"/>
    <w:rsid w:val="00914A03"/>
    <w:rsid w:val="00966E4A"/>
    <w:rsid w:val="009968CF"/>
    <w:rsid w:val="009C7D5E"/>
    <w:rsid w:val="009D2942"/>
    <w:rsid w:val="009E6763"/>
    <w:rsid w:val="009E6DC8"/>
    <w:rsid w:val="00A1597D"/>
    <w:rsid w:val="00A21375"/>
    <w:rsid w:val="00A22790"/>
    <w:rsid w:val="00A9515F"/>
    <w:rsid w:val="00AD69AA"/>
    <w:rsid w:val="00AF3732"/>
    <w:rsid w:val="00AF5966"/>
    <w:rsid w:val="00B542A9"/>
    <w:rsid w:val="00BD246C"/>
    <w:rsid w:val="00BE1FD4"/>
    <w:rsid w:val="00C44BDB"/>
    <w:rsid w:val="00C50A0A"/>
    <w:rsid w:val="00C87657"/>
    <w:rsid w:val="00CA1729"/>
    <w:rsid w:val="00CE0DA0"/>
    <w:rsid w:val="00D07837"/>
    <w:rsid w:val="00D44477"/>
    <w:rsid w:val="00DA5F31"/>
    <w:rsid w:val="00DF0231"/>
    <w:rsid w:val="00DF6E92"/>
    <w:rsid w:val="00E01D88"/>
    <w:rsid w:val="00E70AE7"/>
    <w:rsid w:val="00E95EC9"/>
    <w:rsid w:val="00F0497C"/>
    <w:rsid w:val="00F076D1"/>
    <w:rsid w:val="00F303F4"/>
    <w:rsid w:val="00F70564"/>
    <w:rsid w:val="00FA4943"/>
    <w:rsid w:val="00FA74CB"/>
    <w:rsid w:val="00FC0F9D"/>
    <w:rsid w:val="00FC3492"/>
    <w:rsid w:val="00FD65D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9C069F1E-889B-45F5-AB2E-B3194B2A1F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3466C"/>
    <w:pPr>
      <w:spacing w:after="180"/>
    </w:pPr>
    <w:rPr>
      <w:rFonts w:ascii="Times New Roman" w:eastAsia="MS Mincho" w:hAnsi="Times New Roman" w:cs="Times New Roman"/>
      <w:kern w:val="0"/>
      <w:sz w:val="20"/>
      <w:szCs w:val="20"/>
      <w:lang w:val="en-GB" w:eastAsia="en-US"/>
    </w:rPr>
  </w:style>
  <w:style w:type="paragraph" w:styleId="1">
    <w:name w:val="heading 1"/>
    <w:aliases w:val="H1"/>
    <w:next w:val="a"/>
    <w:link w:val="1Char"/>
    <w:qFormat/>
    <w:rsid w:val="00DF0231"/>
    <w:pPr>
      <w:keepNext/>
      <w:keepLines/>
      <w:pBdr>
        <w:top w:val="single" w:sz="12" w:space="3" w:color="auto"/>
      </w:pBdr>
      <w:tabs>
        <w:tab w:val="num" w:pos="432"/>
      </w:tabs>
      <w:spacing w:before="240" w:after="180"/>
      <w:ind w:left="432" w:hanging="432"/>
      <w:outlineLvl w:val="0"/>
    </w:pPr>
    <w:rPr>
      <w:rFonts w:ascii="Arial" w:eastAsia="MS Mincho" w:hAnsi="Arial" w:cs="Times New Roman"/>
      <w:kern w:val="0"/>
      <w:sz w:val="36"/>
      <w:szCs w:val="20"/>
      <w:lang w:val="en-GB" w:eastAsia="en-US"/>
    </w:rPr>
  </w:style>
  <w:style w:type="paragraph" w:styleId="2">
    <w:name w:val="heading 2"/>
    <w:basedOn w:val="a"/>
    <w:next w:val="a"/>
    <w:link w:val="2Char"/>
    <w:uiPriority w:val="9"/>
    <w:semiHidden/>
    <w:unhideWhenUsed/>
    <w:qFormat/>
    <w:rsid w:val="002E668C"/>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aliases w:val="Underrubrik2,H3,no break,h3,Memo Heading 3,Heading 3 3GPP,Heading 3 Char1 Char,Heading 3 Char Char Char,Heading 3 Char1 Char Char Char,Heading 3 Char Char Char Char Char,Heading 3 Char Char1 Char,Heading 3 Char2 Char,0H,l3,list"/>
    <w:basedOn w:val="2"/>
    <w:next w:val="a"/>
    <w:link w:val="3Char"/>
    <w:qFormat/>
    <w:rsid w:val="002E668C"/>
    <w:pPr>
      <w:overflowPunct w:val="0"/>
      <w:autoSpaceDE w:val="0"/>
      <w:autoSpaceDN w:val="0"/>
      <w:adjustRightInd w:val="0"/>
      <w:spacing w:before="120" w:after="180" w:line="240" w:lineRule="auto"/>
      <w:ind w:left="1134" w:hanging="1134"/>
      <w:textAlignment w:val="baseline"/>
      <w:outlineLvl w:val="2"/>
    </w:pPr>
    <w:rPr>
      <w:rFonts w:ascii="Arial" w:eastAsia="宋体" w:hAnsi="Arial" w:cs="Arial"/>
      <w:b w:val="0"/>
      <w:bCs w:val="0"/>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标题 3 Char"/>
    <w:aliases w:val="Underrubrik2 Char,H3 Char,no break Char,h3 Char,Memo Heading 3 Char,Heading 3 3GPP Char,Heading 3 Char1 Char Char,Heading 3 Char Char Char Char,Heading 3 Char1 Char Char Char Char,Heading 3 Char Char Char Char Char Char,0H Char,l3 Char"/>
    <w:basedOn w:val="a0"/>
    <w:link w:val="3"/>
    <w:rsid w:val="002E668C"/>
    <w:rPr>
      <w:rFonts w:ascii="Arial" w:eastAsia="宋体" w:hAnsi="Arial" w:cs="Arial"/>
      <w:kern w:val="0"/>
      <w:sz w:val="28"/>
      <w:szCs w:val="28"/>
      <w:lang w:val="en-GB" w:eastAsia="en-US"/>
    </w:rPr>
  </w:style>
  <w:style w:type="character" w:customStyle="1" w:styleId="2Char">
    <w:name w:val="标题 2 Char"/>
    <w:basedOn w:val="a0"/>
    <w:link w:val="2"/>
    <w:uiPriority w:val="9"/>
    <w:semiHidden/>
    <w:rsid w:val="002E668C"/>
    <w:rPr>
      <w:rFonts w:asciiTheme="majorHAnsi" w:eastAsiaTheme="majorEastAsia" w:hAnsiTheme="majorHAnsi" w:cstheme="majorBidi"/>
      <w:b/>
      <w:bCs/>
      <w:sz w:val="32"/>
      <w:szCs w:val="32"/>
    </w:rPr>
  </w:style>
  <w:style w:type="paragraph" w:customStyle="1" w:styleId="Topic">
    <w:name w:val="Topic"/>
    <w:basedOn w:val="a"/>
    <w:link w:val="TopicChar"/>
    <w:qFormat/>
    <w:rsid w:val="002E668C"/>
    <w:pPr>
      <w:overflowPunct w:val="0"/>
      <w:autoSpaceDE w:val="0"/>
      <w:autoSpaceDN w:val="0"/>
      <w:adjustRightInd w:val="0"/>
      <w:textAlignment w:val="baseline"/>
    </w:pPr>
    <w:rPr>
      <w:rFonts w:ascii="Arial" w:eastAsia="宋体" w:hAnsi="Arial" w:cs="Arial"/>
      <w:b/>
      <w:i/>
      <w:color w:val="C00000"/>
      <w:sz w:val="22"/>
    </w:rPr>
  </w:style>
  <w:style w:type="character" w:customStyle="1" w:styleId="TopicChar">
    <w:name w:val="Topic Char"/>
    <w:basedOn w:val="a0"/>
    <w:link w:val="Topic"/>
    <w:rsid w:val="002E668C"/>
    <w:rPr>
      <w:rFonts w:ascii="Arial" w:eastAsia="宋体" w:hAnsi="Arial" w:cs="Arial"/>
      <w:b/>
      <w:i/>
      <w:color w:val="C00000"/>
      <w:kern w:val="0"/>
      <w:sz w:val="22"/>
      <w:lang w:val="en-GB"/>
    </w:rPr>
  </w:style>
  <w:style w:type="character" w:customStyle="1" w:styleId="1Char">
    <w:name w:val="标题 1 Char"/>
    <w:aliases w:val="H1 Char"/>
    <w:basedOn w:val="a0"/>
    <w:link w:val="1"/>
    <w:rsid w:val="00DF0231"/>
    <w:rPr>
      <w:rFonts w:ascii="Arial" w:eastAsia="MS Mincho" w:hAnsi="Arial" w:cs="Times New Roman"/>
      <w:kern w:val="0"/>
      <w:sz w:val="36"/>
      <w:szCs w:val="20"/>
      <w:lang w:val="en-GB" w:eastAsia="en-US"/>
    </w:rPr>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DF0231"/>
    <w:pPr>
      <w:widowControl w:val="0"/>
    </w:pPr>
    <w:rPr>
      <w:rFonts w:ascii="Arial" w:eastAsia="MS Mincho" w:hAnsi="Arial" w:cs="Times New Roman"/>
      <w:b/>
      <w:noProof/>
      <w:kern w:val="0"/>
      <w:sz w:val="18"/>
      <w:szCs w:val="20"/>
      <w:lang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3"/>
    <w:rsid w:val="00DF0231"/>
    <w:rPr>
      <w:rFonts w:ascii="Arial" w:eastAsia="MS Mincho" w:hAnsi="Arial" w:cs="Times New Roman"/>
      <w:b/>
      <w:noProof/>
      <w:kern w:val="0"/>
      <w:sz w:val="18"/>
      <w:szCs w:val="20"/>
      <w:lang w:eastAsia="en-US"/>
    </w:rPr>
  </w:style>
  <w:style w:type="paragraph" w:styleId="a4">
    <w:name w:val="footer"/>
    <w:basedOn w:val="a3"/>
    <w:link w:val="Char0"/>
    <w:rsid w:val="00DF0231"/>
    <w:pPr>
      <w:jc w:val="center"/>
    </w:pPr>
    <w:rPr>
      <w:i/>
    </w:rPr>
  </w:style>
  <w:style w:type="character" w:customStyle="1" w:styleId="Char0">
    <w:name w:val="页脚 Char"/>
    <w:basedOn w:val="a0"/>
    <w:link w:val="a4"/>
    <w:rsid w:val="00DF0231"/>
    <w:rPr>
      <w:rFonts w:ascii="Arial" w:eastAsia="MS Mincho" w:hAnsi="Arial" w:cs="Times New Roman"/>
      <w:b/>
      <w:i/>
      <w:noProof/>
      <w:kern w:val="0"/>
      <w:sz w:val="18"/>
      <w:szCs w:val="20"/>
      <w:lang w:eastAsia="en-US"/>
    </w:rPr>
  </w:style>
  <w:style w:type="character" w:styleId="a5">
    <w:name w:val="page number"/>
    <w:basedOn w:val="a0"/>
    <w:rsid w:val="00DF0231"/>
  </w:style>
  <w:style w:type="paragraph" w:customStyle="1" w:styleId="3GPPHeader">
    <w:name w:val="3GPP_Header"/>
    <w:basedOn w:val="a"/>
    <w:rsid w:val="00A1597D"/>
    <w:pPr>
      <w:tabs>
        <w:tab w:val="left" w:pos="1701"/>
        <w:tab w:val="right" w:pos="9639"/>
      </w:tabs>
      <w:spacing w:after="240" w:line="259" w:lineRule="auto"/>
    </w:pPr>
    <w:rPr>
      <w:rFonts w:ascii="Arial" w:eastAsia="Calibri" w:hAnsi="Arial"/>
      <w:b/>
      <w:sz w:val="24"/>
      <w:szCs w:val="22"/>
      <w:lang w:val="sv-SE" w:eastAsia="zh-CN"/>
    </w:rPr>
  </w:style>
  <w:style w:type="paragraph" w:customStyle="1" w:styleId="TH">
    <w:name w:val="TH"/>
    <w:basedOn w:val="a"/>
    <w:link w:val="THChar"/>
    <w:qFormat/>
    <w:rsid w:val="00FC3492"/>
    <w:pPr>
      <w:keepNext/>
      <w:keepLines/>
      <w:spacing w:before="60"/>
      <w:jc w:val="center"/>
    </w:pPr>
    <w:rPr>
      <w:rFonts w:ascii="Arial" w:hAnsi="Arial"/>
      <w:b/>
    </w:rPr>
  </w:style>
  <w:style w:type="character" w:customStyle="1" w:styleId="THChar">
    <w:name w:val="TH Char"/>
    <w:link w:val="TH"/>
    <w:qFormat/>
    <w:rsid w:val="00FC3492"/>
    <w:rPr>
      <w:rFonts w:ascii="Arial" w:eastAsia="MS Mincho" w:hAnsi="Arial" w:cs="Times New Roman"/>
      <w:b/>
      <w:kern w:val="0"/>
      <w:sz w:val="20"/>
      <w:szCs w:val="20"/>
      <w:lang w:val="en-GB" w:eastAsia="en-US"/>
    </w:rPr>
  </w:style>
  <w:style w:type="paragraph" w:styleId="a6">
    <w:name w:val="List Paragraph"/>
    <w:basedOn w:val="a"/>
    <w:uiPriority w:val="34"/>
    <w:qFormat/>
    <w:rsid w:val="007D3409"/>
    <w:pPr>
      <w:ind w:firstLineChars="200" w:firstLine="420"/>
    </w:pPr>
  </w:style>
  <w:style w:type="table" w:styleId="a7">
    <w:name w:val="Table Grid"/>
    <w:basedOn w:val="a1"/>
    <w:uiPriority w:val="39"/>
    <w:rsid w:val="00AF37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8725532">
      <w:bodyDiv w:val="1"/>
      <w:marLeft w:val="0"/>
      <w:marRight w:val="0"/>
      <w:marTop w:val="0"/>
      <w:marBottom w:val="0"/>
      <w:divBdr>
        <w:top w:val="none" w:sz="0" w:space="0" w:color="auto"/>
        <w:left w:val="none" w:sz="0" w:space="0" w:color="auto"/>
        <w:bottom w:val="none" w:sz="0" w:space="0" w:color="auto"/>
        <w:right w:val="none" w:sz="0" w:space="0" w:color="auto"/>
      </w:divBdr>
    </w:div>
    <w:div w:id="445389251">
      <w:bodyDiv w:val="1"/>
      <w:marLeft w:val="0"/>
      <w:marRight w:val="0"/>
      <w:marTop w:val="0"/>
      <w:marBottom w:val="0"/>
      <w:divBdr>
        <w:top w:val="none" w:sz="0" w:space="0" w:color="auto"/>
        <w:left w:val="none" w:sz="0" w:space="0" w:color="auto"/>
        <w:bottom w:val="none" w:sz="0" w:space="0" w:color="auto"/>
        <w:right w:val="none" w:sz="0" w:space="0" w:color="auto"/>
      </w:divBdr>
      <w:divsChild>
        <w:div w:id="951783100">
          <w:marLeft w:val="1080"/>
          <w:marRight w:val="0"/>
          <w:marTop w:val="100"/>
          <w:marBottom w:val="0"/>
          <w:divBdr>
            <w:top w:val="none" w:sz="0" w:space="0" w:color="auto"/>
            <w:left w:val="none" w:sz="0" w:space="0" w:color="auto"/>
            <w:bottom w:val="none" w:sz="0" w:space="0" w:color="auto"/>
            <w:right w:val="none" w:sz="0" w:space="0" w:color="auto"/>
          </w:divBdr>
        </w:div>
        <w:div w:id="458718439">
          <w:marLeft w:val="1800"/>
          <w:marRight w:val="0"/>
          <w:marTop w:val="100"/>
          <w:marBottom w:val="0"/>
          <w:divBdr>
            <w:top w:val="none" w:sz="0" w:space="0" w:color="auto"/>
            <w:left w:val="none" w:sz="0" w:space="0" w:color="auto"/>
            <w:bottom w:val="none" w:sz="0" w:space="0" w:color="auto"/>
            <w:right w:val="none" w:sz="0" w:space="0" w:color="auto"/>
          </w:divBdr>
        </w:div>
        <w:div w:id="1050149195">
          <w:marLeft w:val="1800"/>
          <w:marRight w:val="0"/>
          <w:marTop w:val="100"/>
          <w:marBottom w:val="0"/>
          <w:divBdr>
            <w:top w:val="none" w:sz="0" w:space="0" w:color="auto"/>
            <w:left w:val="none" w:sz="0" w:space="0" w:color="auto"/>
            <w:bottom w:val="none" w:sz="0" w:space="0" w:color="auto"/>
            <w:right w:val="none" w:sz="0" w:space="0" w:color="auto"/>
          </w:divBdr>
        </w:div>
      </w:divsChild>
    </w:div>
    <w:div w:id="848912390">
      <w:bodyDiv w:val="1"/>
      <w:marLeft w:val="0"/>
      <w:marRight w:val="0"/>
      <w:marTop w:val="0"/>
      <w:marBottom w:val="0"/>
      <w:divBdr>
        <w:top w:val="none" w:sz="0" w:space="0" w:color="auto"/>
        <w:left w:val="none" w:sz="0" w:space="0" w:color="auto"/>
        <w:bottom w:val="none" w:sz="0" w:space="0" w:color="auto"/>
        <w:right w:val="none" w:sz="0" w:space="0" w:color="auto"/>
      </w:divBdr>
    </w:div>
    <w:div w:id="932274737">
      <w:bodyDiv w:val="1"/>
      <w:marLeft w:val="0"/>
      <w:marRight w:val="0"/>
      <w:marTop w:val="0"/>
      <w:marBottom w:val="0"/>
      <w:divBdr>
        <w:top w:val="none" w:sz="0" w:space="0" w:color="auto"/>
        <w:left w:val="none" w:sz="0" w:space="0" w:color="auto"/>
        <w:bottom w:val="none" w:sz="0" w:space="0" w:color="auto"/>
        <w:right w:val="none" w:sz="0" w:space="0" w:color="auto"/>
      </w:divBdr>
    </w:div>
    <w:div w:id="1102335140">
      <w:bodyDiv w:val="1"/>
      <w:marLeft w:val="0"/>
      <w:marRight w:val="0"/>
      <w:marTop w:val="0"/>
      <w:marBottom w:val="0"/>
      <w:divBdr>
        <w:top w:val="none" w:sz="0" w:space="0" w:color="auto"/>
        <w:left w:val="none" w:sz="0" w:space="0" w:color="auto"/>
        <w:bottom w:val="none" w:sz="0" w:space="0" w:color="auto"/>
        <w:right w:val="none" w:sz="0" w:space="0" w:color="auto"/>
      </w:divBdr>
    </w:div>
    <w:div w:id="1350378664">
      <w:bodyDiv w:val="1"/>
      <w:marLeft w:val="0"/>
      <w:marRight w:val="0"/>
      <w:marTop w:val="0"/>
      <w:marBottom w:val="0"/>
      <w:divBdr>
        <w:top w:val="none" w:sz="0" w:space="0" w:color="auto"/>
        <w:left w:val="none" w:sz="0" w:space="0" w:color="auto"/>
        <w:bottom w:val="none" w:sz="0" w:space="0" w:color="auto"/>
        <w:right w:val="none" w:sz="0" w:space="0" w:color="auto"/>
      </w:divBdr>
      <w:divsChild>
        <w:div w:id="1241716138">
          <w:marLeft w:val="547"/>
          <w:marRight w:val="0"/>
          <w:marTop w:val="115"/>
          <w:marBottom w:val="0"/>
          <w:divBdr>
            <w:top w:val="none" w:sz="0" w:space="0" w:color="auto"/>
            <w:left w:val="none" w:sz="0" w:space="0" w:color="auto"/>
            <w:bottom w:val="none" w:sz="0" w:space="0" w:color="auto"/>
            <w:right w:val="none" w:sz="0" w:space="0" w:color="auto"/>
          </w:divBdr>
        </w:div>
        <w:div w:id="613904640">
          <w:marLeft w:val="1166"/>
          <w:marRight w:val="0"/>
          <w:marTop w:val="86"/>
          <w:marBottom w:val="0"/>
          <w:divBdr>
            <w:top w:val="none" w:sz="0" w:space="0" w:color="auto"/>
            <w:left w:val="none" w:sz="0" w:space="0" w:color="auto"/>
            <w:bottom w:val="none" w:sz="0" w:space="0" w:color="auto"/>
            <w:right w:val="none" w:sz="0" w:space="0" w:color="auto"/>
          </w:divBdr>
        </w:div>
        <w:div w:id="728649040">
          <w:marLeft w:val="1166"/>
          <w:marRight w:val="0"/>
          <w:marTop w:val="86"/>
          <w:marBottom w:val="0"/>
          <w:divBdr>
            <w:top w:val="none" w:sz="0" w:space="0" w:color="auto"/>
            <w:left w:val="none" w:sz="0" w:space="0" w:color="auto"/>
            <w:bottom w:val="none" w:sz="0" w:space="0" w:color="auto"/>
            <w:right w:val="none" w:sz="0" w:space="0" w:color="auto"/>
          </w:divBdr>
        </w:div>
        <w:div w:id="2120448163">
          <w:marLeft w:val="1166"/>
          <w:marRight w:val="0"/>
          <w:marTop w:val="86"/>
          <w:marBottom w:val="0"/>
          <w:divBdr>
            <w:top w:val="none" w:sz="0" w:space="0" w:color="auto"/>
            <w:left w:val="none" w:sz="0" w:space="0" w:color="auto"/>
            <w:bottom w:val="none" w:sz="0" w:space="0" w:color="auto"/>
            <w:right w:val="none" w:sz="0" w:space="0" w:color="auto"/>
          </w:divBdr>
        </w:div>
        <w:div w:id="268049625">
          <w:marLeft w:val="1166"/>
          <w:marRight w:val="0"/>
          <w:marTop w:val="86"/>
          <w:marBottom w:val="0"/>
          <w:divBdr>
            <w:top w:val="none" w:sz="0" w:space="0" w:color="auto"/>
            <w:left w:val="none" w:sz="0" w:space="0" w:color="auto"/>
            <w:bottom w:val="none" w:sz="0" w:space="0" w:color="auto"/>
            <w:right w:val="none" w:sz="0" w:space="0" w:color="auto"/>
          </w:divBdr>
        </w:div>
      </w:divsChild>
    </w:div>
    <w:div w:id="1534075072">
      <w:bodyDiv w:val="1"/>
      <w:marLeft w:val="0"/>
      <w:marRight w:val="0"/>
      <w:marTop w:val="0"/>
      <w:marBottom w:val="0"/>
      <w:divBdr>
        <w:top w:val="none" w:sz="0" w:space="0" w:color="auto"/>
        <w:left w:val="none" w:sz="0" w:space="0" w:color="auto"/>
        <w:bottom w:val="none" w:sz="0" w:space="0" w:color="auto"/>
        <w:right w:val="none" w:sz="0" w:space="0" w:color="auto"/>
      </w:divBdr>
    </w:div>
    <w:div w:id="1538737629">
      <w:bodyDiv w:val="1"/>
      <w:marLeft w:val="0"/>
      <w:marRight w:val="0"/>
      <w:marTop w:val="0"/>
      <w:marBottom w:val="0"/>
      <w:divBdr>
        <w:top w:val="none" w:sz="0" w:space="0" w:color="auto"/>
        <w:left w:val="none" w:sz="0" w:space="0" w:color="auto"/>
        <w:bottom w:val="none" w:sz="0" w:space="0" w:color="auto"/>
        <w:right w:val="none" w:sz="0" w:space="0" w:color="auto"/>
      </w:divBdr>
      <w:divsChild>
        <w:div w:id="488835600">
          <w:marLeft w:val="1166"/>
          <w:marRight w:val="0"/>
          <w:marTop w:val="77"/>
          <w:marBottom w:val="0"/>
          <w:divBdr>
            <w:top w:val="none" w:sz="0" w:space="0" w:color="auto"/>
            <w:left w:val="none" w:sz="0" w:space="0" w:color="auto"/>
            <w:bottom w:val="none" w:sz="0" w:space="0" w:color="auto"/>
            <w:right w:val="none" w:sz="0" w:space="0" w:color="auto"/>
          </w:divBdr>
        </w:div>
        <w:div w:id="1646474846">
          <w:marLeft w:val="1166"/>
          <w:marRight w:val="0"/>
          <w:marTop w:val="77"/>
          <w:marBottom w:val="0"/>
          <w:divBdr>
            <w:top w:val="none" w:sz="0" w:space="0" w:color="auto"/>
            <w:left w:val="none" w:sz="0" w:space="0" w:color="auto"/>
            <w:bottom w:val="none" w:sz="0" w:space="0" w:color="auto"/>
            <w:right w:val="none" w:sz="0" w:space="0" w:color="auto"/>
          </w:divBdr>
        </w:div>
        <w:div w:id="1955021107">
          <w:marLeft w:val="1166"/>
          <w:marRight w:val="0"/>
          <w:marTop w:val="77"/>
          <w:marBottom w:val="0"/>
          <w:divBdr>
            <w:top w:val="none" w:sz="0" w:space="0" w:color="auto"/>
            <w:left w:val="none" w:sz="0" w:space="0" w:color="auto"/>
            <w:bottom w:val="none" w:sz="0" w:space="0" w:color="auto"/>
            <w:right w:val="none" w:sz="0" w:space="0" w:color="auto"/>
          </w:divBdr>
        </w:div>
      </w:divsChild>
    </w:div>
    <w:div w:id="20227787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543</TotalTime>
  <Pages>2</Pages>
  <Words>647</Words>
  <Characters>3691</Characters>
  <Application>Microsoft Office Word</Application>
  <DocSecurity>0</DocSecurity>
  <Lines>30</Lines>
  <Paragraphs>8</Paragraphs>
  <ScaleCrop>false</ScaleCrop>
  <Company>HUAWEI</Company>
  <LinksUpToDate>false</LinksUpToDate>
  <CharactersWithSpaces>4330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38</cp:revision>
  <dcterms:created xsi:type="dcterms:W3CDTF">2019-09-18T02:52:00Z</dcterms:created>
  <dcterms:modified xsi:type="dcterms:W3CDTF">2020-02-14T17:35:00Z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(3)jiFD28v/ZqkBDOSOM462Aykv/2ltVMJyJbltDU6QRLK25wo/d7k/oxNQkd1Ki0f/mniLyu4q
NI5L3qc2sRZ/a1Bb+Q/mS6rV3TC5pz92g4IBVjuKD3PLLx3En1fW3xaQS6ZC2ttYaSUuVtHU
T6Q1mmUVSKQH/3D6Q1v9EwvX3AH73i56ezX5qbCimz+awR5gUCdKv4+zLFpHbIyk6jgYNC0C
/QoSiwE1l5Sw5WD2rE</vt:lpwstr>
  </property>
  <property fmtid="{D5CDD505-2E9C-101B-9397-08002B2CF9AE}" pid="3" name="_2015_ms_pID_7253431">
    <vt:lpwstr>T8tg03dEF5KRYgMCghp93NDTse4JVvqKVm+mUMtu2vZIt2iIq5wSCW
bbnFxN3/QZMvfzbAP2yHeYYF6Mor6s+s+47s+Lyd25Vwb2XrnblhkqvGetrVLPVkW05OnPaD
SGPFHIsf8A4AkulN4T7r8F38+3k7C7WH888otIUyGBzRQTt5OJPc35yR2OacQZmTXbzHPmYg
Cd/xXlqi7o8k4JsxOhqqlNH5n8q26c6ZDWRX</vt:lpwstr>
  </property>
  <property fmtid="{D5CDD505-2E9C-101B-9397-08002B2CF9AE}" pid="4" name="_2015_ms_pID_7253432">
    <vt:lpwstr>BZRbHkJX5pwLOWzBdr2L8MY=</vt:lpwstr>
  </property>
</Properties>
</file>