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0231" w:rsidRPr="002D2977" w:rsidRDefault="00DF0231" w:rsidP="00DF0231">
      <w:pPr>
        <w:pStyle w:val="a3"/>
        <w:tabs>
          <w:tab w:val="right" w:pos="9630"/>
          <w:tab w:val="right" w:pos="13323"/>
        </w:tabs>
        <w:rPr>
          <w:rFonts w:cs="Arial"/>
          <w:noProof w:val="0"/>
          <w:sz w:val="24"/>
          <w:szCs w:val="24"/>
          <w:lang w:eastAsia="ja-JP"/>
        </w:rPr>
      </w:pPr>
      <w:r w:rsidRPr="002D2977">
        <w:rPr>
          <w:rFonts w:cs="Arial"/>
          <w:noProof w:val="0"/>
          <w:sz w:val="24"/>
          <w:szCs w:val="24"/>
        </w:rPr>
        <w:t>3GPP TSG-RAN WG4 Meeting #9</w:t>
      </w:r>
      <w:r w:rsidR="00F0497C">
        <w:rPr>
          <w:rFonts w:cs="Arial"/>
          <w:noProof w:val="0"/>
          <w:sz w:val="24"/>
          <w:szCs w:val="24"/>
        </w:rPr>
        <w:t>3</w:t>
      </w:r>
      <w:r w:rsidRPr="002D2977">
        <w:rPr>
          <w:rFonts w:cs="Arial"/>
          <w:noProof w:val="0"/>
          <w:sz w:val="24"/>
          <w:szCs w:val="24"/>
        </w:rPr>
        <w:tab/>
      </w:r>
      <w:r w:rsidR="00DB2DD6" w:rsidRPr="00DB2DD6">
        <w:rPr>
          <w:rFonts w:cs="Arial"/>
          <w:noProof w:val="0"/>
          <w:sz w:val="24"/>
          <w:szCs w:val="24"/>
        </w:rPr>
        <w:t>R4-1914875</w:t>
      </w:r>
      <w:bookmarkStart w:id="0" w:name="_GoBack"/>
      <w:bookmarkEnd w:id="0"/>
    </w:p>
    <w:p w:rsidR="00A1597D" w:rsidRPr="00BD05EF" w:rsidRDefault="00F0497C" w:rsidP="00A1597D">
      <w:pPr>
        <w:pStyle w:val="3GPPHeader"/>
        <w:rPr>
          <w:lang w:val="en-US"/>
        </w:rPr>
      </w:pPr>
      <w:bookmarkStart w:id="1" w:name="OLE_LINK3"/>
      <w:bookmarkStart w:id="2" w:name="OLE_LINK4"/>
      <w:r w:rsidRPr="00F0497C">
        <w:rPr>
          <w:lang w:val="en-US"/>
        </w:rPr>
        <w:t>RENO</w:t>
      </w:r>
      <w:r w:rsidR="00A1597D" w:rsidRPr="00BD05EF">
        <w:rPr>
          <w:lang w:val="en-US"/>
        </w:rPr>
        <w:t xml:space="preserve">, </w:t>
      </w:r>
      <w:r>
        <w:rPr>
          <w:lang w:val="en-US"/>
        </w:rPr>
        <w:t>USA</w:t>
      </w:r>
      <w:r w:rsidR="00A1597D" w:rsidRPr="00BD05EF">
        <w:rPr>
          <w:lang w:val="en-US"/>
        </w:rPr>
        <w:t xml:space="preserve">, </w:t>
      </w:r>
      <w:r w:rsidR="00A1597D">
        <w:rPr>
          <w:lang w:val="en-US"/>
        </w:rPr>
        <w:t>October</w:t>
      </w:r>
      <w:r w:rsidR="00A1597D" w:rsidRPr="00BD05EF">
        <w:rPr>
          <w:lang w:val="en-US"/>
        </w:rPr>
        <w:t xml:space="preserve"> </w:t>
      </w:r>
      <w:r w:rsidR="00A1597D">
        <w:rPr>
          <w:lang w:val="en-US"/>
        </w:rPr>
        <w:t>1</w:t>
      </w:r>
      <w:r>
        <w:rPr>
          <w:lang w:val="en-US"/>
        </w:rPr>
        <w:t>8</w:t>
      </w:r>
      <w:r w:rsidR="00A1597D" w:rsidRPr="00BD05EF">
        <w:rPr>
          <w:lang w:val="en-US"/>
        </w:rPr>
        <w:t xml:space="preserve"> – </w:t>
      </w:r>
      <w:r>
        <w:rPr>
          <w:lang w:val="en-US"/>
        </w:rPr>
        <w:t>22</w:t>
      </w:r>
      <w:r w:rsidR="00A1597D" w:rsidRPr="00BD05EF">
        <w:rPr>
          <w:lang w:val="en-US"/>
        </w:rPr>
        <w:t>, 2019</w:t>
      </w:r>
    </w:p>
    <w:bookmarkEnd w:id="1"/>
    <w:bookmarkEnd w:id="2"/>
    <w:p w:rsidR="00DF0231" w:rsidRPr="002D2977" w:rsidRDefault="00DF0231" w:rsidP="00DF0231">
      <w:pPr>
        <w:pStyle w:val="a3"/>
        <w:rPr>
          <w:rFonts w:eastAsia="宋体"/>
          <w:noProof w:val="0"/>
          <w:sz w:val="24"/>
          <w:szCs w:val="24"/>
          <w:lang w:eastAsia="zh-CN"/>
        </w:rPr>
      </w:pP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AD3C17">
        <w:rPr>
          <w:rFonts w:ascii="Arial" w:hAnsi="Arial"/>
          <w:sz w:val="24"/>
          <w:lang w:val="en-US"/>
        </w:rPr>
        <w:t>9.1.4.2</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4131D2">
        <w:rPr>
          <w:rFonts w:ascii="Arial" w:hAnsi="Arial"/>
          <w:sz w:val="24"/>
          <w:lang w:val="en-US"/>
        </w:rPr>
        <w:t>Discussion on handover delay</w:t>
      </w:r>
      <w:r w:rsidR="00914A03" w:rsidRPr="00914A03">
        <w:rPr>
          <w:rFonts w:ascii="Arial" w:hAnsi="Arial"/>
          <w:sz w:val="24"/>
          <w:lang w:val="en-US"/>
        </w:rPr>
        <w:t xml:space="preserve"> requirements in NR-U</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4A7CF2" w:rsidRDefault="00DF0231" w:rsidP="00DF0231">
      <w:pPr>
        <w:rPr>
          <w:rFonts w:eastAsiaTheme="minorEastAsia"/>
          <w:lang w:val="en-US" w:eastAsia="zh-CN"/>
        </w:rPr>
      </w:pPr>
      <w:r w:rsidRPr="002D2977">
        <w:rPr>
          <w:rFonts w:eastAsiaTheme="minorEastAsia"/>
          <w:lang w:val="en-US" w:eastAsia="zh-CN"/>
        </w:rPr>
        <w:t>In last meeting RAN4 92</w:t>
      </w:r>
      <w:r w:rsidR="00E36DAA">
        <w:rPr>
          <w:rFonts w:eastAsiaTheme="minorEastAsia"/>
          <w:lang w:val="en-US" w:eastAsia="zh-CN"/>
        </w:rPr>
        <w:t>bis</w:t>
      </w:r>
      <w:r w:rsidRPr="002D2977">
        <w:rPr>
          <w:rFonts w:eastAsiaTheme="minorEastAsia"/>
          <w:lang w:val="en-US" w:eastAsia="zh-CN"/>
        </w:rPr>
        <w:t>, the RRM requirements and impact of NR-U are discussed, and the potential agreements and the remaining open issues</w:t>
      </w:r>
      <w:r w:rsidR="00914A03">
        <w:rPr>
          <w:rFonts w:eastAsiaTheme="minorEastAsia"/>
          <w:lang w:val="en-US" w:eastAsia="zh-CN"/>
        </w:rPr>
        <w:t xml:space="preserve"> about</w:t>
      </w:r>
      <w:r w:rsidR="004131D2" w:rsidRPr="004131D2">
        <w:t xml:space="preserve"> </w:t>
      </w:r>
      <w:r w:rsidR="004131D2" w:rsidRPr="004131D2">
        <w:rPr>
          <w:rFonts w:eastAsiaTheme="minorEastAsia"/>
          <w:lang w:val="en-US" w:eastAsia="zh-CN"/>
        </w:rPr>
        <w:t xml:space="preserve">handover delay </w:t>
      </w:r>
      <w:r w:rsidRPr="002D2977">
        <w:rPr>
          <w:rFonts w:eastAsiaTheme="minorEastAsia"/>
          <w:lang w:val="en-US" w:eastAsia="zh-CN"/>
        </w:rPr>
        <w:t>are summarized in the WF [1]</w:t>
      </w:r>
      <w:r w:rsidR="004A7CF2">
        <w:rPr>
          <w:rFonts w:eastAsiaTheme="minorEastAsia" w:hint="eastAsia"/>
          <w:lang w:val="en-US" w:eastAsia="zh-CN"/>
        </w:rPr>
        <w:t>.</w:t>
      </w:r>
    </w:p>
    <w:p w:rsidR="00DF0231" w:rsidRPr="002D2977" w:rsidRDefault="00DF0231" w:rsidP="00DF0231">
      <w:pPr>
        <w:rPr>
          <w:rFonts w:eastAsiaTheme="minorEastAsia"/>
          <w:lang w:val="en-US" w:eastAsia="zh-CN"/>
        </w:rPr>
      </w:pPr>
      <w:r w:rsidRPr="002D2977">
        <w:rPr>
          <w:rFonts w:eastAsiaTheme="minorEastAsia"/>
          <w:lang w:val="en-US" w:eastAsia="zh-CN"/>
        </w:rPr>
        <w:t xml:space="preserve">In this paper, we discuss the </w:t>
      </w:r>
      <w:r w:rsidR="00804945">
        <w:rPr>
          <w:rFonts w:eastAsiaTheme="minorEastAsia"/>
          <w:lang w:val="en-US" w:eastAsia="zh-CN"/>
        </w:rPr>
        <w:t xml:space="preserve">measurement requirements in </w:t>
      </w:r>
      <w:r w:rsidR="004131D2" w:rsidRPr="004131D2">
        <w:rPr>
          <w:rFonts w:eastAsiaTheme="minorEastAsia"/>
          <w:lang w:val="en-US" w:eastAsia="zh-CN"/>
        </w:rPr>
        <w:t>handover delay</w:t>
      </w:r>
      <w:r w:rsidR="00804945">
        <w:rPr>
          <w:rFonts w:eastAsiaTheme="minorEastAsia"/>
          <w:lang w:val="en-US" w:eastAsia="zh-CN"/>
        </w:rPr>
        <w:t xml:space="preserve"> </w:t>
      </w:r>
      <w:r w:rsidRPr="002D2977">
        <w:rPr>
          <w:rFonts w:eastAsiaTheme="minorEastAsia"/>
          <w:lang w:val="en-US" w:eastAsia="zh-CN"/>
        </w:rPr>
        <w:t>in NR-U based on the discussion in the last meeting.</w:t>
      </w:r>
    </w:p>
    <w:p w:rsidR="00DF0231" w:rsidRDefault="00DF0231" w:rsidP="00DF0231">
      <w:pPr>
        <w:pStyle w:val="1"/>
        <w:numPr>
          <w:ilvl w:val="0"/>
          <w:numId w:val="1"/>
        </w:numPr>
        <w:rPr>
          <w:lang w:val="en-US"/>
        </w:rPr>
      </w:pPr>
      <w:r w:rsidRPr="002D2977">
        <w:rPr>
          <w:lang w:val="en-US"/>
        </w:rPr>
        <w:t>Discussion</w:t>
      </w:r>
    </w:p>
    <w:p w:rsidR="00E36DAA" w:rsidRDefault="00E36DAA" w:rsidP="00E36DAA">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the last RAN4 92bis meeting, the delay requirements of Handover are discussion considering the impact of LBT in NR-U scenarios. </w:t>
      </w:r>
      <w:r w:rsidR="002112D9">
        <w:rPr>
          <w:rFonts w:eastAsiaTheme="minorEastAsia"/>
          <w:lang w:val="en-US" w:eastAsia="zh-CN"/>
        </w:rPr>
        <w:t>In the existing requirements in [2], the description of interruption uncertainty is for</w:t>
      </w:r>
      <w:r w:rsidR="002112D9" w:rsidRPr="002112D9">
        <w:rPr>
          <w:rFonts w:eastAsiaTheme="minorEastAsia"/>
          <w:lang w:val="en-US" w:eastAsia="zh-CN"/>
        </w:rPr>
        <w:t xml:space="preserve"> acquiring the first available PRACH occasion in the new cell</w:t>
      </w:r>
      <w:r w:rsidR="002112D9">
        <w:rPr>
          <w:rFonts w:eastAsiaTheme="minorEastAsia"/>
          <w:lang w:val="en-US" w:eastAsia="zh-CN"/>
        </w:rPr>
        <w:t>. However, in NR-U scenarios, the PRACH transmission could be dropped due to LBT failure. Therefore, the corresponding description are clarified in the last meeting as:</w:t>
      </w:r>
    </w:p>
    <w:tbl>
      <w:tblPr>
        <w:tblStyle w:val="a7"/>
        <w:tblW w:w="0" w:type="auto"/>
        <w:tblLook w:val="04A0" w:firstRow="1" w:lastRow="0" w:firstColumn="1" w:lastColumn="0" w:noHBand="0" w:noVBand="1"/>
      </w:tblPr>
      <w:tblGrid>
        <w:gridCol w:w="9562"/>
      </w:tblGrid>
      <w:tr w:rsidR="002112D9" w:rsidTr="002112D9">
        <w:tc>
          <w:tcPr>
            <w:tcW w:w="9562" w:type="dxa"/>
          </w:tcPr>
          <w:p w:rsidR="00262B29" w:rsidRPr="002112D9" w:rsidRDefault="000E2EB1" w:rsidP="002112D9">
            <w:pPr>
              <w:rPr>
                <w:rFonts w:eastAsiaTheme="minorEastAsia"/>
                <w:lang w:val="en-US" w:eastAsia="zh-CN"/>
              </w:rPr>
            </w:pPr>
            <w:r w:rsidRPr="002112D9">
              <w:rPr>
                <w:rFonts w:eastAsiaTheme="minorEastAsia"/>
                <w:lang w:val="en-US" w:eastAsia="zh-CN"/>
              </w:rPr>
              <w:t>T</w:t>
            </w:r>
            <w:r w:rsidRPr="002112D9">
              <w:rPr>
                <w:rFonts w:eastAsiaTheme="minorEastAsia"/>
                <w:vertAlign w:val="subscript"/>
                <w:lang w:val="en-US" w:eastAsia="zh-CN"/>
              </w:rPr>
              <w:t>IU</w:t>
            </w:r>
            <w:r w:rsidRPr="002112D9">
              <w:rPr>
                <w:rFonts w:eastAsiaTheme="minorEastAsia"/>
                <w:lang w:val="en-US" w:eastAsia="zh-CN"/>
              </w:rPr>
              <w:t xml:space="preserve"> is the interruption uncertainty due to the random access procedure whe</w:t>
            </w:r>
            <w:r w:rsidR="00AF6ED2">
              <w:rPr>
                <w:rFonts w:eastAsiaTheme="minorEastAsia"/>
                <w:lang w:val="en-US" w:eastAsia="zh-CN"/>
              </w:rPr>
              <w:t>n sending PRACH to the new cell</w:t>
            </w:r>
          </w:p>
          <w:p w:rsidR="002112D9" w:rsidRPr="002112D9" w:rsidRDefault="000E2EB1" w:rsidP="00E36DAA">
            <w:pPr>
              <w:numPr>
                <w:ilvl w:val="1"/>
                <w:numId w:val="3"/>
              </w:numPr>
              <w:rPr>
                <w:rFonts w:eastAsiaTheme="minorEastAsia"/>
                <w:lang w:val="en-US" w:eastAsia="zh-CN"/>
              </w:rPr>
            </w:pPr>
            <w:r w:rsidRPr="002112D9">
              <w:rPr>
                <w:rFonts w:eastAsiaTheme="minorEastAsia"/>
                <w:lang w:val="en-US" w:eastAsia="zh-CN"/>
              </w:rPr>
              <w:t>wait for RAN2 decision on the UL LBT failure mechanism before making the requirements for T</w:t>
            </w:r>
            <w:r w:rsidRPr="002112D9">
              <w:rPr>
                <w:rFonts w:eastAsiaTheme="minorEastAsia"/>
                <w:vertAlign w:val="subscript"/>
                <w:lang w:val="en-US" w:eastAsia="zh-CN"/>
              </w:rPr>
              <w:t xml:space="preserve">IU </w:t>
            </w:r>
            <w:r w:rsidRPr="002112D9">
              <w:rPr>
                <w:rFonts w:eastAsiaTheme="minorEastAsia"/>
                <w:lang w:val="en-US" w:eastAsia="zh-CN"/>
              </w:rPr>
              <w:t>of the handover procedures in NR-U</w:t>
            </w:r>
          </w:p>
        </w:tc>
      </w:tr>
    </w:tbl>
    <w:p w:rsidR="00AF6ED2" w:rsidRDefault="00AF6ED2" w:rsidP="00AF6ED2">
      <w:pPr>
        <w:jc w:val="both"/>
        <w:rPr>
          <w:rFonts w:eastAsiaTheme="minorEastAsia"/>
          <w:lang w:eastAsia="zh-CN"/>
        </w:rPr>
      </w:pPr>
      <w:r>
        <w:rPr>
          <w:rFonts w:eastAsiaTheme="minorEastAsia"/>
          <w:lang w:eastAsia="zh-CN"/>
        </w:rPr>
        <w:t>A new mechanism is under discussion to handle the UL LBT failure as follows</w:t>
      </w:r>
    </w:p>
    <w:tbl>
      <w:tblPr>
        <w:tblStyle w:val="a7"/>
        <w:tblW w:w="0" w:type="auto"/>
        <w:tblLook w:val="04A0" w:firstRow="1" w:lastRow="0" w:firstColumn="1" w:lastColumn="0" w:noHBand="0" w:noVBand="1"/>
      </w:tblPr>
      <w:tblGrid>
        <w:gridCol w:w="9562"/>
      </w:tblGrid>
      <w:tr w:rsidR="00AF6ED2" w:rsidTr="00FA5BB3">
        <w:tc>
          <w:tcPr>
            <w:tcW w:w="9562" w:type="dxa"/>
          </w:tcPr>
          <w:p w:rsidR="00AF6ED2" w:rsidRPr="00372DF4" w:rsidRDefault="00AF6ED2" w:rsidP="00FA5BB3">
            <w:pPr>
              <w:rPr>
                <w:u w:val="single"/>
                <w:lang w:eastAsia="ja-JP"/>
              </w:rPr>
            </w:pPr>
            <w:r w:rsidRPr="00372DF4">
              <w:rPr>
                <w:highlight w:val="green"/>
                <w:u w:val="single"/>
                <w:lang w:eastAsia="ja-JP"/>
              </w:rPr>
              <w:t>Agreements in RAN2 #107</w:t>
            </w:r>
          </w:p>
          <w:p w:rsidR="00AF6ED2" w:rsidRPr="00372DF4" w:rsidRDefault="00AF6ED2" w:rsidP="00FA5BB3">
            <w:pPr>
              <w:pStyle w:val="Agreement"/>
              <w:tabs>
                <w:tab w:val="clear" w:pos="927"/>
              </w:tabs>
              <w:ind w:left="810" w:hanging="450"/>
              <w:rPr>
                <w:b w:val="0"/>
                <w:szCs w:val="20"/>
              </w:rPr>
            </w:pPr>
            <w:r w:rsidRPr="00372DF4">
              <w:rPr>
                <w:b w:val="0"/>
                <w:szCs w:val="20"/>
              </w:rPr>
              <w:t xml:space="preserve">L2 LBT failure mechanism take into account any LBT failure regardless UL transmission type. </w:t>
            </w:r>
          </w:p>
          <w:p w:rsidR="00AF6ED2" w:rsidRPr="00372DF4" w:rsidRDefault="00AF6ED2" w:rsidP="00FA5BB3">
            <w:pPr>
              <w:pStyle w:val="Agreement"/>
              <w:tabs>
                <w:tab w:val="clear" w:pos="927"/>
              </w:tabs>
              <w:ind w:left="810" w:hanging="450"/>
              <w:rPr>
                <w:b w:val="0"/>
                <w:szCs w:val="20"/>
              </w:rPr>
            </w:pPr>
            <w:r w:rsidRPr="00372DF4">
              <w:rPr>
                <w:b w:val="0"/>
                <w:szCs w:val="20"/>
              </w:rPr>
              <w:t>The UL LBT failure mechanism will have the same recovery mechanism for all failures regardless UL transmission type</w:t>
            </w:r>
          </w:p>
          <w:p w:rsidR="00AF6ED2" w:rsidRPr="00372DF4" w:rsidRDefault="00AF6ED2" w:rsidP="00FA5BB3">
            <w:pPr>
              <w:pStyle w:val="Agreement"/>
              <w:tabs>
                <w:tab w:val="clear" w:pos="927"/>
              </w:tabs>
              <w:ind w:left="810" w:hanging="450"/>
              <w:rPr>
                <w:b w:val="0"/>
                <w:szCs w:val="20"/>
              </w:rPr>
            </w:pPr>
            <w:r w:rsidRPr="00372DF4">
              <w:rPr>
                <w:b w:val="0"/>
                <w:szCs w:val="20"/>
              </w:rPr>
              <w:t>UL LBT failures are detected per BWP</w:t>
            </w:r>
          </w:p>
          <w:p w:rsidR="00AF6ED2" w:rsidRPr="00372DF4" w:rsidRDefault="00AF6ED2" w:rsidP="00FA5BB3">
            <w:pPr>
              <w:pStyle w:val="Agreement"/>
              <w:tabs>
                <w:tab w:val="clear" w:pos="927"/>
              </w:tabs>
              <w:ind w:left="810" w:hanging="450"/>
              <w:rPr>
                <w:b w:val="0"/>
                <w:szCs w:val="20"/>
              </w:rPr>
            </w:pPr>
            <w:r w:rsidRPr="00372DF4">
              <w:rPr>
                <w:b w:val="0"/>
                <w:szCs w:val="20"/>
              </w:rPr>
              <w:t xml:space="preserve">The UE will report the occurrence of consistent UL LBT failures on </w:t>
            </w:r>
            <w:proofErr w:type="spellStart"/>
            <w:r w:rsidRPr="00372DF4">
              <w:rPr>
                <w:b w:val="0"/>
                <w:szCs w:val="20"/>
              </w:rPr>
              <w:t>PSCell</w:t>
            </w:r>
            <w:proofErr w:type="spellEnd"/>
            <w:r w:rsidRPr="00372DF4">
              <w:rPr>
                <w:b w:val="0"/>
                <w:szCs w:val="20"/>
              </w:rPr>
              <w:t xml:space="preserve"> and </w:t>
            </w:r>
            <w:proofErr w:type="spellStart"/>
            <w:r w:rsidRPr="00372DF4">
              <w:rPr>
                <w:b w:val="0"/>
                <w:szCs w:val="20"/>
              </w:rPr>
              <w:t>SCells</w:t>
            </w:r>
            <w:proofErr w:type="spellEnd"/>
            <w:r w:rsidRPr="00372DF4">
              <w:rPr>
                <w:b w:val="0"/>
                <w:szCs w:val="20"/>
              </w:rPr>
              <w:t xml:space="preserve">. The assumption is to reuse </w:t>
            </w:r>
            <w:proofErr w:type="spellStart"/>
            <w:r w:rsidRPr="00372DF4">
              <w:rPr>
                <w:b w:val="0"/>
                <w:szCs w:val="20"/>
              </w:rPr>
              <w:t>SCell</w:t>
            </w:r>
            <w:proofErr w:type="spellEnd"/>
            <w:r w:rsidRPr="00372DF4">
              <w:rPr>
                <w:b w:val="0"/>
                <w:szCs w:val="20"/>
              </w:rPr>
              <w:t xml:space="preserve"> failure reporting for BF</w:t>
            </w:r>
          </w:p>
          <w:p w:rsidR="00AF6ED2" w:rsidRPr="00372DF4" w:rsidRDefault="00AF6ED2" w:rsidP="00FA5BB3">
            <w:pPr>
              <w:pStyle w:val="Doc-text2"/>
              <w:tabs>
                <w:tab w:val="clear" w:pos="1622"/>
              </w:tabs>
              <w:ind w:left="810" w:hanging="450"/>
              <w:rPr>
                <w:szCs w:val="20"/>
              </w:rPr>
            </w:pPr>
          </w:p>
          <w:p w:rsidR="00AF6ED2" w:rsidRPr="00372DF4" w:rsidRDefault="00AF6ED2" w:rsidP="00FA5BB3">
            <w:pPr>
              <w:pStyle w:val="Doc-text2"/>
              <w:tabs>
                <w:tab w:val="clear" w:pos="1622"/>
              </w:tabs>
              <w:ind w:left="810" w:hanging="450"/>
              <w:rPr>
                <w:szCs w:val="20"/>
              </w:rPr>
            </w:pPr>
            <w:r w:rsidRPr="00372DF4">
              <w:rPr>
                <w:szCs w:val="20"/>
              </w:rPr>
              <w:t xml:space="preserve">Baseline Mechanism, further enhancements not precluded: </w:t>
            </w:r>
          </w:p>
          <w:p w:rsidR="00AF6ED2" w:rsidRPr="00372DF4" w:rsidRDefault="00AF6ED2" w:rsidP="00FA5BB3">
            <w:pPr>
              <w:pStyle w:val="Agreement"/>
              <w:tabs>
                <w:tab w:val="clear" w:pos="927"/>
              </w:tabs>
              <w:ind w:left="810" w:hanging="450"/>
              <w:rPr>
                <w:b w:val="0"/>
                <w:szCs w:val="20"/>
              </w:rPr>
            </w:pPr>
            <w:r w:rsidRPr="00372DF4">
              <w:rPr>
                <w:b w:val="0"/>
                <w:szCs w:val="20"/>
              </w:rPr>
              <w:t xml:space="preserve">A “threshold” for the maximum number of LBT failures which triggers the “consistent” LBT failure event will be used. </w:t>
            </w:r>
          </w:p>
          <w:p w:rsidR="00AF6ED2" w:rsidRPr="00372DF4" w:rsidRDefault="00AF6ED2" w:rsidP="00FA5BB3">
            <w:pPr>
              <w:pStyle w:val="Agreement"/>
              <w:tabs>
                <w:tab w:val="clear" w:pos="927"/>
              </w:tabs>
              <w:ind w:left="810" w:hanging="450"/>
              <w:rPr>
                <w:b w:val="0"/>
                <w:szCs w:val="20"/>
              </w:rPr>
            </w:pPr>
            <w:r w:rsidRPr="00372DF4">
              <w:rPr>
                <w:b w:val="0"/>
                <w:szCs w:val="20"/>
              </w:rPr>
              <w:t>Both a timer and a counter are introduced, the counter is reset when timer expires and incremented when UL LBT failure happens</w:t>
            </w:r>
          </w:p>
          <w:p w:rsidR="00AF6ED2" w:rsidRPr="00372DF4" w:rsidRDefault="00AF6ED2" w:rsidP="00FA5BB3">
            <w:pPr>
              <w:pStyle w:val="Agreement"/>
              <w:tabs>
                <w:tab w:val="clear" w:pos="927"/>
              </w:tabs>
              <w:ind w:left="810" w:hanging="450"/>
              <w:rPr>
                <w:b w:val="0"/>
                <w:szCs w:val="20"/>
              </w:rPr>
            </w:pPr>
            <w:r w:rsidRPr="00372DF4">
              <w:rPr>
                <w:b w:val="0"/>
                <w:szCs w:val="20"/>
              </w:rPr>
              <w:t>The timer is started/restarted when UL LBT failure occur.</w:t>
            </w:r>
          </w:p>
          <w:p w:rsidR="00AF6ED2" w:rsidRPr="00372DF4" w:rsidRDefault="00AF6ED2" w:rsidP="00FA5BB3">
            <w:pPr>
              <w:rPr>
                <w:highlight w:val="green"/>
                <w:u w:val="single"/>
                <w:lang w:eastAsia="ja-JP"/>
              </w:rPr>
            </w:pPr>
          </w:p>
          <w:p w:rsidR="00AF6ED2" w:rsidRPr="00372DF4" w:rsidRDefault="00AF6ED2" w:rsidP="00FA5BB3">
            <w:pPr>
              <w:rPr>
                <w:u w:val="single"/>
                <w:lang w:eastAsia="ja-JP"/>
              </w:rPr>
            </w:pPr>
            <w:r w:rsidRPr="00372DF4">
              <w:rPr>
                <w:highlight w:val="green"/>
                <w:u w:val="single"/>
                <w:lang w:eastAsia="ja-JP"/>
              </w:rPr>
              <w:t>Agreements in RAN2 #107bis</w:t>
            </w:r>
          </w:p>
          <w:p w:rsidR="00AF6ED2" w:rsidRPr="00372DF4" w:rsidRDefault="00AF6ED2" w:rsidP="00FA5BB3">
            <w:pPr>
              <w:widowControl w:val="0"/>
              <w:numPr>
                <w:ilvl w:val="0"/>
                <w:numId w:val="5"/>
              </w:numPr>
              <w:tabs>
                <w:tab w:val="left" w:pos="1622"/>
              </w:tabs>
              <w:spacing w:after="0"/>
              <w:jc w:val="both"/>
              <w:rPr>
                <w:rFonts w:ascii="Arial" w:eastAsia="Yu Gothic" w:hAnsi="Arial" w:cs="Calibri"/>
                <w:i/>
                <w:kern w:val="2"/>
                <w:lang w:val="x-none" w:eastAsia="x-none"/>
              </w:rPr>
            </w:pPr>
            <w:r w:rsidRPr="00372DF4">
              <w:rPr>
                <w:rFonts w:ascii="Arial" w:eastAsia="Yu Gothic" w:hAnsi="Arial" w:cs="Calibri"/>
                <w:kern w:val="2"/>
                <w:lang w:val="x-none" w:eastAsia="x-none"/>
              </w:rPr>
              <w:t xml:space="preserve">MAC relies on reception of a notification of UL LBT failure from the physical layer to detect a consistent UL LBT failure.  </w:t>
            </w:r>
          </w:p>
          <w:p w:rsidR="00AF6ED2" w:rsidRPr="00372DF4" w:rsidRDefault="00AF6ED2" w:rsidP="00FA5BB3">
            <w:pPr>
              <w:widowControl w:val="0"/>
              <w:numPr>
                <w:ilvl w:val="0"/>
                <w:numId w:val="5"/>
              </w:numPr>
              <w:tabs>
                <w:tab w:val="left" w:pos="1622"/>
              </w:tabs>
              <w:spacing w:after="0"/>
              <w:jc w:val="both"/>
              <w:rPr>
                <w:rFonts w:ascii="Arial" w:eastAsia="Yu Gothic" w:hAnsi="Arial" w:cs="Calibri"/>
                <w:kern w:val="2"/>
                <w:lang w:val="x-none" w:eastAsia="x-none"/>
              </w:rPr>
            </w:pPr>
            <w:r w:rsidRPr="00372DF4">
              <w:rPr>
                <w:rFonts w:ascii="Arial" w:eastAsia="Yu Gothic" w:hAnsi="Arial" w:cs="Calibri"/>
                <w:kern w:val="2"/>
                <w:lang w:val="x-none" w:eastAsia="x-none"/>
              </w:rPr>
              <w:t xml:space="preserve">The UE switches to another BWP and initiates RACH upon declaration of consistent LBT failure </w:t>
            </w:r>
            <w:r w:rsidRPr="00372DF4">
              <w:rPr>
                <w:rFonts w:ascii="Arial" w:eastAsia="Yu Gothic" w:hAnsi="Arial" w:cs="Calibri"/>
                <w:kern w:val="2"/>
                <w:lang w:val="x-none" w:eastAsia="x-none"/>
              </w:rPr>
              <w:lastRenderedPageBreak/>
              <w:t xml:space="preserve">on </w:t>
            </w:r>
            <w:proofErr w:type="spellStart"/>
            <w:r w:rsidRPr="00372DF4">
              <w:rPr>
                <w:rFonts w:ascii="Arial" w:eastAsia="Yu Gothic" w:hAnsi="Arial" w:cs="Calibri"/>
                <w:kern w:val="2"/>
                <w:lang w:val="x-none" w:eastAsia="x-none"/>
              </w:rPr>
              <w:t>PCell</w:t>
            </w:r>
            <w:proofErr w:type="spellEnd"/>
            <w:r w:rsidRPr="00372DF4">
              <w:rPr>
                <w:rFonts w:ascii="Arial" w:eastAsia="Yu Gothic" w:hAnsi="Arial" w:cs="Calibri"/>
                <w:kern w:val="2"/>
                <w:lang w:val="x-none" w:eastAsia="x-none"/>
              </w:rPr>
              <w:t xml:space="preserve"> </w:t>
            </w:r>
            <w:r w:rsidRPr="00372DF4">
              <w:rPr>
                <w:rFonts w:ascii="Arial" w:eastAsia="Yu Gothic" w:hAnsi="Arial" w:cs="Calibri"/>
                <w:i/>
                <w:kern w:val="2"/>
                <w:lang w:val="x-none" w:eastAsia="x-none"/>
              </w:rPr>
              <w:t xml:space="preserve">or </w:t>
            </w:r>
            <w:proofErr w:type="spellStart"/>
            <w:r w:rsidRPr="00372DF4">
              <w:rPr>
                <w:rFonts w:ascii="Arial" w:eastAsia="Yu Gothic" w:hAnsi="Arial" w:cs="Calibri"/>
                <w:i/>
                <w:kern w:val="2"/>
                <w:lang w:val="x-none" w:eastAsia="x-none"/>
              </w:rPr>
              <w:t>PSCell</w:t>
            </w:r>
            <w:proofErr w:type="spellEnd"/>
            <w:r w:rsidRPr="00372DF4">
              <w:rPr>
                <w:rFonts w:ascii="Arial" w:eastAsia="Yu Gothic" w:hAnsi="Arial" w:cs="Calibri"/>
                <w:kern w:val="2"/>
                <w:lang w:val="x-none" w:eastAsia="x-none"/>
              </w:rPr>
              <w:t xml:space="preserve"> if there is another BWP with configured RACH resources.    </w:t>
            </w:r>
          </w:p>
          <w:p w:rsidR="00AF6ED2" w:rsidRPr="00372DF4" w:rsidRDefault="00AF6ED2" w:rsidP="00FA5BB3">
            <w:pPr>
              <w:widowControl w:val="0"/>
              <w:numPr>
                <w:ilvl w:val="0"/>
                <w:numId w:val="5"/>
              </w:numPr>
              <w:tabs>
                <w:tab w:val="left" w:pos="1622"/>
              </w:tabs>
              <w:spacing w:after="0"/>
              <w:jc w:val="both"/>
              <w:rPr>
                <w:rFonts w:ascii="Arial" w:eastAsia="Yu Gothic" w:hAnsi="Arial" w:cs="Calibri"/>
                <w:kern w:val="2"/>
                <w:lang w:val="x-none" w:eastAsia="x-none"/>
              </w:rPr>
            </w:pPr>
            <w:r w:rsidRPr="00372DF4">
              <w:rPr>
                <w:rFonts w:ascii="Arial" w:eastAsia="Yu Gothic" w:hAnsi="Arial" w:cs="Calibri"/>
                <w:kern w:val="2"/>
                <w:lang w:val="x-none" w:eastAsia="x-none"/>
              </w:rPr>
              <w:t xml:space="preserve">The UE shall perform RLF recovery if the consistent UL LBT failure was detected on the </w:t>
            </w:r>
            <w:proofErr w:type="spellStart"/>
            <w:r w:rsidRPr="00372DF4">
              <w:rPr>
                <w:rFonts w:ascii="Arial" w:eastAsia="Yu Gothic" w:hAnsi="Arial" w:cs="Calibri"/>
                <w:kern w:val="2"/>
                <w:lang w:val="x-none" w:eastAsia="x-none"/>
              </w:rPr>
              <w:t>PCell</w:t>
            </w:r>
            <w:proofErr w:type="spellEnd"/>
            <w:r w:rsidRPr="00372DF4">
              <w:rPr>
                <w:rFonts w:ascii="Arial" w:eastAsia="Yu Gothic" w:hAnsi="Arial" w:cs="Calibri"/>
                <w:kern w:val="2"/>
                <w:lang w:val="x-none" w:eastAsia="x-none"/>
              </w:rPr>
              <w:t xml:space="preserve"> and UL LBT failure was detected on “N” possible BWP.   “ </w:t>
            </w:r>
          </w:p>
          <w:p w:rsidR="00AF6ED2" w:rsidRPr="00372DF4" w:rsidRDefault="00AF6ED2" w:rsidP="00FA5BB3">
            <w:pPr>
              <w:widowControl w:val="0"/>
              <w:numPr>
                <w:ilvl w:val="0"/>
                <w:numId w:val="5"/>
              </w:numPr>
              <w:tabs>
                <w:tab w:val="left" w:pos="1622"/>
              </w:tabs>
              <w:spacing w:after="0"/>
              <w:jc w:val="both"/>
              <w:rPr>
                <w:rFonts w:ascii="Arial" w:eastAsia="Yu Gothic" w:hAnsi="Arial" w:cs="Calibri"/>
                <w:kern w:val="2"/>
                <w:lang w:val="x-none" w:eastAsia="x-none"/>
              </w:rPr>
            </w:pPr>
            <w:r w:rsidRPr="00372DF4">
              <w:rPr>
                <w:rFonts w:ascii="Arial" w:eastAsia="Yu Gothic" w:hAnsi="Arial" w:cs="Calibri"/>
                <w:kern w:val="2"/>
                <w:lang w:val="x-none" w:eastAsia="x-none"/>
              </w:rPr>
              <w:t xml:space="preserve">When consistent uplink LBT failures are detected on the </w:t>
            </w:r>
            <w:proofErr w:type="spellStart"/>
            <w:r w:rsidRPr="00372DF4">
              <w:rPr>
                <w:rFonts w:ascii="Arial" w:eastAsia="Yu Gothic" w:hAnsi="Arial" w:cs="Calibri"/>
                <w:kern w:val="2"/>
                <w:lang w:val="x-none" w:eastAsia="x-none"/>
              </w:rPr>
              <w:t>PSCell</w:t>
            </w:r>
            <w:proofErr w:type="spellEnd"/>
            <w:r w:rsidRPr="00372DF4">
              <w:rPr>
                <w:rFonts w:ascii="Arial" w:eastAsia="Yu Gothic" w:hAnsi="Arial" w:cs="Calibri"/>
                <w:kern w:val="2"/>
                <w:lang w:val="x-none" w:eastAsia="x-none"/>
              </w:rPr>
              <w:t xml:space="preserve">, the UE informs MN via the SCG failure information procedure after detecting a consistent UL LBT failure on “N” BWPs.   </w:t>
            </w:r>
          </w:p>
          <w:p w:rsidR="00AF6ED2" w:rsidRPr="00372DF4" w:rsidRDefault="00AF6ED2" w:rsidP="00FA5BB3">
            <w:pPr>
              <w:widowControl w:val="0"/>
              <w:numPr>
                <w:ilvl w:val="0"/>
                <w:numId w:val="5"/>
              </w:numPr>
              <w:tabs>
                <w:tab w:val="left" w:pos="1622"/>
              </w:tabs>
              <w:spacing w:after="0"/>
              <w:jc w:val="both"/>
              <w:rPr>
                <w:rFonts w:ascii="Arial" w:eastAsia="Yu Gothic" w:hAnsi="Arial" w:cs="Calibri"/>
                <w:kern w:val="2"/>
                <w:lang w:val="x-none" w:eastAsia="x-none"/>
              </w:rPr>
            </w:pPr>
            <w:r w:rsidRPr="00372DF4">
              <w:rPr>
                <w:rFonts w:ascii="Arial" w:eastAsia="Yu Gothic" w:hAnsi="Arial" w:cs="Calibri"/>
                <w:kern w:val="2"/>
                <w:lang w:val="x-none" w:eastAsia="x-none"/>
              </w:rPr>
              <w:t xml:space="preserve">“N” is the number of configured BWPs with configured PRACH resources.   If N is larger than one it is up to the UE implementation which BWP the UE selects.  </w:t>
            </w:r>
          </w:p>
          <w:p w:rsidR="00AF6ED2" w:rsidRPr="00372DF4" w:rsidRDefault="00AF6ED2" w:rsidP="00FA5BB3">
            <w:pPr>
              <w:widowControl w:val="0"/>
              <w:numPr>
                <w:ilvl w:val="0"/>
                <w:numId w:val="5"/>
              </w:numPr>
              <w:tabs>
                <w:tab w:val="left" w:pos="1622"/>
              </w:tabs>
              <w:spacing w:after="0"/>
              <w:jc w:val="both"/>
              <w:rPr>
                <w:rFonts w:ascii="Arial" w:eastAsia="Yu Gothic" w:hAnsi="Arial" w:cs="Calibri"/>
                <w:kern w:val="2"/>
                <w:lang w:val="x-none" w:eastAsia="x-none"/>
              </w:rPr>
            </w:pPr>
            <w:r w:rsidRPr="00372DF4">
              <w:rPr>
                <w:rFonts w:ascii="Arial" w:eastAsia="Yu Gothic" w:hAnsi="Arial" w:cs="Calibri"/>
                <w:kern w:val="2"/>
                <w:lang w:val="x-none" w:eastAsia="x-none"/>
              </w:rPr>
              <w:t xml:space="preserve">When consistent uplink LBT failures are detected on an </w:t>
            </w:r>
            <w:proofErr w:type="spellStart"/>
            <w:r w:rsidRPr="00372DF4">
              <w:rPr>
                <w:rFonts w:ascii="Arial" w:eastAsia="Yu Gothic" w:hAnsi="Arial" w:cs="Calibri"/>
                <w:kern w:val="2"/>
                <w:lang w:val="x-none" w:eastAsia="x-none"/>
              </w:rPr>
              <w:t>SCell</w:t>
            </w:r>
            <w:proofErr w:type="spellEnd"/>
            <w:r w:rsidRPr="00372DF4">
              <w:rPr>
                <w:rFonts w:ascii="Arial" w:eastAsia="Yu Gothic" w:hAnsi="Arial" w:cs="Calibri"/>
                <w:kern w:val="2"/>
                <w:lang w:val="x-none" w:eastAsia="x-none"/>
              </w:rPr>
              <w:t xml:space="preserve">, a new MAC CE to report this to the node where </w:t>
            </w:r>
            <w:proofErr w:type="spellStart"/>
            <w:r w:rsidRPr="00372DF4">
              <w:rPr>
                <w:rFonts w:ascii="Arial" w:eastAsia="Yu Gothic" w:hAnsi="Arial" w:cs="Calibri"/>
                <w:kern w:val="2"/>
                <w:lang w:val="x-none" w:eastAsia="x-none"/>
              </w:rPr>
              <w:t>SCell</w:t>
            </w:r>
            <w:proofErr w:type="spellEnd"/>
            <w:r w:rsidRPr="00372DF4">
              <w:rPr>
                <w:rFonts w:ascii="Arial" w:eastAsia="Yu Gothic" w:hAnsi="Arial" w:cs="Calibri"/>
                <w:kern w:val="2"/>
                <w:lang w:val="x-none" w:eastAsia="x-none"/>
              </w:rPr>
              <w:t xml:space="preserve"> belongs to is used.  FFS whether the MAC CE can be used to report failure on </w:t>
            </w:r>
            <w:proofErr w:type="spellStart"/>
            <w:r w:rsidRPr="00372DF4">
              <w:rPr>
                <w:rFonts w:ascii="Arial" w:eastAsia="Yu Gothic" w:hAnsi="Arial" w:cs="Calibri"/>
                <w:kern w:val="2"/>
                <w:lang w:val="x-none" w:eastAsia="x-none"/>
              </w:rPr>
              <w:t>PCell</w:t>
            </w:r>
            <w:proofErr w:type="spellEnd"/>
          </w:p>
          <w:p w:rsidR="00AF6ED2" w:rsidRPr="00BD05DD" w:rsidRDefault="00AF6ED2" w:rsidP="00FA5BB3">
            <w:pPr>
              <w:jc w:val="both"/>
              <w:rPr>
                <w:rFonts w:eastAsiaTheme="minorEastAsia"/>
                <w:lang w:val="x-none" w:eastAsia="zh-CN"/>
              </w:rPr>
            </w:pPr>
          </w:p>
        </w:tc>
      </w:tr>
    </w:tbl>
    <w:p w:rsidR="00AF6ED2" w:rsidRDefault="00AF6ED2" w:rsidP="00AF6ED2">
      <w:pPr>
        <w:jc w:val="both"/>
        <w:rPr>
          <w:rFonts w:eastAsiaTheme="minorEastAsia"/>
          <w:lang w:val="en-US" w:eastAsia="zh-CN"/>
        </w:rPr>
      </w:pPr>
    </w:p>
    <w:p w:rsidR="00061EA0" w:rsidRDefault="00061EA0" w:rsidP="00061EA0">
      <w:pPr>
        <w:jc w:val="both"/>
        <w:rPr>
          <w:rFonts w:eastAsiaTheme="minorEastAsia"/>
          <w:lang w:val="en-US" w:eastAsia="zh-CN"/>
        </w:rPr>
      </w:pPr>
      <w:r>
        <w:rPr>
          <w:rFonts w:eastAsiaTheme="minorEastAsia"/>
          <w:lang w:val="en-US" w:eastAsia="zh-CN"/>
        </w:rPr>
        <w:t xml:space="preserve">Based on the latest discussion of UL LBT failure mechanism in RAN2, UE will switch to another BWP and initiates RACH upon declaration of consistent LBT failure. However, whether the recovery mechanism applies to the case before RRC establishment is still under discussion. </w:t>
      </w:r>
    </w:p>
    <w:p w:rsidR="00AF6ED2" w:rsidRPr="00061EA0" w:rsidRDefault="00AF6ED2" w:rsidP="00AF6ED2">
      <w:pPr>
        <w:jc w:val="both"/>
        <w:rPr>
          <w:rFonts w:eastAsiaTheme="minorEastAsia"/>
          <w:lang w:val="en-US" w:eastAsia="zh-CN"/>
        </w:rPr>
      </w:pPr>
      <w:r>
        <w:rPr>
          <w:rFonts w:eastAsiaTheme="minorEastAsia"/>
          <w:lang w:val="en-US" w:eastAsia="zh-CN"/>
        </w:rPr>
        <w:t xml:space="preserve">According to the previous agreements in RAN2 shown below, </w:t>
      </w:r>
      <w:r w:rsidR="00061EA0">
        <w:rPr>
          <w:rFonts w:eastAsiaTheme="minorEastAsia"/>
          <w:lang w:val="en-US" w:eastAsia="zh-CN"/>
        </w:rPr>
        <w:t>UE will returns to resource selection if the Msg1 transmission is dropped.</w:t>
      </w:r>
    </w:p>
    <w:tbl>
      <w:tblPr>
        <w:tblStyle w:val="a7"/>
        <w:tblW w:w="0" w:type="auto"/>
        <w:tblLook w:val="04A0" w:firstRow="1" w:lastRow="0" w:firstColumn="1" w:lastColumn="0" w:noHBand="0" w:noVBand="1"/>
      </w:tblPr>
      <w:tblGrid>
        <w:gridCol w:w="9562"/>
      </w:tblGrid>
      <w:tr w:rsidR="00AF6ED2" w:rsidTr="00FA5BB3">
        <w:tc>
          <w:tcPr>
            <w:tcW w:w="9562" w:type="dxa"/>
          </w:tcPr>
          <w:p w:rsidR="00AF6ED2" w:rsidRPr="00372DF4" w:rsidRDefault="00AF6ED2" w:rsidP="00FA5BB3">
            <w:pPr>
              <w:rPr>
                <w:u w:val="single"/>
                <w:lang w:eastAsia="ja-JP"/>
              </w:rPr>
            </w:pPr>
            <w:r w:rsidRPr="00372DF4">
              <w:rPr>
                <w:highlight w:val="green"/>
                <w:u w:val="single"/>
                <w:lang w:eastAsia="ja-JP"/>
              </w:rPr>
              <w:t>Agreements in RAN2 #10</w:t>
            </w:r>
            <w:r>
              <w:rPr>
                <w:highlight w:val="green"/>
                <w:u w:val="single"/>
                <w:lang w:eastAsia="ja-JP"/>
              </w:rPr>
              <w:t>5</w:t>
            </w:r>
            <w:r w:rsidRPr="00372DF4">
              <w:rPr>
                <w:highlight w:val="green"/>
                <w:u w:val="single"/>
                <w:lang w:eastAsia="ja-JP"/>
              </w:rPr>
              <w:t>bis</w:t>
            </w:r>
          </w:p>
          <w:p w:rsidR="00AF6ED2" w:rsidRPr="00372DF4" w:rsidRDefault="00AF6ED2" w:rsidP="00FA5BB3">
            <w:pPr>
              <w:pStyle w:val="Agreement"/>
              <w:tabs>
                <w:tab w:val="clear" w:pos="927"/>
              </w:tabs>
              <w:ind w:left="810" w:hanging="450"/>
              <w:rPr>
                <w:b w:val="0"/>
                <w:szCs w:val="20"/>
              </w:rPr>
            </w:pPr>
            <w:r w:rsidRPr="00372DF4">
              <w:rPr>
                <w:rFonts w:eastAsiaTheme="minorEastAsia"/>
                <w:b w:val="0"/>
                <w:lang w:eastAsia="zh-CN"/>
              </w:rPr>
              <w:t xml:space="preserve">The PREAMBLE_TRANSMISSION_COUNTER is not increased if the preamble is not transmitted due to LBT </w:t>
            </w:r>
            <w:r w:rsidRPr="00372DF4">
              <w:rPr>
                <w:b w:val="0"/>
                <w:szCs w:val="20"/>
              </w:rPr>
              <w:t>failure</w:t>
            </w:r>
          </w:p>
          <w:p w:rsidR="00AF6ED2" w:rsidRPr="00372DF4" w:rsidRDefault="00AF6ED2" w:rsidP="00FA5BB3">
            <w:pPr>
              <w:pStyle w:val="Agreement"/>
              <w:tabs>
                <w:tab w:val="clear" w:pos="927"/>
              </w:tabs>
              <w:ind w:left="810" w:hanging="450"/>
              <w:rPr>
                <w:rFonts w:eastAsiaTheme="minorEastAsia"/>
                <w:lang w:eastAsia="zh-CN"/>
              </w:rPr>
            </w:pPr>
            <w:r w:rsidRPr="00372DF4">
              <w:rPr>
                <w:b w:val="0"/>
                <w:szCs w:val="20"/>
              </w:rPr>
              <w:t>MAC returns to the resource selection step if LBT fails for Msg1 transmission opportunity(</w:t>
            </w:r>
            <w:proofErr w:type="spellStart"/>
            <w:r w:rsidRPr="00372DF4">
              <w:rPr>
                <w:b w:val="0"/>
                <w:szCs w:val="20"/>
              </w:rPr>
              <w:t>ies</w:t>
            </w:r>
            <w:proofErr w:type="spellEnd"/>
            <w:r w:rsidRPr="00372DF4">
              <w:rPr>
                <w:b w:val="0"/>
                <w:szCs w:val="20"/>
              </w:rPr>
              <w:t>)</w:t>
            </w:r>
          </w:p>
        </w:tc>
      </w:tr>
    </w:tbl>
    <w:p w:rsidR="00AF6ED2" w:rsidRDefault="00AF6ED2" w:rsidP="00AF6ED2">
      <w:pPr>
        <w:jc w:val="both"/>
        <w:rPr>
          <w:rFonts w:eastAsiaTheme="minorEastAsia"/>
          <w:lang w:val="en-US" w:eastAsia="zh-CN"/>
        </w:rPr>
      </w:pPr>
    </w:p>
    <w:p w:rsidR="00FC0F9D" w:rsidRDefault="00AF6ED2" w:rsidP="00AF6ED2">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rom RAN4 perspective, the</w:t>
      </w:r>
      <w:r w:rsidRPr="00AF6ED2">
        <w:rPr>
          <w:rFonts w:eastAsiaTheme="minorEastAsia"/>
          <w:lang w:val="en-US" w:eastAsia="zh-CN"/>
        </w:rPr>
        <w:t xml:space="preserve"> </w:t>
      </w:r>
      <w:r w:rsidRPr="002112D9">
        <w:rPr>
          <w:rFonts w:eastAsiaTheme="minorEastAsia"/>
          <w:lang w:val="en-US" w:eastAsia="zh-CN"/>
        </w:rPr>
        <w:t>interruption uncertainty</w:t>
      </w:r>
      <w:r>
        <w:rPr>
          <w:rFonts w:eastAsiaTheme="minorEastAsia"/>
          <w:lang w:val="en-US" w:eastAsia="zh-CN"/>
        </w:rPr>
        <w:t xml:space="preserve"> should be clarified as:</w:t>
      </w:r>
      <w:r w:rsidRPr="00AF6ED2">
        <w:rPr>
          <w:rFonts w:eastAsiaTheme="minorEastAsia"/>
          <w:lang w:val="en-US" w:eastAsia="zh-CN"/>
        </w:rPr>
        <w:t xml:space="preserve"> </w:t>
      </w:r>
      <w:r w:rsidRPr="002112D9">
        <w:rPr>
          <w:rFonts w:eastAsiaTheme="minorEastAsia"/>
          <w:lang w:val="en-US" w:eastAsia="zh-CN"/>
        </w:rPr>
        <w:t>the interruption uncertainty due to the random access procedure whe</w:t>
      </w:r>
      <w:r>
        <w:rPr>
          <w:rFonts w:eastAsiaTheme="minorEastAsia"/>
          <w:lang w:val="en-US" w:eastAsia="zh-CN"/>
        </w:rPr>
        <w:t xml:space="preserve">n sending PRACH to the new cell before </w:t>
      </w:r>
      <w:r w:rsidR="00061EA0">
        <w:rPr>
          <w:rFonts w:eastAsiaTheme="minorEastAsia"/>
          <w:lang w:val="en-US" w:eastAsia="zh-CN"/>
        </w:rPr>
        <w:t>the recovery mechanism is</w:t>
      </w:r>
      <w:r>
        <w:rPr>
          <w:rFonts w:eastAsiaTheme="minorEastAsia"/>
          <w:lang w:val="en-US" w:eastAsia="zh-CN"/>
        </w:rPr>
        <w:t xml:space="preserve"> triggered by UL LBT failure. And there is no need to set the maximum value for this process in TS 38.133.</w:t>
      </w:r>
    </w:p>
    <w:p w:rsidR="00AF6ED2" w:rsidRPr="00AF6ED2" w:rsidRDefault="00AF6ED2" w:rsidP="00AF6ED2">
      <w:pPr>
        <w:jc w:val="both"/>
        <w:rPr>
          <w:rFonts w:eastAsiaTheme="minorEastAsia"/>
          <w:b/>
          <w:lang w:val="en-US" w:eastAsia="zh-CN"/>
        </w:rPr>
      </w:pPr>
      <w:r w:rsidRPr="00AF6ED2">
        <w:rPr>
          <w:rFonts w:eastAsiaTheme="minorEastAsia"/>
          <w:b/>
          <w:lang w:val="en-US" w:eastAsia="zh-CN"/>
        </w:rPr>
        <w:t>Proposal 1: The interruption uncertainty should be clarified as: the interruption uncertainty due to the random access procedure when sending PRACH to the new cell before</w:t>
      </w:r>
      <w:r w:rsidR="00061EA0">
        <w:rPr>
          <w:rFonts w:eastAsiaTheme="minorEastAsia"/>
          <w:b/>
          <w:lang w:val="en-US" w:eastAsia="zh-CN"/>
        </w:rPr>
        <w:t xml:space="preserve"> the</w:t>
      </w:r>
      <w:r w:rsidRPr="00AF6ED2">
        <w:rPr>
          <w:rFonts w:eastAsiaTheme="minorEastAsia"/>
          <w:b/>
          <w:lang w:val="en-US" w:eastAsia="zh-CN"/>
        </w:rPr>
        <w:t xml:space="preserve"> </w:t>
      </w:r>
      <w:r w:rsidR="00061EA0" w:rsidRPr="00061EA0">
        <w:rPr>
          <w:rFonts w:eastAsiaTheme="minorEastAsia"/>
          <w:b/>
          <w:lang w:val="en-US" w:eastAsia="zh-CN"/>
        </w:rPr>
        <w:t xml:space="preserve">recovery mechanism is </w:t>
      </w:r>
      <w:r w:rsidRPr="00AF6ED2">
        <w:rPr>
          <w:rFonts w:eastAsiaTheme="minorEastAsia"/>
          <w:b/>
          <w:lang w:val="en-US" w:eastAsia="zh-CN"/>
        </w:rPr>
        <w:t>triggered by UL LBT failure. And there is no need to set the maximum value for this process in TS 38.133.</w:t>
      </w:r>
    </w:p>
    <w:p w:rsidR="00DF0231" w:rsidRPr="002D2977" w:rsidRDefault="00DF0231" w:rsidP="00DF0231">
      <w:pPr>
        <w:pStyle w:val="1"/>
        <w:numPr>
          <w:ilvl w:val="0"/>
          <w:numId w:val="1"/>
        </w:numPr>
        <w:rPr>
          <w:lang w:val="en-US"/>
        </w:rPr>
      </w:pPr>
      <w:r w:rsidRPr="002D2977">
        <w:rPr>
          <w:lang w:val="en-US"/>
        </w:rPr>
        <w:t>Conclusions</w:t>
      </w:r>
    </w:p>
    <w:p w:rsidR="00061EA0" w:rsidRPr="00061EA0" w:rsidRDefault="00061EA0" w:rsidP="00061EA0">
      <w:pPr>
        <w:jc w:val="both"/>
        <w:rPr>
          <w:rFonts w:eastAsiaTheme="minorEastAsia"/>
          <w:b/>
          <w:lang w:val="en-US" w:eastAsia="zh-CN"/>
        </w:rPr>
      </w:pPr>
      <w:r w:rsidRPr="00061EA0">
        <w:rPr>
          <w:rFonts w:eastAsiaTheme="minorEastAsia"/>
          <w:b/>
          <w:lang w:val="en-US" w:eastAsia="zh-CN"/>
        </w:rPr>
        <w:t>Proposal 1: The interruption uncertainty should be clarified as: the interruption uncertainty due to the random access procedure when sending PRACH to the new cell before the recovery mechanism is triggered by UL LBT failure. And there is no need to set the maximum value for this process in TS 38.133.</w:t>
      </w:r>
    </w:p>
    <w:p w:rsidR="00DF0231" w:rsidRPr="002D2977" w:rsidRDefault="00DF0231" w:rsidP="00DF0231">
      <w:pPr>
        <w:pStyle w:val="1"/>
        <w:tabs>
          <w:tab w:val="clear" w:pos="432"/>
        </w:tabs>
        <w:ind w:left="0" w:firstLine="0"/>
        <w:rPr>
          <w:lang w:val="en-US"/>
        </w:rPr>
      </w:pPr>
      <w:r w:rsidRPr="002D2977">
        <w:rPr>
          <w:lang w:val="en-US"/>
        </w:rPr>
        <w:t>References</w:t>
      </w:r>
    </w:p>
    <w:p w:rsidR="00DF0231" w:rsidRPr="002D2977" w:rsidRDefault="00DF0231" w:rsidP="00DF0231">
      <w:pPr>
        <w:rPr>
          <w:lang w:val="en-US"/>
        </w:rPr>
      </w:pPr>
      <w:r w:rsidRPr="002D2977">
        <w:rPr>
          <w:lang w:val="en-US"/>
        </w:rPr>
        <w:t xml:space="preserve">[1] </w:t>
      </w:r>
      <w:r w:rsidR="009968CF" w:rsidRPr="009968CF">
        <w:rPr>
          <w:lang w:val="en-US"/>
        </w:rPr>
        <w:t>R4-1912851</w:t>
      </w:r>
      <w:r w:rsidRPr="002D2977">
        <w:rPr>
          <w:lang w:val="en-US"/>
        </w:rPr>
        <w:t xml:space="preserve"> “WF on RRM Requirements for NR-U”</w:t>
      </w:r>
    </w:p>
    <w:p w:rsidR="00DF0231" w:rsidRPr="002112D9" w:rsidRDefault="002112D9" w:rsidP="00DF0231">
      <w:pPr>
        <w:rPr>
          <w:rFonts w:eastAsiaTheme="minorEastAsia"/>
          <w:lang w:val="en-US" w:eastAsia="zh-CN"/>
        </w:rPr>
      </w:pPr>
      <w:r>
        <w:rPr>
          <w:rFonts w:eastAsiaTheme="minorEastAsia" w:hint="eastAsia"/>
          <w:lang w:val="en-US" w:eastAsia="zh-CN"/>
        </w:rPr>
        <w:t>[</w:t>
      </w:r>
      <w:r>
        <w:rPr>
          <w:rFonts w:eastAsiaTheme="minorEastAsia"/>
          <w:lang w:val="en-US" w:eastAsia="zh-CN"/>
        </w:rPr>
        <w:t>2] TS 38.133</w:t>
      </w:r>
    </w:p>
    <w:p w:rsidR="007D0DF7" w:rsidRDefault="007D0DF7"/>
    <w:sectPr w:rsidR="007D0DF7"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7150" w:rsidRDefault="00B47150">
      <w:pPr>
        <w:spacing w:after="0"/>
      </w:pPr>
      <w:r>
        <w:separator/>
      </w:r>
    </w:p>
  </w:endnote>
  <w:endnote w:type="continuationSeparator" w:id="0">
    <w:p w:rsidR="00B47150" w:rsidRDefault="00B471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598" w:rsidRDefault="0070159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701598" w:rsidRDefault="0070159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598" w:rsidRDefault="0070159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B2DD6">
      <w:rPr>
        <w:rStyle w:val="a5"/>
      </w:rPr>
      <w:t>2</w:t>
    </w:r>
    <w:r>
      <w:rPr>
        <w:rStyle w:val="a5"/>
      </w:rPr>
      <w:fldChar w:fldCharType="end"/>
    </w:r>
  </w:p>
  <w:p w:rsidR="00701598" w:rsidRDefault="0070159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7150" w:rsidRDefault="00B47150">
      <w:pPr>
        <w:spacing w:after="0"/>
      </w:pPr>
      <w:r>
        <w:separator/>
      </w:r>
    </w:p>
  </w:footnote>
  <w:footnote w:type="continuationSeparator" w:id="0">
    <w:p w:rsidR="00B47150" w:rsidRDefault="00B4715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66081678"/>
    <w:multiLevelType w:val="hybridMultilevel"/>
    <w:tmpl w:val="43BE1FBE"/>
    <w:lvl w:ilvl="0" w:tplc="13FC3228">
      <w:start w:val="1"/>
      <w:numFmt w:val="bullet"/>
      <w:lvlText w:val="•"/>
      <w:lvlJc w:val="left"/>
      <w:pPr>
        <w:tabs>
          <w:tab w:val="num" w:pos="720"/>
        </w:tabs>
        <w:ind w:left="720" w:hanging="360"/>
      </w:pPr>
      <w:rPr>
        <w:rFonts w:ascii="Arial" w:hAnsi="Arial" w:hint="default"/>
      </w:rPr>
    </w:lvl>
    <w:lvl w:ilvl="1" w:tplc="939C2CB8">
      <w:numFmt w:val="bullet"/>
      <w:lvlText w:val="•"/>
      <w:lvlJc w:val="left"/>
      <w:pPr>
        <w:tabs>
          <w:tab w:val="num" w:pos="1440"/>
        </w:tabs>
        <w:ind w:left="1440" w:hanging="360"/>
      </w:pPr>
      <w:rPr>
        <w:rFonts w:ascii="Arial" w:hAnsi="Arial" w:hint="default"/>
      </w:rPr>
    </w:lvl>
    <w:lvl w:ilvl="2" w:tplc="FB382098" w:tentative="1">
      <w:start w:val="1"/>
      <w:numFmt w:val="bullet"/>
      <w:lvlText w:val="•"/>
      <w:lvlJc w:val="left"/>
      <w:pPr>
        <w:tabs>
          <w:tab w:val="num" w:pos="2160"/>
        </w:tabs>
        <w:ind w:left="2160" w:hanging="360"/>
      </w:pPr>
      <w:rPr>
        <w:rFonts w:ascii="Arial" w:hAnsi="Arial" w:hint="default"/>
      </w:rPr>
    </w:lvl>
    <w:lvl w:ilvl="3" w:tplc="ECF0506A" w:tentative="1">
      <w:start w:val="1"/>
      <w:numFmt w:val="bullet"/>
      <w:lvlText w:val="•"/>
      <w:lvlJc w:val="left"/>
      <w:pPr>
        <w:tabs>
          <w:tab w:val="num" w:pos="2880"/>
        </w:tabs>
        <w:ind w:left="2880" w:hanging="360"/>
      </w:pPr>
      <w:rPr>
        <w:rFonts w:ascii="Arial" w:hAnsi="Arial" w:hint="default"/>
      </w:rPr>
    </w:lvl>
    <w:lvl w:ilvl="4" w:tplc="82BA7BA0" w:tentative="1">
      <w:start w:val="1"/>
      <w:numFmt w:val="bullet"/>
      <w:lvlText w:val="•"/>
      <w:lvlJc w:val="left"/>
      <w:pPr>
        <w:tabs>
          <w:tab w:val="num" w:pos="3600"/>
        </w:tabs>
        <w:ind w:left="3600" w:hanging="360"/>
      </w:pPr>
      <w:rPr>
        <w:rFonts w:ascii="Arial" w:hAnsi="Arial" w:hint="default"/>
      </w:rPr>
    </w:lvl>
    <w:lvl w:ilvl="5" w:tplc="40821F58" w:tentative="1">
      <w:start w:val="1"/>
      <w:numFmt w:val="bullet"/>
      <w:lvlText w:val="•"/>
      <w:lvlJc w:val="left"/>
      <w:pPr>
        <w:tabs>
          <w:tab w:val="num" w:pos="4320"/>
        </w:tabs>
        <w:ind w:left="4320" w:hanging="360"/>
      </w:pPr>
      <w:rPr>
        <w:rFonts w:ascii="Arial" w:hAnsi="Arial" w:hint="default"/>
      </w:rPr>
    </w:lvl>
    <w:lvl w:ilvl="6" w:tplc="BB042F74" w:tentative="1">
      <w:start w:val="1"/>
      <w:numFmt w:val="bullet"/>
      <w:lvlText w:val="•"/>
      <w:lvlJc w:val="left"/>
      <w:pPr>
        <w:tabs>
          <w:tab w:val="num" w:pos="5040"/>
        </w:tabs>
        <w:ind w:left="5040" w:hanging="360"/>
      </w:pPr>
      <w:rPr>
        <w:rFonts w:ascii="Arial" w:hAnsi="Arial" w:hint="default"/>
      </w:rPr>
    </w:lvl>
    <w:lvl w:ilvl="7" w:tplc="F506A134" w:tentative="1">
      <w:start w:val="1"/>
      <w:numFmt w:val="bullet"/>
      <w:lvlText w:val="•"/>
      <w:lvlJc w:val="left"/>
      <w:pPr>
        <w:tabs>
          <w:tab w:val="num" w:pos="5760"/>
        </w:tabs>
        <w:ind w:left="5760" w:hanging="360"/>
      </w:pPr>
      <w:rPr>
        <w:rFonts w:ascii="Arial" w:hAnsi="Arial" w:hint="default"/>
      </w:rPr>
    </w:lvl>
    <w:lvl w:ilvl="8" w:tplc="F8602A0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61EA0"/>
    <w:rsid w:val="00063E08"/>
    <w:rsid w:val="000D2930"/>
    <w:rsid w:val="000E2EB1"/>
    <w:rsid w:val="002112D9"/>
    <w:rsid w:val="002221AC"/>
    <w:rsid w:val="002328DD"/>
    <w:rsid w:val="00254F38"/>
    <w:rsid w:val="00262B29"/>
    <w:rsid w:val="002E668C"/>
    <w:rsid w:val="004131D2"/>
    <w:rsid w:val="00430F24"/>
    <w:rsid w:val="00435EBD"/>
    <w:rsid w:val="00466D02"/>
    <w:rsid w:val="00477263"/>
    <w:rsid w:val="004A7CF2"/>
    <w:rsid w:val="006015A0"/>
    <w:rsid w:val="00701598"/>
    <w:rsid w:val="007D0DF7"/>
    <w:rsid w:val="007D3409"/>
    <w:rsid w:val="00804945"/>
    <w:rsid w:val="00873C1C"/>
    <w:rsid w:val="00892EAE"/>
    <w:rsid w:val="008A1C4E"/>
    <w:rsid w:val="00914A03"/>
    <w:rsid w:val="009968CF"/>
    <w:rsid w:val="009C7D5E"/>
    <w:rsid w:val="009D2942"/>
    <w:rsid w:val="009E6763"/>
    <w:rsid w:val="009E6DC8"/>
    <w:rsid w:val="00A1597D"/>
    <w:rsid w:val="00A22790"/>
    <w:rsid w:val="00AD3C17"/>
    <w:rsid w:val="00AD69AA"/>
    <w:rsid w:val="00AF5966"/>
    <w:rsid w:val="00AF6ED2"/>
    <w:rsid w:val="00B47150"/>
    <w:rsid w:val="00BE1FD4"/>
    <w:rsid w:val="00C50A0A"/>
    <w:rsid w:val="00CA1729"/>
    <w:rsid w:val="00CB2B59"/>
    <w:rsid w:val="00CE0DA0"/>
    <w:rsid w:val="00DB2DD6"/>
    <w:rsid w:val="00DF0231"/>
    <w:rsid w:val="00E36DAA"/>
    <w:rsid w:val="00F0497C"/>
    <w:rsid w:val="00F076D1"/>
    <w:rsid w:val="00F303F4"/>
    <w:rsid w:val="00F3478D"/>
    <w:rsid w:val="00FC0F9D"/>
    <w:rsid w:val="00FC3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231"/>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semiHidden/>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semiHidden/>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basedOn w:val="a"/>
    <w:uiPriority w:val="34"/>
    <w:qFormat/>
    <w:rsid w:val="007D3409"/>
    <w:pPr>
      <w:ind w:firstLineChars="200" w:firstLine="420"/>
    </w:pPr>
  </w:style>
  <w:style w:type="table" w:styleId="a7">
    <w:name w:val="Table Grid"/>
    <w:basedOn w:val="a1"/>
    <w:uiPriority w:val="39"/>
    <w:rsid w:val="002112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F6ED2"/>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AF6ED2"/>
    <w:rPr>
      <w:rFonts w:ascii="Arial" w:eastAsia="MS Mincho" w:hAnsi="Arial" w:cs="Times New Roman"/>
      <w:kern w:val="0"/>
      <w:sz w:val="20"/>
      <w:szCs w:val="24"/>
      <w:lang w:val="en-GB" w:eastAsia="en-GB"/>
    </w:rPr>
  </w:style>
  <w:style w:type="paragraph" w:customStyle="1" w:styleId="Agreement">
    <w:name w:val="Agreement"/>
    <w:basedOn w:val="a"/>
    <w:next w:val="Doc-text2"/>
    <w:rsid w:val="00AF6ED2"/>
    <w:pPr>
      <w:numPr>
        <w:numId w:val="4"/>
      </w:numPr>
      <w:spacing w:before="60" w:after="0"/>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020576">
      <w:bodyDiv w:val="1"/>
      <w:marLeft w:val="0"/>
      <w:marRight w:val="0"/>
      <w:marTop w:val="0"/>
      <w:marBottom w:val="0"/>
      <w:divBdr>
        <w:top w:val="none" w:sz="0" w:space="0" w:color="auto"/>
        <w:left w:val="none" w:sz="0" w:space="0" w:color="auto"/>
        <w:bottom w:val="none" w:sz="0" w:space="0" w:color="auto"/>
        <w:right w:val="none" w:sz="0" w:space="0" w:color="auto"/>
      </w:divBdr>
      <w:divsChild>
        <w:div w:id="35007357">
          <w:marLeft w:val="360"/>
          <w:marRight w:val="0"/>
          <w:marTop w:val="200"/>
          <w:marBottom w:val="0"/>
          <w:divBdr>
            <w:top w:val="none" w:sz="0" w:space="0" w:color="auto"/>
            <w:left w:val="none" w:sz="0" w:space="0" w:color="auto"/>
            <w:bottom w:val="none" w:sz="0" w:space="0" w:color="auto"/>
            <w:right w:val="none" w:sz="0" w:space="0" w:color="auto"/>
          </w:divBdr>
        </w:div>
        <w:div w:id="1697389961">
          <w:marLeft w:val="1080"/>
          <w:marRight w:val="0"/>
          <w:marTop w:val="100"/>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1426030491">
      <w:bodyDiv w:val="1"/>
      <w:marLeft w:val="0"/>
      <w:marRight w:val="0"/>
      <w:marTop w:val="0"/>
      <w:marBottom w:val="0"/>
      <w:divBdr>
        <w:top w:val="none" w:sz="0" w:space="0" w:color="auto"/>
        <w:left w:val="none" w:sz="0" w:space="0" w:color="auto"/>
        <w:bottom w:val="none" w:sz="0" w:space="0" w:color="auto"/>
        <w:right w:val="none" w:sz="0" w:space="0" w:color="auto"/>
      </w:divBdr>
      <w:divsChild>
        <w:div w:id="553779594">
          <w:marLeft w:val="360"/>
          <w:marRight w:val="0"/>
          <w:marTop w:val="200"/>
          <w:marBottom w:val="0"/>
          <w:divBdr>
            <w:top w:val="none" w:sz="0" w:space="0" w:color="auto"/>
            <w:left w:val="none" w:sz="0" w:space="0" w:color="auto"/>
            <w:bottom w:val="none" w:sz="0" w:space="0" w:color="auto"/>
            <w:right w:val="none" w:sz="0" w:space="0" w:color="auto"/>
          </w:divBdr>
        </w:div>
        <w:div w:id="111151610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FE8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284</TotalTime>
  <Pages>2</Pages>
  <Words>708</Words>
  <Characters>4038</Characters>
  <Application>Microsoft Office Word</Application>
  <DocSecurity>0</DocSecurity>
  <Lines>33</Lines>
  <Paragraphs>9</Paragraphs>
  <ScaleCrop>false</ScaleCrop>
  <Company>HUAWEI</Company>
  <LinksUpToDate>false</LinksUpToDate>
  <CharactersWithSpaces>4737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26</cp:revision>
  <dcterms:created xsi:type="dcterms:W3CDTF">2019-09-18T02:52:00Z</dcterms:created>
  <dcterms:modified xsi:type="dcterms:W3CDTF">2019-11-08T16:22:00Z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(3)/FOwdUQ6DvH/ceDZh5/tsVi0fxYrLXkKWKFokvPh+Uy8Iwcxkb+H8qpTPcoSQH2I2Ohku2DW
n1nlqzziYDAhSj6rAvIf3mLE8PqTw78SNsv3yA/AVv17JjvwdKwsLvmDOfQGOQomiJUGlWbN
mn3ZI3xxqBiCwGvqn16bE4AgQ2qfrl5mq5gs0UZWLN75w022Vuibo1gjr1+fCeuHlCEGUL9S
7jaV8jd3vArZFK63BN</vt:lpwstr>
  </property>
  <property fmtid="{D5CDD505-2E9C-101B-9397-08002B2CF9AE}" pid="3" name="_2015_ms_pID_7253431">
    <vt:lpwstr>Wpl1mx1SM5Utyyxre4e55FkPGAf+qs3oaXXT15WfllyngMuGZKXqkj
+TvLBLhmyuARoXU1WJxebvzy832SkFyGtqRgDU8ilgQ2HiekTlM5MCTLsYDhPcpB3/eQey+M
OtRphaa8h0UOhQmMspNe9FhXQf0qWbvqOD40HDqKET2OddDI4kwtcAJ6OH/fB5zcd9fBpREr
XlLRxff7t6gLjwlFVbsx3zO1pqZmLGXPctBT</vt:lpwstr>
  </property>
  <property fmtid="{D5CDD505-2E9C-101B-9397-08002B2CF9AE}" pid="4" name="_2015_ms_pID_7253432">
    <vt:lpwstr>cg==</vt:lpwstr>
  </property>
</Properties>
</file>