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#93</w:t>
      </w:r>
      <w:r>
        <w:rPr>
          <w:rFonts w:ascii="Arial" w:hAnsi="Arial" w:cs="Arial"/>
          <w:b/>
          <w:sz w:val="24"/>
          <w:lang w:val="en-US"/>
        </w:rPr>
        <w:tab/>
      </w:r>
      <w:r w:rsidR="00C51717" w:rsidRPr="00C51717">
        <w:rPr>
          <w:rFonts w:ascii="Arial" w:hAnsi="Arial" w:cs="Arial"/>
          <w:b/>
          <w:bCs/>
          <w:sz w:val="32"/>
          <w:szCs w:val="32"/>
          <w:lang w:val="en-US"/>
        </w:rPr>
        <w:t>R4-1914647</w:t>
      </w:r>
      <w:bookmarkStart w:id="0" w:name="_GoBack"/>
      <w:bookmarkEnd w:id="0"/>
    </w:p>
    <w:p w:rsidR="00645388" w:rsidRDefault="00645388"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Reno, USA, 14</w:t>
      </w:r>
      <w:r>
        <w:rPr>
          <w:rFonts w:ascii="Arial" w:hAnsi="Arial" w:cs="Arial"/>
          <w:b/>
          <w:bCs/>
          <w:sz w:val="24"/>
          <w:szCs w:val="24"/>
          <w:vertAlign w:val="superscript"/>
        </w:rPr>
        <w:t>th</w:t>
      </w:r>
      <w:r>
        <w:rPr>
          <w:rFonts w:ascii="Arial" w:hAnsi="Arial" w:cs="Arial"/>
          <w:b/>
          <w:bCs/>
          <w:sz w:val="24"/>
          <w:szCs w:val="24"/>
        </w:rPr>
        <w:t xml:space="preserve"> – 18</w:t>
      </w:r>
      <w:r>
        <w:rPr>
          <w:rFonts w:ascii="Arial" w:hAnsi="Arial" w:cs="Arial"/>
          <w:b/>
          <w:bCs/>
          <w:sz w:val="24"/>
          <w:szCs w:val="24"/>
          <w:vertAlign w:val="superscript"/>
        </w:rPr>
        <w:t xml:space="preserve">th </w:t>
      </w:r>
      <w:r w:rsidR="002406CF">
        <w:rPr>
          <w:rFonts w:ascii="Arial" w:hAnsi="Arial" w:cs="Arial"/>
          <w:b/>
          <w:bCs/>
          <w:sz w:val="24"/>
          <w:szCs w:val="24"/>
        </w:rPr>
        <w:t>November</w:t>
      </w:r>
      <w:r>
        <w:rPr>
          <w:rFonts w:ascii="Arial" w:hAnsi="Arial" w:cs="Arial"/>
          <w:b/>
          <w:bCs/>
          <w:sz w:val="24"/>
          <w:szCs w:val="24"/>
        </w:rPr>
        <w:t xml:space="preserve"> 2019</w:t>
      </w:r>
      <w:r>
        <w:rPr>
          <w:b/>
          <w:bCs/>
        </w:rPr>
        <w:t xml:space="preserve">        </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C057D9" w:rsidRPr="00C057D9">
        <w:rPr>
          <w:rFonts w:ascii="Arial" w:hAnsi="Arial" w:cs="Arial"/>
          <w:sz w:val="24"/>
          <w:lang w:val="en-US" w:eastAsia="zh-CN"/>
        </w:rPr>
        <w:t>Discussion on Conditional handover requirements</w:t>
      </w:r>
      <w:r w:rsidR="005B2B9D">
        <w:rPr>
          <w:rFonts w:ascii="Arial" w:hAnsi="Arial" w:cs="Arial"/>
          <w:sz w:val="24"/>
          <w:lang w:val="en-US" w:eastAsia="zh-CN"/>
        </w:rPr>
        <w:t xml:space="preserve"> for </w:t>
      </w:r>
      <w:r w:rsidR="00FB35ED">
        <w:rPr>
          <w:rFonts w:ascii="Arial" w:hAnsi="Arial" w:cs="Arial"/>
          <w:sz w:val="24"/>
          <w:lang w:val="en-US" w:eastAsia="zh-CN"/>
        </w:rPr>
        <w:t>LTE feMOB</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2406CF">
        <w:rPr>
          <w:rFonts w:ascii="Arial" w:hAnsi="Arial" w:cs="Arial"/>
          <w:sz w:val="24"/>
          <w:lang w:val="en-US" w:eastAsia="zh-CN"/>
        </w:rPr>
        <w:t>8.12.1.1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45388" w:rsidRPr="0065502B" w:rsidRDefault="00076136" w:rsidP="00645388">
      <w:r>
        <w:t xml:space="preserve">In RAN4#92bis, the way forward for conditional handover was agreed 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7"/>
      </w:tblGrid>
      <w:tr w:rsidR="00076136" w:rsidTr="00015A56">
        <w:tc>
          <w:tcPr>
            <w:tcW w:w="10763" w:type="dxa"/>
            <w:shd w:val="clear" w:color="auto" w:fill="auto"/>
          </w:tcPr>
          <w:p w:rsidR="00FB35ED" w:rsidRPr="00FB35ED" w:rsidRDefault="00FB35ED" w:rsidP="00FB35ED">
            <w:pPr>
              <w:numPr>
                <w:ilvl w:val="0"/>
                <w:numId w:val="37"/>
              </w:numPr>
            </w:pPr>
            <w:r w:rsidRPr="00FB35ED">
              <w:rPr>
                <w:u w:val="single"/>
                <w:lang w:val="en-US"/>
              </w:rPr>
              <w:t>CHO delay requirement:</w:t>
            </w:r>
          </w:p>
          <w:p w:rsidR="00FB35ED" w:rsidRPr="00FB35ED" w:rsidRDefault="00FB35ED" w:rsidP="00FB35ED">
            <w:pPr>
              <w:numPr>
                <w:ilvl w:val="0"/>
                <w:numId w:val="37"/>
              </w:numPr>
            </w:pPr>
            <w:r w:rsidRPr="00FB35ED">
              <w:rPr>
                <w:lang w:val="en-US"/>
              </w:rPr>
              <w:t>The starting point of the CHO procedure is from the end of the last TTI containing the RRC command carrying the CHO command. Handover delay is split into the following phases</w:t>
            </w:r>
          </w:p>
          <w:p w:rsidR="00FB35ED" w:rsidRPr="00FB35ED" w:rsidRDefault="00FB35ED" w:rsidP="00FB35ED">
            <w:pPr>
              <w:numPr>
                <w:ilvl w:val="0"/>
                <w:numId w:val="37"/>
              </w:numPr>
            </w:pPr>
            <w:r w:rsidRPr="00FB35ED">
              <w:rPr>
                <w:lang w:val="en-US"/>
              </w:rPr>
              <w:tab/>
              <w:t xml:space="preserve">Phase 0: CHO command RRC processing </w:t>
            </w:r>
          </w:p>
          <w:p w:rsidR="00FB35ED" w:rsidRPr="00FB35ED" w:rsidRDefault="00FB35ED" w:rsidP="00FB35ED">
            <w:pPr>
              <w:numPr>
                <w:ilvl w:val="0"/>
                <w:numId w:val="37"/>
              </w:numPr>
            </w:pPr>
            <w:r w:rsidRPr="00FB35ED">
              <w:rPr>
                <w:lang w:val="en-US"/>
              </w:rPr>
              <w:tab/>
              <w:t xml:space="preserve">Phase 1: Measurement </w:t>
            </w:r>
          </w:p>
          <w:p w:rsidR="00FB35ED" w:rsidRPr="00FB35ED" w:rsidRDefault="00FB35ED" w:rsidP="00FB35ED">
            <w:pPr>
              <w:numPr>
                <w:ilvl w:val="0"/>
                <w:numId w:val="37"/>
              </w:numPr>
            </w:pPr>
            <w:r w:rsidRPr="00FB35ED">
              <w:rPr>
                <w:lang w:val="en-US"/>
              </w:rPr>
              <w:tab/>
              <w:t xml:space="preserve">Phase 2: HO execution </w:t>
            </w:r>
          </w:p>
          <w:p w:rsidR="00FB35ED" w:rsidRPr="00FB35ED" w:rsidRDefault="00FB35ED" w:rsidP="00FB35ED">
            <w:pPr>
              <w:numPr>
                <w:ilvl w:val="0"/>
                <w:numId w:val="37"/>
              </w:numPr>
            </w:pPr>
            <w:r w:rsidRPr="00FB35ED">
              <w:rPr>
                <w:lang w:val="en-US"/>
              </w:rPr>
              <w:t>Handover delay is defined as:</w:t>
            </w:r>
          </w:p>
          <w:p w:rsidR="00FB35ED" w:rsidRPr="00FB35ED" w:rsidRDefault="00FB35ED" w:rsidP="00FB35ED">
            <w:pPr>
              <w:numPr>
                <w:ilvl w:val="0"/>
                <w:numId w:val="37"/>
              </w:numPr>
            </w:pPr>
            <w:r w:rsidRPr="00FB35ED">
              <w:rPr>
                <w:i/>
                <w:iCs/>
                <w:lang w:val="en-US"/>
              </w:rPr>
              <w:t>D</w:t>
            </w:r>
            <w:r w:rsidRPr="00FB35ED">
              <w:rPr>
                <w:i/>
                <w:iCs/>
                <w:vertAlign w:val="subscript"/>
                <w:lang w:val="en-US"/>
              </w:rPr>
              <w:t>CHO</w:t>
            </w:r>
            <w:r w:rsidRPr="00FB35ED">
              <w:rPr>
                <w:i/>
                <w:iCs/>
                <w:lang w:val="en-US"/>
              </w:rPr>
              <w:t xml:space="preserve"> = T</w:t>
            </w:r>
            <w:r w:rsidRPr="00FB35ED">
              <w:rPr>
                <w:i/>
                <w:iCs/>
                <w:vertAlign w:val="subscript"/>
                <w:lang w:val="en-US"/>
              </w:rPr>
              <w:t>RRC_1</w:t>
            </w:r>
            <w:r w:rsidRPr="00FB35ED">
              <w:rPr>
                <w:i/>
                <w:iCs/>
                <w:lang w:val="en-US"/>
              </w:rPr>
              <w:t xml:space="preserve"> + T</w:t>
            </w:r>
            <w:r w:rsidRPr="00FB35ED">
              <w:rPr>
                <w:i/>
                <w:iCs/>
                <w:vertAlign w:val="subscript"/>
                <w:lang w:val="en-US"/>
              </w:rPr>
              <w:t>measure</w:t>
            </w:r>
            <w:r w:rsidRPr="00FB35ED">
              <w:rPr>
                <w:i/>
                <w:iCs/>
                <w:lang w:val="en-US"/>
              </w:rPr>
              <w:t xml:space="preserve"> + T</w:t>
            </w:r>
            <w:r w:rsidRPr="00FB35ED">
              <w:rPr>
                <w:i/>
                <w:iCs/>
                <w:vertAlign w:val="subscript"/>
                <w:lang w:val="en-US"/>
              </w:rPr>
              <w:t>IU</w:t>
            </w:r>
            <w:r w:rsidRPr="00FB35ED">
              <w:rPr>
                <w:i/>
                <w:iCs/>
                <w:lang w:val="en-US"/>
              </w:rPr>
              <w:t xml:space="preserve"> + T</w:t>
            </w:r>
            <w:r w:rsidRPr="00FB35ED">
              <w:rPr>
                <w:i/>
                <w:iCs/>
                <w:vertAlign w:val="subscript"/>
                <w:lang w:val="en-US"/>
              </w:rPr>
              <w:t>RRC_2</w:t>
            </w:r>
            <w:r w:rsidRPr="00FB35ED">
              <w:rPr>
                <w:i/>
                <w:iCs/>
                <w:lang w:val="en-US"/>
              </w:rPr>
              <w:t xml:space="preserve"> + 20</w:t>
            </w:r>
          </w:p>
          <w:p w:rsidR="00FB35ED" w:rsidRPr="00FB35ED" w:rsidRDefault="00FB35ED" w:rsidP="00FB35ED">
            <w:pPr>
              <w:numPr>
                <w:ilvl w:val="0"/>
                <w:numId w:val="37"/>
              </w:numPr>
            </w:pPr>
            <w:r w:rsidRPr="00FB35ED">
              <w:t>Where:</w:t>
            </w:r>
          </w:p>
          <w:p w:rsidR="00FB35ED" w:rsidRPr="00FB35ED" w:rsidRDefault="00FB35ED" w:rsidP="00FB35ED">
            <w:pPr>
              <w:numPr>
                <w:ilvl w:val="0"/>
                <w:numId w:val="37"/>
              </w:numPr>
            </w:pPr>
            <w:r w:rsidRPr="00FB35ED">
              <w:t xml:space="preserve">UE RRC processing time is broken into two segments: </w:t>
            </w:r>
          </w:p>
          <w:p w:rsidR="00FB35ED" w:rsidRPr="00FB35ED" w:rsidRDefault="00FB35ED" w:rsidP="00FB35ED">
            <w:pPr>
              <w:numPr>
                <w:ilvl w:val="0"/>
                <w:numId w:val="37"/>
              </w:numPr>
            </w:pPr>
            <w:r w:rsidRPr="00FB35ED">
              <w:rPr>
                <w:i/>
                <w:iCs/>
                <w:lang w:val="en-US"/>
              </w:rPr>
              <w:t xml:space="preserve">     T</w:t>
            </w:r>
            <w:r w:rsidRPr="00FB35ED">
              <w:rPr>
                <w:i/>
                <w:iCs/>
                <w:vertAlign w:val="subscript"/>
                <w:lang w:val="en-US"/>
              </w:rPr>
              <w:t>RRC_1</w:t>
            </w:r>
            <w:r w:rsidRPr="00FB35ED">
              <w:rPr>
                <w:lang w:val="en-US"/>
              </w:rPr>
              <w:t>: First segment of RRC processing time to process CHO command.</w:t>
            </w:r>
          </w:p>
          <w:p w:rsidR="00FB35ED" w:rsidRPr="00FB35ED" w:rsidRDefault="00FB35ED" w:rsidP="00FB35ED">
            <w:pPr>
              <w:numPr>
                <w:ilvl w:val="0"/>
                <w:numId w:val="37"/>
              </w:numPr>
            </w:pPr>
            <w:r w:rsidRPr="00FB35ED">
              <w:rPr>
                <w:i/>
                <w:iCs/>
                <w:lang w:val="en-US"/>
              </w:rPr>
              <w:t xml:space="preserve">     T</w:t>
            </w:r>
            <w:r w:rsidRPr="00FB35ED">
              <w:rPr>
                <w:i/>
                <w:iCs/>
                <w:vertAlign w:val="subscript"/>
                <w:lang w:val="en-US"/>
              </w:rPr>
              <w:t>RRC_2</w:t>
            </w:r>
            <w:r w:rsidRPr="00FB35ED">
              <w:rPr>
                <w:lang w:val="en-US"/>
              </w:rPr>
              <w:t>: Second segment of RRC processing time, starts after UE realizes the condition is met and identity of target cell is determined</w:t>
            </w:r>
          </w:p>
          <w:p w:rsidR="00076136" w:rsidRDefault="00FB35ED" w:rsidP="00FB35ED">
            <w:pPr>
              <w:numPr>
                <w:ilvl w:val="0"/>
                <w:numId w:val="37"/>
              </w:numPr>
            </w:pPr>
            <w:r w:rsidRPr="00FB35ED">
              <w:rPr>
                <w:i/>
                <w:iCs/>
                <w:lang w:val="en-US"/>
              </w:rPr>
              <w:t>T</w:t>
            </w:r>
            <w:r w:rsidRPr="00FB35ED">
              <w:rPr>
                <w:i/>
                <w:iCs/>
                <w:vertAlign w:val="subscript"/>
                <w:lang w:val="en-US"/>
              </w:rPr>
              <w:t>measure</w:t>
            </w:r>
            <w:r w:rsidRPr="00FB35ED">
              <w:rPr>
                <w:lang w:val="en-US"/>
              </w:rPr>
              <w:t>: from the end of CHO RRC command is successfully decoded</w:t>
            </w:r>
            <w:r w:rsidRPr="00FB35ED">
              <w:rPr>
                <w:i/>
                <w:iCs/>
                <w:lang w:val="en-US"/>
              </w:rPr>
              <w:t xml:space="preserve"> </w:t>
            </w:r>
            <w:r w:rsidRPr="00FB35ED">
              <w:rPr>
                <w:lang w:val="en-US"/>
              </w:rPr>
              <w:t xml:space="preserve">(no later than </w:t>
            </w:r>
            <w:r w:rsidRPr="00FB35ED">
              <w:rPr>
                <w:i/>
                <w:iCs/>
                <w:lang w:val="en-US"/>
              </w:rPr>
              <w:t>T</w:t>
            </w:r>
            <w:r w:rsidRPr="00FB35ED">
              <w:rPr>
                <w:i/>
                <w:iCs/>
                <w:vertAlign w:val="subscript"/>
                <w:lang w:val="en-US"/>
              </w:rPr>
              <w:t>RRC_1</w:t>
            </w:r>
            <w:r w:rsidRPr="00FB35ED">
              <w:rPr>
                <w:lang w:val="en-US"/>
              </w:rPr>
              <w:t>) until [UE realizes a handover condition for CHO is met].</w:t>
            </w:r>
          </w:p>
        </w:tc>
      </w:tr>
    </w:tbl>
    <w:p w:rsidR="00DE0401" w:rsidRPr="0065502B" w:rsidRDefault="00DE0401" w:rsidP="0065502B"/>
    <w:p w:rsidR="00902595" w:rsidRDefault="00902595" w:rsidP="00902595">
      <w:pPr>
        <w:pStyle w:val="Heading1"/>
        <w:jc w:val="both"/>
        <w:rPr>
          <w:rFonts w:eastAsia="SimSun"/>
          <w:lang w:val="en-US" w:eastAsia="zh-CN"/>
        </w:rPr>
      </w:pPr>
      <w:r>
        <w:rPr>
          <w:rFonts w:eastAsia="SimSun"/>
          <w:lang w:val="en-US" w:eastAsia="zh-CN"/>
        </w:rPr>
        <w:t>Discussion</w:t>
      </w:r>
    </w:p>
    <w:p w:rsidR="007A30B2" w:rsidRDefault="00076136" w:rsidP="006B6666">
      <w:pPr>
        <w:rPr>
          <w:lang w:val="en-US" w:eastAsia="zh-CN"/>
        </w:rPr>
      </w:pPr>
      <w:r>
        <w:rPr>
          <w:lang w:val="en-US" w:eastAsia="zh-CN"/>
        </w:rPr>
        <w:t>Considering the way forward, there appear not to be too many open issues on the fundamental requirements for conditional handover, and the main aspect which now needs to be captured by RAN4 is how to capture the requirements in specifications. However, we first deal with some remaining open issues. We identify the following open issues</w:t>
      </w:r>
    </w:p>
    <w:p w:rsidR="00076136" w:rsidRDefault="00076136" w:rsidP="00076136">
      <w:pPr>
        <w:numPr>
          <w:ilvl w:val="0"/>
          <w:numId w:val="40"/>
        </w:numPr>
        <w:rPr>
          <w:lang w:val="en-US" w:eastAsia="zh-CN"/>
        </w:rPr>
      </w:pPr>
      <w:r>
        <w:rPr>
          <w:lang w:val="en-US" w:eastAsia="zh-CN"/>
        </w:rPr>
        <w:t>How to capture T</w:t>
      </w:r>
      <w:r w:rsidRPr="00076136">
        <w:rPr>
          <w:vertAlign w:val="subscript"/>
          <w:lang w:val="en-US" w:eastAsia="zh-CN"/>
        </w:rPr>
        <w:t>measure</w:t>
      </w:r>
      <w:r>
        <w:rPr>
          <w:lang w:val="en-US" w:eastAsia="zh-CN"/>
        </w:rPr>
        <w:t xml:space="preserve"> in specifications.</w:t>
      </w:r>
    </w:p>
    <w:p w:rsidR="00076136" w:rsidRPr="00076136" w:rsidRDefault="00076136" w:rsidP="00FB35ED">
      <w:pPr>
        <w:numPr>
          <w:ilvl w:val="0"/>
          <w:numId w:val="37"/>
        </w:numPr>
      </w:pPr>
      <w:r>
        <w:rPr>
          <w:lang w:val="en-US" w:eastAsia="zh-CN"/>
        </w:rPr>
        <w:t xml:space="preserve">Considering the formula for conditional handover delay </w:t>
      </w:r>
      <w:r w:rsidR="00FB35ED" w:rsidRPr="00FB35ED">
        <w:rPr>
          <w:i/>
          <w:iCs/>
          <w:lang w:val="en-US"/>
        </w:rPr>
        <w:t>D</w:t>
      </w:r>
      <w:r w:rsidR="00FB35ED" w:rsidRPr="00FB35ED">
        <w:rPr>
          <w:i/>
          <w:iCs/>
          <w:vertAlign w:val="subscript"/>
          <w:lang w:val="en-US"/>
        </w:rPr>
        <w:t>CHO</w:t>
      </w:r>
      <w:r w:rsidR="00FB35ED" w:rsidRPr="00FB35ED">
        <w:rPr>
          <w:i/>
          <w:iCs/>
          <w:lang w:val="en-US"/>
        </w:rPr>
        <w:t xml:space="preserve"> = T</w:t>
      </w:r>
      <w:r w:rsidR="00FB35ED" w:rsidRPr="00FB35ED">
        <w:rPr>
          <w:i/>
          <w:iCs/>
          <w:vertAlign w:val="subscript"/>
          <w:lang w:val="en-US"/>
        </w:rPr>
        <w:t>RRC_1</w:t>
      </w:r>
      <w:r w:rsidR="00FB35ED" w:rsidRPr="00FB35ED">
        <w:rPr>
          <w:i/>
          <w:iCs/>
          <w:lang w:val="en-US"/>
        </w:rPr>
        <w:t xml:space="preserve"> + T</w:t>
      </w:r>
      <w:r w:rsidR="00FB35ED" w:rsidRPr="00FB35ED">
        <w:rPr>
          <w:i/>
          <w:iCs/>
          <w:vertAlign w:val="subscript"/>
          <w:lang w:val="en-US"/>
        </w:rPr>
        <w:t>measure</w:t>
      </w:r>
      <w:r w:rsidR="00FB35ED" w:rsidRPr="00FB35ED">
        <w:rPr>
          <w:i/>
          <w:iCs/>
          <w:lang w:val="en-US"/>
        </w:rPr>
        <w:t xml:space="preserve"> + T</w:t>
      </w:r>
      <w:r w:rsidR="00FB35ED" w:rsidRPr="00FB35ED">
        <w:rPr>
          <w:i/>
          <w:iCs/>
          <w:vertAlign w:val="subscript"/>
          <w:lang w:val="en-US"/>
        </w:rPr>
        <w:t>IU</w:t>
      </w:r>
      <w:r w:rsidR="00FB35ED" w:rsidRPr="00FB35ED">
        <w:rPr>
          <w:i/>
          <w:iCs/>
          <w:lang w:val="en-US"/>
        </w:rPr>
        <w:t xml:space="preserve"> + T</w:t>
      </w:r>
      <w:r w:rsidR="00FB35ED" w:rsidRPr="00FB35ED">
        <w:rPr>
          <w:i/>
          <w:iCs/>
          <w:vertAlign w:val="subscript"/>
          <w:lang w:val="en-US"/>
        </w:rPr>
        <w:t>RRC_2</w:t>
      </w:r>
      <w:r w:rsidR="00FB35ED" w:rsidRPr="00FB35ED">
        <w:rPr>
          <w:i/>
          <w:iCs/>
          <w:lang w:val="en-US"/>
        </w:rPr>
        <w:t xml:space="preserve"> + 20</w:t>
      </w:r>
      <w:r w:rsidR="00FB35ED">
        <w:rPr>
          <w:i/>
          <w:iCs/>
          <w:lang w:val="en-US"/>
        </w:rPr>
        <w:t xml:space="preserve">, </w:t>
      </w:r>
      <w:r w:rsidRPr="00FB35ED">
        <w:rPr>
          <w:iCs/>
          <w:lang w:val="en-US"/>
        </w:rPr>
        <w:t xml:space="preserve">most of the factors are well known from legacy requirements. </w:t>
      </w:r>
      <w:r w:rsidRPr="00FB35ED">
        <w:rPr>
          <w:i/>
          <w:iCs/>
          <w:lang w:val="en-US"/>
        </w:rPr>
        <w:t>T</w:t>
      </w:r>
      <w:r w:rsidRPr="00FB35ED">
        <w:rPr>
          <w:i/>
          <w:iCs/>
          <w:vertAlign w:val="subscript"/>
          <w:lang w:val="en-US"/>
        </w:rPr>
        <w:t>measure</w:t>
      </w:r>
      <w:r w:rsidRPr="00FB35ED">
        <w:rPr>
          <w:iCs/>
          <w:lang w:val="en-US"/>
        </w:rPr>
        <w:t xml:space="preserve"> may be of indeterminant duration, depending on how long it takes for both a handover condition to be met, and the UE to realize that said condition has been met. From a requirements perspective, we think this is exactly the same as the situation with an event triggered measurement report, except that instead of sending a measurement report to eNB, the UE instead uses the outcome to trigger internal handover execution. This view is reinforced by the fact that RAN2 even discusses “events” when considering the conditions that trigger handover. Since the UE measurement model and requirements on measurement delays are already well known and specified for event triggered reporting by RAN4, it makes sense to use a similar way of specifying T</w:t>
      </w:r>
      <w:r w:rsidRPr="00FB35ED">
        <w:rPr>
          <w:iCs/>
          <w:vertAlign w:val="subscript"/>
          <w:lang w:val="en-US"/>
        </w:rPr>
        <w:t>measure</w:t>
      </w:r>
      <w:r w:rsidRPr="00FB35ED">
        <w:rPr>
          <w:iCs/>
          <w:lang w:val="en-US"/>
        </w:rPr>
        <w:t xml:space="preserve"> </w:t>
      </w:r>
    </w:p>
    <w:p w:rsidR="00076136" w:rsidRDefault="00076136" w:rsidP="00076136">
      <w:pPr>
        <w:ind w:left="720"/>
        <w:rPr>
          <w:b/>
        </w:rPr>
      </w:pPr>
      <w:r>
        <w:rPr>
          <w:b/>
        </w:rPr>
        <w:lastRenderedPageBreak/>
        <w:t xml:space="preserve">Proposal 1 : Phase 1 of the conditional handover is specified by reusing </w:t>
      </w:r>
      <w:r w:rsidR="00C3791E">
        <w:rPr>
          <w:b/>
        </w:rPr>
        <w:t xml:space="preserve">event triggered reporting </w:t>
      </w:r>
      <w:r w:rsidR="00605E54">
        <w:rPr>
          <w:b/>
        </w:rPr>
        <w:t>requirements</w:t>
      </w:r>
    </w:p>
    <w:p w:rsidR="00C3791E" w:rsidRDefault="00C3791E" w:rsidP="00C3791E">
      <w:r>
        <w:rPr>
          <w:b/>
        </w:rPr>
        <w:tab/>
      </w:r>
      <w:r>
        <w:t>There are two alternatives for implementation of P1 in specifications.</w:t>
      </w:r>
    </w:p>
    <w:p w:rsidR="00C3791E" w:rsidRDefault="00C3791E" w:rsidP="00C3791E">
      <w:r>
        <w:tab/>
        <w:t>Alt-1 : Modify and extend the scope of the existing event triggered reporting delay section to include conditional HO trigger evaluations. It should be noted that the existing requirement already excludes the additional time for UL measurement report insertion delay</w:t>
      </w:r>
    </w:p>
    <w:p w:rsidR="00C3791E" w:rsidRDefault="00C3791E" w:rsidP="00C3791E">
      <w:r>
        <w:tab/>
        <w:t>Alt-2 : Make a new section with similar text as the event triggered reporting delay.</w:t>
      </w:r>
    </w:p>
    <w:p w:rsidR="00C3791E" w:rsidRDefault="00C3791E" w:rsidP="00C3791E">
      <w:r>
        <w:tab/>
        <w:t>In draft CRs we have used alt-2 for clarity, although alt-1 also appears feasible and would avoid duplication of existing text.</w:t>
      </w:r>
    </w:p>
    <w:p w:rsidR="00C3791E" w:rsidRDefault="00C3791E" w:rsidP="00C3791E"/>
    <w:p w:rsidR="00C3791E" w:rsidRPr="00C3791E" w:rsidRDefault="00C3791E" w:rsidP="00C3791E">
      <w:pPr>
        <w:pStyle w:val="ListParagraph"/>
        <w:numPr>
          <w:ilvl w:val="0"/>
          <w:numId w:val="40"/>
        </w:numPr>
      </w:pPr>
      <w:r>
        <w:rPr>
          <w:lang w:val="en-GB"/>
        </w:rPr>
        <w:t>Split of Trrc_1 and Trrc_2</w:t>
      </w:r>
    </w:p>
    <w:p w:rsidR="00C3791E" w:rsidRDefault="00C3791E" w:rsidP="00C3791E">
      <w:pPr>
        <w:ind w:left="360"/>
      </w:pPr>
    </w:p>
    <w:p w:rsidR="00C3791E" w:rsidRDefault="00C3791E" w:rsidP="00C3791E">
      <w:pPr>
        <w:ind w:left="360"/>
      </w:pPr>
      <w:r>
        <w:t xml:space="preserve">The RRC procedure delay for legacy handover in </w:t>
      </w:r>
      <w:r w:rsidR="00A2596C">
        <w:t>LTE</w:t>
      </w:r>
      <w:r>
        <w:t xml:space="preserve"> is 1</w:t>
      </w:r>
      <w:r w:rsidR="007274D8">
        <w:t>5</w:t>
      </w:r>
      <w:r>
        <w:t>ms.</w:t>
      </w:r>
      <w:r w:rsidR="002406CF">
        <w:t xml:space="preserve"> RAN2 has not yet specified the RRC procedure delay for conditional handover.</w:t>
      </w:r>
      <w:r>
        <w:t xml:space="preserve"> For the new procedure, the steps are split over phase 0 and phase 2. For simplicity we have assumed in CRs that Trrc_1=Trrc_2=</w:t>
      </w:r>
      <w:r w:rsidR="002406CF">
        <w:t>[</w:t>
      </w:r>
      <w:r>
        <w:t>1</w:t>
      </w:r>
      <w:r w:rsidR="007274D8">
        <w:t>5</w:t>
      </w:r>
      <w:r w:rsidR="002406CF">
        <w:t>]</w:t>
      </w:r>
      <w:r>
        <w:t>ms</w:t>
      </w:r>
      <w:r w:rsidR="002406CF">
        <w:t xml:space="preserve"> (or whatever value specified by RAN2)</w:t>
      </w:r>
      <w:r>
        <w:t>, although our view is that the actual RRC delays should be shorter (closer to  Trrc_1+Trrc_2=1</w:t>
      </w:r>
      <w:r w:rsidR="002406CF">
        <w:t>5</w:t>
      </w:r>
      <w:r>
        <w:t>ms). However, we do not see this as a particularly critical aspect</w:t>
      </w:r>
      <w:r w:rsidR="002406CF">
        <w:t xml:space="preserve"> unless RAN2 specifies a large procedure delay for conditional handover</w:t>
      </w:r>
      <w:r>
        <w:t>.</w:t>
      </w:r>
    </w:p>
    <w:p w:rsidR="00C3791E" w:rsidRPr="00C3791E" w:rsidRDefault="00C3791E" w:rsidP="00C3791E">
      <w:pPr>
        <w:ind w:left="360"/>
      </w:pPr>
      <w:r>
        <w:rPr>
          <w:b/>
        </w:rPr>
        <w:t>Proposal 2 : RAN4 discusses and agrees s</w:t>
      </w:r>
      <w:r w:rsidRPr="00C3791E">
        <w:rPr>
          <w:b/>
        </w:rPr>
        <w:t>plit of Trrc_1 and Trrc_2</w:t>
      </w:r>
    </w:p>
    <w:p w:rsidR="00C3791E" w:rsidRPr="00C3791E" w:rsidRDefault="00C3791E" w:rsidP="00C3791E">
      <w:pPr>
        <w:pStyle w:val="ListParagraph"/>
        <w:numPr>
          <w:ilvl w:val="0"/>
          <w:numId w:val="40"/>
        </w:numPr>
      </w:pPr>
      <w:r>
        <w:rPr>
          <w:lang w:val="en-GB"/>
        </w:rPr>
        <w:t>Cases for conditional handover</w:t>
      </w:r>
    </w:p>
    <w:p w:rsidR="00C3791E" w:rsidRDefault="00C3791E" w:rsidP="00605E54"/>
    <w:p w:rsidR="00C3791E" w:rsidRDefault="00C3791E" w:rsidP="00605E54">
      <w:pPr>
        <w:ind w:left="76" w:firstLine="284"/>
      </w:pPr>
      <w:r>
        <w:t>In the RAN2 report</w:t>
      </w:r>
      <w:r w:rsidR="00605E54">
        <w:t xml:space="preserve">, RAN2 agreed for NR-enhMOB </w:t>
      </w:r>
    </w:p>
    <w:p w:rsidR="00605E54" w:rsidRDefault="00605E54" w:rsidP="00C3791E">
      <w:pPr>
        <w:pStyle w:val="ListParagraph"/>
        <w:rPr>
          <w:lang w:val="en-GB"/>
        </w:rPr>
      </w:pPr>
    </w:p>
    <w:p w:rsidR="00605E54" w:rsidRPr="00605E54" w:rsidRDefault="00605E54" w:rsidP="00C3791E">
      <w:pPr>
        <w:pStyle w:val="ListParagraph"/>
        <w:rPr>
          <w:i/>
        </w:rPr>
      </w:pPr>
      <w:r w:rsidRPr="00605E54">
        <w:rPr>
          <w:i/>
        </w:rPr>
        <w:t xml:space="preserve">For conditional PScell change, A3/A5 execution condition should be supported while for conditional PScell addition, A4/B1 like execution condition should be supported.   </w:t>
      </w:r>
    </w:p>
    <w:p w:rsidR="00076136" w:rsidRDefault="00076136" w:rsidP="00076136">
      <w:pPr>
        <w:ind w:left="720"/>
        <w:rPr>
          <w:lang w:val="en-US" w:eastAsia="zh-CN"/>
        </w:rPr>
      </w:pPr>
    </w:p>
    <w:p w:rsidR="00076136" w:rsidRDefault="00605E54" w:rsidP="006B6666">
      <w:pPr>
        <w:rPr>
          <w:lang w:val="en-US" w:eastAsia="zh-CN"/>
        </w:rPr>
      </w:pPr>
      <w:r>
        <w:rPr>
          <w:lang w:val="en-US" w:eastAsia="zh-CN"/>
        </w:rPr>
        <w:t xml:space="preserve">Since B1 corresponds to </w:t>
      </w:r>
      <w:r w:rsidRPr="00605E54">
        <w:rPr>
          <w:lang w:val="en-US" w:eastAsia="zh-CN"/>
        </w:rPr>
        <w:t>Inter RAT neighbour becomes better than threshold</w:t>
      </w:r>
      <w:r>
        <w:rPr>
          <w:lang w:val="en-US" w:eastAsia="zh-CN"/>
        </w:rPr>
        <w:t>, our understanding of this agreement is that interRAT addition of PSCell for EN-DC or NE-DC is supported, in addition to intraRAT PSCell addition and change.</w:t>
      </w:r>
    </w:p>
    <w:p w:rsidR="00605E54" w:rsidRPr="00605E54" w:rsidRDefault="00605E54" w:rsidP="006B6666">
      <w:pPr>
        <w:rPr>
          <w:b/>
          <w:lang w:val="en-US" w:eastAsia="zh-CN"/>
        </w:rPr>
      </w:pPr>
      <w:r>
        <w:rPr>
          <w:b/>
          <w:lang w:val="en-US" w:eastAsia="zh-CN"/>
        </w:rPr>
        <w:t xml:space="preserve">Proposal 3 : RAN4 </w:t>
      </w:r>
      <w:r w:rsidRPr="00605E54">
        <w:rPr>
          <w:b/>
          <w:lang w:val="en-US" w:eastAsia="zh-CN"/>
        </w:rPr>
        <w:t>requirements support that interRAT addition of PSCell for EN-DC or NE-DC is supported, in addition to intraRAT PSCell addition and change and intraRAT handover</w:t>
      </w:r>
    </w:p>
    <w:p w:rsidR="00BC3922" w:rsidRPr="00BC3922" w:rsidRDefault="00BC3922" w:rsidP="006B6666">
      <w:pPr>
        <w:rPr>
          <w:b/>
          <w:lang w:val="en-US" w:eastAsia="zh-CN"/>
        </w:rPr>
      </w:pPr>
    </w:p>
    <w:p w:rsidR="006B6666" w:rsidRDefault="006B6666" w:rsidP="006B6666">
      <w:pPr>
        <w:pStyle w:val="Heading1"/>
        <w:jc w:val="both"/>
        <w:rPr>
          <w:rFonts w:eastAsia="SimSun"/>
          <w:lang w:val="en-US" w:eastAsia="zh-CN"/>
        </w:rPr>
      </w:pPr>
      <w:r>
        <w:rPr>
          <w:rFonts w:eastAsia="SimSun"/>
          <w:lang w:val="en-US" w:eastAsia="zh-CN"/>
        </w:rPr>
        <w:t>Conclusions</w:t>
      </w:r>
    </w:p>
    <w:p w:rsidR="00605E54" w:rsidRDefault="00605E54" w:rsidP="00605E54">
      <w:pPr>
        <w:rPr>
          <w:b/>
        </w:rPr>
      </w:pPr>
      <w:r>
        <w:rPr>
          <w:b/>
        </w:rPr>
        <w:t>Proposal 1 : Phase 1 of the conditional handover is specified by reusing event triggered reporting requirements</w:t>
      </w:r>
    </w:p>
    <w:p w:rsidR="00605E54" w:rsidRPr="00C3791E" w:rsidRDefault="00605E54" w:rsidP="00605E54">
      <w:r>
        <w:rPr>
          <w:b/>
        </w:rPr>
        <w:t>Proposal 2 : RAN4 discusses and agrees s</w:t>
      </w:r>
      <w:r w:rsidRPr="00C3791E">
        <w:rPr>
          <w:b/>
        </w:rPr>
        <w:t>plit of Trrc_1 and Trrc_2</w:t>
      </w:r>
    </w:p>
    <w:p w:rsidR="00605E54" w:rsidRPr="00605E54" w:rsidRDefault="00605E54" w:rsidP="00605E54">
      <w:pPr>
        <w:rPr>
          <w:b/>
          <w:lang w:val="en-US" w:eastAsia="zh-CN"/>
        </w:rPr>
      </w:pPr>
      <w:r>
        <w:rPr>
          <w:b/>
          <w:lang w:val="en-US" w:eastAsia="zh-CN"/>
        </w:rPr>
        <w:t xml:space="preserve">Proposal 3 : RAN4 </w:t>
      </w:r>
      <w:r w:rsidRPr="00605E54">
        <w:rPr>
          <w:b/>
          <w:lang w:val="en-US" w:eastAsia="zh-CN"/>
        </w:rPr>
        <w:t>requirements support that interRAT addition of PSCell for EN-DC or NE-DC is supported, in addition to intraRAT PSCell addition and change and intraRAT handover</w:t>
      </w:r>
    </w:p>
    <w:p w:rsidR="00367330" w:rsidRPr="00367330" w:rsidRDefault="00367330" w:rsidP="00367330">
      <w:pPr>
        <w:rPr>
          <w:b/>
          <w:lang w:val="en-US" w:eastAsia="zh-CN"/>
        </w:rPr>
      </w:pP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076136" w:rsidP="000E35CC">
      <w:pPr>
        <w:pStyle w:val="3GPPNormalText"/>
        <w:numPr>
          <w:ilvl w:val="0"/>
          <w:numId w:val="5"/>
        </w:numPr>
        <w:rPr>
          <w:szCs w:val="20"/>
          <w:lang w:eastAsia="zh-CN"/>
        </w:rPr>
      </w:pPr>
      <w:r>
        <w:rPr>
          <w:szCs w:val="20"/>
          <w:lang w:eastAsia="zh-CN"/>
        </w:rPr>
        <w:t>R4-1911041, “</w:t>
      </w:r>
      <w:r w:rsidRPr="00076136">
        <w:rPr>
          <w:szCs w:val="20"/>
          <w:lang w:val="en-GB" w:eastAsia="zh-CN"/>
        </w:rPr>
        <w:t>Way forward on NR mobility enhancement</w:t>
      </w:r>
      <w:r>
        <w:rPr>
          <w:szCs w:val="20"/>
          <w:lang w:eastAsia="zh-CN"/>
        </w:rPr>
        <w:t>”, Intel</w:t>
      </w:r>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3F64" w:rsidRDefault="00193F64">
      <w:r>
        <w:separator/>
      </w:r>
    </w:p>
  </w:endnote>
  <w:endnote w:type="continuationSeparator" w:id="0">
    <w:p w:rsidR="00193F64" w:rsidRDefault="00193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3F64" w:rsidRDefault="00193F64">
      <w:r>
        <w:separator/>
      </w:r>
    </w:p>
  </w:footnote>
  <w:footnote w:type="continuationSeparator" w:id="0">
    <w:p w:rsidR="00193F64" w:rsidRDefault="00193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013BB"/>
    <w:multiLevelType w:val="hybridMultilevel"/>
    <w:tmpl w:val="46B4E766"/>
    <w:lvl w:ilvl="0" w:tplc="F08E4144">
      <w:start w:val="1"/>
      <w:numFmt w:val="bullet"/>
      <w:lvlText w:val="•"/>
      <w:lvlJc w:val="left"/>
      <w:pPr>
        <w:tabs>
          <w:tab w:val="num" w:pos="720"/>
        </w:tabs>
        <w:ind w:left="720" w:hanging="360"/>
      </w:pPr>
      <w:rPr>
        <w:rFonts w:ascii="Arial" w:hAnsi="Arial" w:hint="default"/>
      </w:rPr>
    </w:lvl>
    <w:lvl w:ilvl="1" w:tplc="46966FDC" w:tentative="1">
      <w:start w:val="1"/>
      <w:numFmt w:val="bullet"/>
      <w:lvlText w:val="•"/>
      <w:lvlJc w:val="left"/>
      <w:pPr>
        <w:tabs>
          <w:tab w:val="num" w:pos="1440"/>
        </w:tabs>
        <w:ind w:left="1440" w:hanging="360"/>
      </w:pPr>
      <w:rPr>
        <w:rFonts w:ascii="Arial" w:hAnsi="Arial" w:hint="default"/>
      </w:rPr>
    </w:lvl>
    <w:lvl w:ilvl="2" w:tplc="A598439E" w:tentative="1">
      <w:start w:val="1"/>
      <w:numFmt w:val="bullet"/>
      <w:lvlText w:val="•"/>
      <w:lvlJc w:val="left"/>
      <w:pPr>
        <w:tabs>
          <w:tab w:val="num" w:pos="2160"/>
        </w:tabs>
        <w:ind w:left="2160" w:hanging="360"/>
      </w:pPr>
      <w:rPr>
        <w:rFonts w:ascii="Arial" w:hAnsi="Arial" w:hint="default"/>
      </w:rPr>
    </w:lvl>
    <w:lvl w:ilvl="3" w:tplc="65749DFC" w:tentative="1">
      <w:start w:val="1"/>
      <w:numFmt w:val="bullet"/>
      <w:lvlText w:val="•"/>
      <w:lvlJc w:val="left"/>
      <w:pPr>
        <w:tabs>
          <w:tab w:val="num" w:pos="2880"/>
        </w:tabs>
        <w:ind w:left="2880" w:hanging="360"/>
      </w:pPr>
      <w:rPr>
        <w:rFonts w:ascii="Arial" w:hAnsi="Arial" w:hint="default"/>
      </w:rPr>
    </w:lvl>
    <w:lvl w:ilvl="4" w:tplc="5D7E465E" w:tentative="1">
      <w:start w:val="1"/>
      <w:numFmt w:val="bullet"/>
      <w:lvlText w:val="•"/>
      <w:lvlJc w:val="left"/>
      <w:pPr>
        <w:tabs>
          <w:tab w:val="num" w:pos="3600"/>
        </w:tabs>
        <w:ind w:left="3600" w:hanging="360"/>
      </w:pPr>
      <w:rPr>
        <w:rFonts w:ascii="Arial" w:hAnsi="Arial" w:hint="default"/>
      </w:rPr>
    </w:lvl>
    <w:lvl w:ilvl="5" w:tplc="16C85334" w:tentative="1">
      <w:start w:val="1"/>
      <w:numFmt w:val="bullet"/>
      <w:lvlText w:val="•"/>
      <w:lvlJc w:val="left"/>
      <w:pPr>
        <w:tabs>
          <w:tab w:val="num" w:pos="4320"/>
        </w:tabs>
        <w:ind w:left="4320" w:hanging="360"/>
      </w:pPr>
      <w:rPr>
        <w:rFonts w:ascii="Arial" w:hAnsi="Arial" w:hint="default"/>
      </w:rPr>
    </w:lvl>
    <w:lvl w:ilvl="6" w:tplc="52E81C90" w:tentative="1">
      <w:start w:val="1"/>
      <w:numFmt w:val="bullet"/>
      <w:lvlText w:val="•"/>
      <w:lvlJc w:val="left"/>
      <w:pPr>
        <w:tabs>
          <w:tab w:val="num" w:pos="5040"/>
        </w:tabs>
        <w:ind w:left="5040" w:hanging="360"/>
      </w:pPr>
      <w:rPr>
        <w:rFonts w:ascii="Arial" w:hAnsi="Arial" w:hint="default"/>
      </w:rPr>
    </w:lvl>
    <w:lvl w:ilvl="7" w:tplc="42202036" w:tentative="1">
      <w:start w:val="1"/>
      <w:numFmt w:val="bullet"/>
      <w:lvlText w:val="•"/>
      <w:lvlJc w:val="left"/>
      <w:pPr>
        <w:tabs>
          <w:tab w:val="num" w:pos="5760"/>
        </w:tabs>
        <w:ind w:left="5760" w:hanging="360"/>
      </w:pPr>
      <w:rPr>
        <w:rFonts w:ascii="Arial" w:hAnsi="Arial" w:hint="default"/>
      </w:rPr>
    </w:lvl>
    <w:lvl w:ilvl="8" w:tplc="FADEC3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A6308"/>
    <w:multiLevelType w:val="hybridMultilevel"/>
    <w:tmpl w:val="F0A240AE"/>
    <w:lvl w:ilvl="0" w:tplc="9EA8058C">
      <w:start w:val="1"/>
      <w:numFmt w:val="bullet"/>
      <w:lvlText w:val="•"/>
      <w:lvlJc w:val="left"/>
      <w:pPr>
        <w:tabs>
          <w:tab w:val="num" w:pos="720"/>
        </w:tabs>
        <w:ind w:left="720" w:hanging="360"/>
      </w:pPr>
      <w:rPr>
        <w:rFonts w:ascii="Arial" w:hAnsi="Arial" w:hint="default"/>
      </w:rPr>
    </w:lvl>
    <w:lvl w:ilvl="1" w:tplc="41FCCA7C" w:tentative="1">
      <w:start w:val="1"/>
      <w:numFmt w:val="bullet"/>
      <w:lvlText w:val="•"/>
      <w:lvlJc w:val="left"/>
      <w:pPr>
        <w:tabs>
          <w:tab w:val="num" w:pos="1440"/>
        </w:tabs>
        <w:ind w:left="1440" w:hanging="360"/>
      </w:pPr>
      <w:rPr>
        <w:rFonts w:ascii="Arial" w:hAnsi="Arial" w:hint="default"/>
      </w:rPr>
    </w:lvl>
    <w:lvl w:ilvl="2" w:tplc="ACE2EE32" w:tentative="1">
      <w:start w:val="1"/>
      <w:numFmt w:val="bullet"/>
      <w:lvlText w:val="•"/>
      <w:lvlJc w:val="left"/>
      <w:pPr>
        <w:tabs>
          <w:tab w:val="num" w:pos="2160"/>
        </w:tabs>
        <w:ind w:left="2160" w:hanging="360"/>
      </w:pPr>
      <w:rPr>
        <w:rFonts w:ascii="Arial" w:hAnsi="Arial" w:hint="default"/>
      </w:rPr>
    </w:lvl>
    <w:lvl w:ilvl="3" w:tplc="A502A5D8" w:tentative="1">
      <w:start w:val="1"/>
      <w:numFmt w:val="bullet"/>
      <w:lvlText w:val="•"/>
      <w:lvlJc w:val="left"/>
      <w:pPr>
        <w:tabs>
          <w:tab w:val="num" w:pos="2880"/>
        </w:tabs>
        <w:ind w:left="2880" w:hanging="360"/>
      </w:pPr>
      <w:rPr>
        <w:rFonts w:ascii="Arial" w:hAnsi="Arial" w:hint="default"/>
      </w:rPr>
    </w:lvl>
    <w:lvl w:ilvl="4" w:tplc="E57A2CB8" w:tentative="1">
      <w:start w:val="1"/>
      <w:numFmt w:val="bullet"/>
      <w:lvlText w:val="•"/>
      <w:lvlJc w:val="left"/>
      <w:pPr>
        <w:tabs>
          <w:tab w:val="num" w:pos="3600"/>
        </w:tabs>
        <w:ind w:left="3600" w:hanging="360"/>
      </w:pPr>
      <w:rPr>
        <w:rFonts w:ascii="Arial" w:hAnsi="Arial" w:hint="default"/>
      </w:rPr>
    </w:lvl>
    <w:lvl w:ilvl="5" w:tplc="196243A4" w:tentative="1">
      <w:start w:val="1"/>
      <w:numFmt w:val="bullet"/>
      <w:lvlText w:val="•"/>
      <w:lvlJc w:val="left"/>
      <w:pPr>
        <w:tabs>
          <w:tab w:val="num" w:pos="4320"/>
        </w:tabs>
        <w:ind w:left="4320" w:hanging="360"/>
      </w:pPr>
      <w:rPr>
        <w:rFonts w:ascii="Arial" w:hAnsi="Arial" w:hint="default"/>
      </w:rPr>
    </w:lvl>
    <w:lvl w:ilvl="6" w:tplc="53AC45FC" w:tentative="1">
      <w:start w:val="1"/>
      <w:numFmt w:val="bullet"/>
      <w:lvlText w:val="•"/>
      <w:lvlJc w:val="left"/>
      <w:pPr>
        <w:tabs>
          <w:tab w:val="num" w:pos="5040"/>
        </w:tabs>
        <w:ind w:left="5040" w:hanging="360"/>
      </w:pPr>
      <w:rPr>
        <w:rFonts w:ascii="Arial" w:hAnsi="Arial" w:hint="default"/>
      </w:rPr>
    </w:lvl>
    <w:lvl w:ilvl="7" w:tplc="6BE465BE" w:tentative="1">
      <w:start w:val="1"/>
      <w:numFmt w:val="bullet"/>
      <w:lvlText w:val="•"/>
      <w:lvlJc w:val="left"/>
      <w:pPr>
        <w:tabs>
          <w:tab w:val="num" w:pos="5760"/>
        </w:tabs>
        <w:ind w:left="5760" w:hanging="360"/>
      </w:pPr>
      <w:rPr>
        <w:rFonts w:ascii="Arial" w:hAnsi="Arial" w:hint="default"/>
      </w:rPr>
    </w:lvl>
    <w:lvl w:ilvl="8" w:tplc="B08ED6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2A3B4CDB"/>
    <w:multiLevelType w:val="hybridMultilevel"/>
    <w:tmpl w:val="A4DAB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7"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0078C9"/>
    <w:multiLevelType w:val="hybridMultilevel"/>
    <w:tmpl w:val="FB2C6DB8"/>
    <w:lvl w:ilvl="0" w:tplc="A4665B8E">
      <w:start w:val="1"/>
      <w:numFmt w:val="bullet"/>
      <w:lvlText w:val="•"/>
      <w:lvlJc w:val="left"/>
      <w:pPr>
        <w:tabs>
          <w:tab w:val="num" w:pos="720"/>
        </w:tabs>
        <w:ind w:left="720" w:hanging="360"/>
      </w:pPr>
      <w:rPr>
        <w:rFonts w:ascii="Arial" w:hAnsi="Arial" w:hint="default"/>
      </w:rPr>
    </w:lvl>
    <w:lvl w:ilvl="1" w:tplc="BFEEA640" w:tentative="1">
      <w:start w:val="1"/>
      <w:numFmt w:val="bullet"/>
      <w:lvlText w:val="•"/>
      <w:lvlJc w:val="left"/>
      <w:pPr>
        <w:tabs>
          <w:tab w:val="num" w:pos="1440"/>
        </w:tabs>
        <w:ind w:left="1440" w:hanging="360"/>
      </w:pPr>
      <w:rPr>
        <w:rFonts w:ascii="Arial" w:hAnsi="Arial" w:hint="default"/>
      </w:rPr>
    </w:lvl>
    <w:lvl w:ilvl="2" w:tplc="821CE792" w:tentative="1">
      <w:start w:val="1"/>
      <w:numFmt w:val="bullet"/>
      <w:lvlText w:val="•"/>
      <w:lvlJc w:val="left"/>
      <w:pPr>
        <w:tabs>
          <w:tab w:val="num" w:pos="2160"/>
        </w:tabs>
        <w:ind w:left="2160" w:hanging="360"/>
      </w:pPr>
      <w:rPr>
        <w:rFonts w:ascii="Arial" w:hAnsi="Arial" w:hint="default"/>
      </w:rPr>
    </w:lvl>
    <w:lvl w:ilvl="3" w:tplc="78188DA2" w:tentative="1">
      <w:start w:val="1"/>
      <w:numFmt w:val="bullet"/>
      <w:lvlText w:val="•"/>
      <w:lvlJc w:val="left"/>
      <w:pPr>
        <w:tabs>
          <w:tab w:val="num" w:pos="2880"/>
        </w:tabs>
        <w:ind w:left="2880" w:hanging="360"/>
      </w:pPr>
      <w:rPr>
        <w:rFonts w:ascii="Arial" w:hAnsi="Arial" w:hint="default"/>
      </w:rPr>
    </w:lvl>
    <w:lvl w:ilvl="4" w:tplc="FBF8DF34" w:tentative="1">
      <w:start w:val="1"/>
      <w:numFmt w:val="bullet"/>
      <w:lvlText w:val="•"/>
      <w:lvlJc w:val="left"/>
      <w:pPr>
        <w:tabs>
          <w:tab w:val="num" w:pos="3600"/>
        </w:tabs>
        <w:ind w:left="3600" w:hanging="360"/>
      </w:pPr>
      <w:rPr>
        <w:rFonts w:ascii="Arial" w:hAnsi="Arial" w:hint="default"/>
      </w:rPr>
    </w:lvl>
    <w:lvl w:ilvl="5" w:tplc="8F74DC64" w:tentative="1">
      <w:start w:val="1"/>
      <w:numFmt w:val="bullet"/>
      <w:lvlText w:val="•"/>
      <w:lvlJc w:val="left"/>
      <w:pPr>
        <w:tabs>
          <w:tab w:val="num" w:pos="4320"/>
        </w:tabs>
        <w:ind w:left="4320" w:hanging="360"/>
      </w:pPr>
      <w:rPr>
        <w:rFonts w:ascii="Arial" w:hAnsi="Arial" w:hint="default"/>
      </w:rPr>
    </w:lvl>
    <w:lvl w:ilvl="6" w:tplc="6E9CF7D8" w:tentative="1">
      <w:start w:val="1"/>
      <w:numFmt w:val="bullet"/>
      <w:lvlText w:val="•"/>
      <w:lvlJc w:val="left"/>
      <w:pPr>
        <w:tabs>
          <w:tab w:val="num" w:pos="5040"/>
        </w:tabs>
        <w:ind w:left="5040" w:hanging="360"/>
      </w:pPr>
      <w:rPr>
        <w:rFonts w:ascii="Arial" w:hAnsi="Arial" w:hint="default"/>
      </w:rPr>
    </w:lvl>
    <w:lvl w:ilvl="7" w:tplc="BE068ACA" w:tentative="1">
      <w:start w:val="1"/>
      <w:numFmt w:val="bullet"/>
      <w:lvlText w:val="•"/>
      <w:lvlJc w:val="left"/>
      <w:pPr>
        <w:tabs>
          <w:tab w:val="num" w:pos="5760"/>
        </w:tabs>
        <w:ind w:left="5760" w:hanging="360"/>
      </w:pPr>
      <w:rPr>
        <w:rFonts w:ascii="Arial" w:hAnsi="Arial" w:hint="default"/>
      </w:rPr>
    </w:lvl>
    <w:lvl w:ilvl="8" w:tplc="D8386A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D33245"/>
    <w:multiLevelType w:val="hybridMultilevel"/>
    <w:tmpl w:val="8A069A2E"/>
    <w:lvl w:ilvl="0" w:tplc="6AD4BF78">
      <w:start w:val="1"/>
      <w:numFmt w:val="bullet"/>
      <w:lvlText w:val="•"/>
      <w:lvlJc w:val="left"/>
      <w:pPr>
        <w:tabs>
          <w:tab w:val="num" w:pos="720"/>
        </w:tabs>
        <w:ind w:left="720" w:hanging="360"/>
      </w:pPr>
      <w:rPr>
        <w:rFonts w:ascii="Arial" w:hAnsi="Arial" w:hint="default"/>
      </w:rPr>
    </w:lvl>
    <w:lvl w:ilvl="1" w:tplc="FD9A9C80" w:tentative="1">
      <w:start w:val="1"/>
      <w:numFmt w:val="bullet"/>
      <w:lvlText w:val="•"/>
      <w:lvlJc w:val="left"/>
      <w:pPr>
        <w:tabs>
          <w:tab w:val="num" w:pos="1440"/>
        </w:tabs>
        <w:ind w:left="1440" w:hanging="360"/>
      </w:pPr>
      <w:rPr>
        <w:rFonts w:ascii="Arial" w:hAnsi="Arial" w:hint="default"/>
      </w:rPr>
    </w:lvl>
    <w:lvl w:ilvl="2" w:tplc="6CB25CA6" w:tentative="1">
      <w:start w:val="1"/>
      <w:numFmt w:val="bullet"/>
      <w:lvlText w:val="•"/>
      <w:lvlJc w:val="left"/>
      <w:pPr>
        <w:tabs>
          <w:tab w:val="num" w:pos="2160"/>
        </w:tabs>
        <w:ind w:left="2160" w:hanging="360"/>
      </w:pPr>
      <w:rPr>
        <w:rFonts w:ascii="Arial" w:hAnsi="Arial" w:hint="default"/>
      </w:rPr>
    </w:lvl>
    <w:lvl w:ilvl="3" w:tplc="A4002044" w:tentative="1">
      <w:start w:val="1"/>
      <w:numFmt w:val="bullet"/>
      <w:lvlText w:val="•"/>
      <w:lvlJc w:val="left"/>
      <w:pPr>
        <w:tabs>
          <w:tab w:val="num" w:pos="2880"/>
        </w:tabs>
        <w:ind w:left="2880" w:hanging="360"/>
      </w:pPr>
      <w:rPr>
        <w:rFonts w:ascii="Arial" w:hAnsi="Arial" w:hint="default"/>
      </w:rPr>
    </w:lvl>
    <w:lvl w:ilvl="4" w:tplc="4B7072D6" w:tentative="1">
      <w:start w:val="1"/>
      <w:numFmt w:val="bullet"/>
      <w:lvlText w:val="•"/>
      <w:lvlJc w:val="left"/>
      <w:pPr>
        <w:tabs>
          <w:tab w:val="num" w:pos="3600"/>
        </w:tabs>
        <w:ind w:left="3600" w:hanging="360"/>
      </w:pPr>
      <w:rPr>
        <w:rFonts w:ascii="Arial" w:hAnsi="Arial" w:hint="default"/>
      </w:rPr>
    </w:lvl>
    <w:lvl w:ilvl="5" w:tplc="15A0E340" w:tentative="1">
      <w:start w:val="1"/>
      <w:numFmt w:val="bullet"/>
      <w:lvlText w:val="•"/>
      <w:lvlJc w:val="left"/>
      <w:pPr>
        <w:tabs>
          <w:tab w:val="num" w:pos="4320"/>
        </w:tabs>
        <w:ind w:left="4320" w:hanging="360"/>
      </w:pPr>
      <w:rPr>
        <w:rFonts w:ascii="Arial" w:hAnsi="Arial" w:hint="default"/>
      </w:rPr>
    </w:lvl>
    <w:lvl w:ilvl="6" w:tplc="A7B457AA" w:tentative="1">
      <w:start w:val="1"/>
      <w:numFmt w:val="bullet"/>
      <w:lvlText w:val="•"/>
      <w:lvlJc w:val="left"/>
      <w:pPr>
        <w:tabs>
          <w:tab w:val="num" w:pos="5040"/>
        </w:tabs>
        <w:ind w:left="5040" w:hanging="360"/>
      </w:pPr>
      <w:rPr>
        <w:rFonts w:ascii="Arial" w:hAnsi="Arial" w:hint="default"/>
      </w:rPr>
    </w:lvl>
    <w:lvl w:ilvl="7" w:tplc="7632B7EE" w:tentative="1">
      <w:start w:val="1"/>
      <w:numFmt w:val="bullet"/>
      <w:lvlText w:val="•"/>
      <w:lvlJc w:val="left"/>
      <w:pPr>
        <w:tabs>
          <w:tab w:val="num" w:pos="5760"/>
        </w:tabs>
        <w:ind w:left="5760" w:hanging="360"/>
      </w:pPr>
      <w:rPr>
        <w:rFonts w:ascii="Arial" w:hAnsi="Arial" w:hint="default"/>
      </w:rPr>
    </w:lvl>
    <w:lvl w:ilvl="8" w:tplc="ABB017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2A24E4"/>
    <w:multiLevelType w:val="hybridMultilevel"/>
    <w:tmpl w:val="E8A6B036"/>
    <w:lvl w:ilvl="0" w:tplc="BD026D3E">
      <w:start w:val="1"/>
      <w:numFmt w:val="bullet"/>
      <w:lvlText w:val="•"/>
      <w:lvlJc w:val="left"/>
      <w:pPr>
        <w:tabs>
          <w:tab w:val="num" w:pos="720"/>
        </w:tabs>
        <w:ind w:left="720" w:hanging="360"/>
      </w:pPr>
      <w:rPr>
        <w:rFonts w:ascii="Arial" w:hAnsi="Arial" w:hint="default"/>
      </w:rPr>
    </w:lvl>
    <w:lvl w:ilvl="1" w:tplc="664E54A4" w:tentative="1">
      <w:start w:val="1"/>
      <w:numFmt w:val="bullet"/>
      <w:lvlText w:val="•"/>
      <w:lvlJc w:val="left"/>
      <w:pPr>
        <w:tabs>
          <w:tab w:val="num" w:pos="1440"/>
        </w:tabs>
        <w:ind w:left="1440" w:hanging="360"/>
      </w:pPr>
      <w:rPr>
        <w:rFonts w:ascii="Arial" w:hAnsi="Arial" w:hint="default"/>
      </w:rPr>
    </w:lvl>
    <w:lvl w:ilvl="2" w:tplc="9E965102" w:tentative="1">
      <w:start w:val="1"/>
      <w:numFmt w:val="bullet"/>
      <w:lvlText w:val="•"/>
      <w:lvlJc w:val="left"/>
      <w:pPr>
        <w:tabs>
          <w:tab w:val="num" w:pos="2160"/>
        </w:tabs>
        <w:ind w:left="2160" w:hanging="360"/>
      </w:pPr>
      <w:rPr>
        <w:rFonts w:ascii="Arial" w:hAnsi="Arial" w:hint="default"/>
      </w:rPr>
    </w:lvl>
    <w:lvl w:ilvl="3" w:tplc="34340630" w:tentative="1">
      <w:start w:val="1"/>
      <w:numFmt w:val="bullet"/>
      <w:lvlText w:val="•"/>
      <w:lvlJc w:val="left"/>
      <w:pPr>
        <w:tabs>
          <w:tab w:val="num" w:pos="2880"/>
        </w:tabs>
        <w:ind w:left="2880" w:hanging="360"/>
      </w:pPr>
      <w:rPr>
        <w:rFonts w:ascii="Arial" w:hAnsi="Arial" w:hint="default"/>
      </w:rPr>
    </w:lvl>
    <w:lvl w:ilvl="4" w:tplc="CBA03D40" w:tentative="1">
      <w:start w:val="1"/>
      <w:numFmt w:val="bullet"/>
      <w:lvlText w:val="•"/>
      <w:lvlJc w:val="left"/>
      <w:pPr>
        <w:tabs>
          <w:tab w:val="num" w:pos="3600"/>
        </w:tabs>
        <w:ind w:left="3600" w:hanging="360"/>
      </w:pPr>
      <w:rPr>
        <w:rFonts w:ascii="Arial" w:hAnsi="Arial" w:hint="default"/>
      </w:rPr>
    </w:lvl>
    <w:lvl w:ilvl="5" w:tplc="0CC2E298" w:tentative="1">
      <w:start w:val="1"/>
      <w:numFmt w:val="bullet"/>
      <w:lvlText w:val="•"/>
      <w:lvlJc w:val="left"/>
      <w:pPr>
        <w:tabs>
          <w:tab w:val="num" w:pos="4320"/>
        </w:tabs>
        <w:ind w:left="4320" w:hanging="360"/>
      </w:pPr>
      <w:rPr>
        <w:rFonts w:ascii="Arial" w:hAnsi="Arial" w:hint="default"/>
      </w:rPr>
    </w:lvl>
    <w:lvl w:ilvl="6" w:tplc="5F4A2000" w:tentative="1">
      <w:start w:val="1"/>
      <w:numFmt w:val="bullet"/>
      <w:lvlText w:val="•"/>
      <w:lvlJc w:val="left"/>
      <w:pPr>
        <w:tabs>
          <w:tab w:val="num" w:pos="5040"/>
        </w:tabs>
        <w:ind w:left="5040" w:hanging="360"/>
      </w:pPr>
      <w:rPr>
        <w:rFonts w:ascii="Arial" w:hAnsi="Arial" w:hint="default"/>
      </w:rPr>
    </w:lvl>
    <w:lvl w:ilvl="7" w:tplc="01CC4A7C" w:tentative="1">
      <w:start w:val="1"/>
      <w:numFmt w:val="bullet"/>
      <w:lvlText w:val="•"/>
      <w:lvlJc w:val="left"/>
      <w:pPr>
        <w:tabs>
          <w:tab w:val="num" w:pos="5760"/>
        </w:tabs>
        <w:ind w:left="5760" w:hanging="360"/>
      </w:pPr>
      <w:rPr>
        <w:rFonts w:ascii="Arial" w:hAnsi="Arial" w:hint="default"/>
      </w:rPr>
    </w:lvl>
    <w:lvl w:ilvl="8" w:tplc="CC6856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AC62E9"/>
    <w:multiLevelType w:val="hybridMultilevel"/>
    <w:tmpl w:val="A9D6231E"/>
    <w:lvl w:ilvl="0" w:tplc="A6C20F3E">
      <w:start w:val="1"/>
      <w:numFmt w:val="bullet"/>
      <w:lvlText w:val="•"/>
      <w:lvlJc w:val="left"/>
      <w:pPr>
        <w:tabs>
          <w:tab w:val="num" w:pos="720"/>
        </w:tabs>
        <w:ind w:left="720" w:hanging="360"/>
      </w:pPr>
      <w:rPr>
        <w:rFonts w:ascii="Arial" w:hAnsi="Arial" w:hint="default"/>
      </w:rPr>
    </w:lvl>
    <w:lvl w:ilvl="1" w:tplc="3B8E2F96" w:tentative="1">
      <w:start w:val="1"/>
      <w:numFmt w:val="bullet"/>
      <w:lvlText w:val="•"/>
      <w:lvlJc w:val="left"/>
      <w:pPr>
        <w:tabs>
          <w:tab w:val="num" w:pos="1440"/>
        </w:tabs>
        <w:ind w:left="1440" w:hanging="360"/>
      </w:pPr>
      <w:rPr>
        <w:rFonts w:ascii="Arial" w:hAnsi="Arial" w:hint="default"/>
      </w:rPr>
    </w:lvl>
    <w:lvl w:ilvl="2" w:tplc="064497E2" w:tentative="1">
      <w:start w:val="1"/>
      <w:numFmt w:val="bullet"/>
      <w:lvlText w:val="•"/>
      <w:lvlJc w:val="left"/>
      <w:pPr>
        <w:tabs>
          <w:tab w:val="num" w:pos="2160"/>
        </w:tabs>
        <w:ind w:left="2160" w:hanging="360"/>
      </w:pPr>
      <w:rPr>
        <w:rFonts w:ascii="Arial" w:hAnsi="Arial" w:hint="default"/>
      </w:rPr>
    </w:lvl>
    <w:lvl w:ilvl="3" w:tplc="2108A546" w:tentative="1">
      <w:start w:val="1"/>
      <w:numFmt w:val="bullet"/>
      <w:lvlText w:val="•"/>
      <w:lvlJc w:val="left"/>
      <w:pPr>
        <w:tabs>
          <w:tab w:val="num" w:pos="2880"/>
        </w:tabs>
        <w:ind w:left="2880" w:hanging="360"/>
      </w:pPr>
      <w:rPr>
        <w:rFonts w:ascii="Arial" w:hAnsi="Arial" w:hint="default"/>
      </w:rPr>
    </w:lvl>
    <w:lvl w:ilvl="4" w:tplc="0E80BD42" w:tentative="1">
      <w:start w:val="1"/>
      <w:numFmt w:val="bullet"/>
      <w:lvlText w:val="•"/>
      <w:lvlJc w:val="left"/>
      <w:pPr>
        <w:tabs>
          <w:tab w:val="num" w:pos="3600"/>
        </w:tabs>
        <w:ind w:left="3600" w:hanging="360"/>
      </w:pPr>
      <w:rPr>
        <w:rFonts w:ascii="Arial" w:hAnsi="Arial" w:hint="default"/>
      </w:rPr>
    </w:lvl>
    <w:lvl w:ilvl="5" w:tplc="1688E58C" w:tentative="1">
      <w:start w:val="1"/>
      <w:numFmt w:val="bullet"/>
      <w:lvlText w:val="•"/>
      <w:lvlJc w:val="left"/>
      <w:pPr>
        <w:tabs>
          <w:tab w:val="num" w:pos="4320"/>
        </w:tabs>
        <w:ind w:left="4320" w:hanging="360"/>
      </w:pPr>
      <w:rPr>
        <w:rFonts w:ascii="Arial" w:hAnsi="Arial" w:hint="default"/>
      </w:rPr>
    </w:lvl>
    <w:lvl w:ilvl="6" w:tplc="F048BD5A" w:tentative="1">
      <w:start w:val="1"/>
      <w:numFmt w:val="bullet"/>
      <w:lvlText w:val="•"/>
      <w:lvlJc w:val="left"/>
      <w:pPr>
        <w:tabs>
          <w:tab w:val="num" w:pos="5040"/>
        </w:tabs>
        <w:ind w:left="5040" w:hanging="360"/>
      </w:pPr>
      <w:rPr>
        <w:rFonts w:ascii="Arial" w:hAnsi="Arial" w:hint="default"/>
      </w:rPr>
    </w:lvl>
    <w:lvl w:ilvl="7" w:tplc="9D8EB932" w:tentative="1">
      <w:start w:val="1"/>
      <w:numFmt w:val="bullet"/>
      <w:lvlText w:val="•"/>
      <w:lvlJc w:val="left"/>
      <w:pPr>
        <w:tabs>
          <w:tab w:val="num" w:pos="5760"/>
        </w:tabs>
        <w:ind w:left="5760" w:hanging="360"/>
      </w:pPr>
      <w:rPr>
        <w:rFonts w:ascii="Arial" w:hAnsi="Arial" w:hint="default"/>
      </w:rPr>
    </w:lvl>
    <w:lvl w:ilvl="8" w:tplc="4B00C0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2765C94"/>
    <w:multiLevelType w:val="hybridMultilevel"/>
    <w:tmpl w:val="BF7ECB26"/>
    <w:lvl w:ilvl="0" w:tplc="E9868090">
      <w:start w:val="1"/>
      <w:numFmt w:val="bullet"/>
      <w:lvlText w:val="•"/>
      <w:lvlJc w:val="left"/>
      <w:pPr>
        <w:tabs>
          <w:tab w:val="num" w:pos="720"/>
        </w:tabs>
        <w:ind w:left="720" w:hanging="360"/>
      </w:pPr>
      <w:rPr>
        <w:rFonts w:ascii="Arial" w:hAnsi="Arial" w:hint="default"/>
      </w:rPr>
    </w:lvl>
    <w:lvl w:ilvl="1" w:tplc="ADAAF13A" w:tentative="1">
      <w:start w:val="1"/>
      <w:numFmt w:val="bullet"/>
      <w:lvlText w:val="•"/>
      <w:lvlJc w:val="left"/>
      <w:pPr>
        <w:tabs>
          <w:tab w:val="num" w:pos="1440"/>
        </w:tabs>
        <w:ind w:left="1440" w:hanging="360"/>
      </w:pPr>
      <w:rPr>
        <w:rFonts w:ascii="Arial" w:hAnsi="Arial" w:hint="default"/>
      </w:rPr>
    </w:lvl>
    <w:lvl w:ilvl="2" w:tplc="D1CC2CE8" w:tentative="1">
      <w:start w:val="1"/>
      <w:numFmt w:val="bullet"/>
      <w:lvlText w:val="•"/>
      <w:lvlJc w:val="left"/>
      <w:pPr>
        <w:tabs>
          <w:tab w:val="num" w:pos="2160"/>
        </w:tabs>
        <w:ind w:left="2160" w:hanging="360"/>
      </w:pPr>
      <w:rPr>
        <w:rFonts w:ascii="Arial" w:hAnsi="Arial" w:hint="default"/>
      </w:rPr>
    </w:lvl>
    <w:lvl w:ilvl="3" w:tplc="10ACE362" w:tentative="1">
      <w:start w:val="1"/>
      <w:numFmt w:val="bullet"/>
      <w:lvlText w:val="•"/>
      <w:lvlJc w:val="left"/>
      <w:pPr>
        <w:tabs>
          <w:tab w:val="num" w:pos="2880"/>
        </w:tabs>
        <w:ind w:left="2880" w:hanging="360"/>
      </w:pPr>
      <w:rPr>
        <w:rFonts w:ascii="Arial" w:hAnsi="Arial" w:hint="default"/>
      </w:rPr>
    </w:lvl>
    <w:lvl w:ilvl="4" w:tplc="A9780486" w:tentative="1">
      <w:start w:val="1"/>
      <w:numFmt w:val="bullet"/>
      <w:lvlText w:val="•"/>
      <w:lvlJc w:val="left"/>
      <w:pPr>
        <w:tabs>
          <w:tab w:val="num" w:pos="3600"/>
        </w:tabs>
        <w:ind w:left="3600" w:hanging="360"/>
      </w:pPr>
      <w:rPr>
        <w:rFonts w:ascii="Arial" w:hAnsi="Arial" w:hint="default"/>
      </w:rPr>
    </w:lvl>
    <w:lvl w:ilvl="5" w:tplc="C95AF7B0" w:tentative="1">
      <w:start w:val="1"/>
      <w:numFmt w:val="bullet"/>
      <w:lvlText w:val="•"/>
      <w:lvlJc w:val="left"/>
      <w:pPr>
        <w:tabs>
          <w:tab w:val="num" w:pos="4320"/>
        </w:tabs>
        <w:ind w:left="4320" w:hanging="360"/>
      </w:pPr>
      <w:rPr>
        <w:rFonts w:ascii="Arial" w:hAnsi="Arial" w:hint="default"/>
      </w:rPr>
    </w:lvl>
    <w:lvl w:ilvl="6" w:tplc="9FF86EF2" w:tentative="1">
      <w:start w:val="1"/>
      <w:numFmt w:val="bullet"/>
      <w:lvlText w:val="•"/>
      <w:lvlJc w:val="left"/>
      <w:pPr>
        <w:tabs>
          <w:tab w:val="num" w:pos="5040"/>
        </w:tabs>
        <w:ind w:left="5040" w:hanging="360"/>
      </w:pPr>
      <w:rPr>
        <w:rFonts w:ascii="Arial" w:hAnsi="Arial" w:hint="default"/>
      </w:rPr>
    </w:lvl>
    <w:lvl w:ilvl="7" w:tplc="A40E3E9A" w:tentative="1">
      <w:start w:val="1"/>
      <w:numFmt w:val="bullet"/>
      <w:lvlText w:val="•"/>
      <w:lvlJc w:val="left"/>
      <w:pPr>
        <w:tabs>
          <w:tab w:val="num" w:pos="5760"/>
        </w:tabs>
        <w:ind w:left="5760" w:hanging="360"/>
      </w:pPr>
      <w:rPr>
        <w:rFonts w:ascii="Arial" w:hAnsi="Arial" w:hint="default"/>
      </w:rPr>
    </w:lvl>
    <w:lvl w:ilvl="8" w:tplc="E91A07B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0"/>
  </w:num>
  <w:num w:numId="2">
    <w:abstractNumId w:val="40"/>
  </w:num>
  <w:num w:numId="3">
    <w:abstractNumId w:val="43"/>
  </w:num>
  <w:num w:numId="4">
    <w:abstractNumId w:val="12"/>
  </w:num>
  <w:num w:numId="5">
    <w:abstractNumId w:val="16"/>
  </w:num>
  <w:num w:numId="6">
    <w:abstractNumId w:val="35"/>
  </w:num>
  <w:num w:numId="7">
    <w:abstractNumId w:val="14"/>
  </w:num>
  <w:num w:numId="8">
    <w:abstractNumId w:val="28"/>
  </w:num>
  <w:num w:numId="9">
    <w:abstractNumId w:val="17"/>
  </w:num>
  <w:num w:numId="10">
    <w:abstractNumId w:val="19"/>
  </w:num>
  <w:num w:numId="11">
    <w:abstractNumId w:val="9"/>
  </w:num>
  <w:num w:numId="12">
    <w:abstractNumId w:val="24"/>
  </w:num>
  <w:num w:numId="13">
    <w:abstractNumId w:val="0"/>
  </w:num>
  <w:num w:numId="14">
    <w:abstractNumId w:val="2"/>
  </w:num>
  <w:num w:numId="15">
    <w:abstractNumId w:val="42"/>
  </w:num>
  <w:num w:numId="16">
    <w:abstractNumId w:val="25"/>
  </w:num>
  <w:num w:numId="17">
    <w:abstractNumId w:val="27"/>
  </w:num>
  <w:num w:numId="18">
    <w:abstractNumId w:val="11"/>
  </w:num>
  <w:num w:numId="19">
    <w:abstractNumId w:val="30"/>
  </w:num>
  <w:num w:numId="20">
    <w:abstractNumId w:val="33"/>
  </w:num>
  <w:num w:numId="21">
    <w:abstractNumId w:val="8"/>
  </w:num>
  <w:num w:numId="22">
    <w:abstractNumId w:val="37"/>
  </w:num>
  <w:num w:numId="23">
    <w:abstractNumId w:val="5"/>
  </w:num>
  <w:num w:numId="24">
    <w:abstractNumId w:val="29"/>
  </w:num>
  <w:num w:numId="25">
    <w:abstractNumId w:val="10"/>
  </w:num>
  <w:num w:numId="26">
    <w:abstractNumId w:val="32"/>
  </w:num>
  <w:num w:numId="27">
    <w:abstractNumId w:val="22"/>
  </w:num>
  <w:num w:numId="28">
    <w:abstractNumId w:val="23"/>
  </w:num>
  <w:num w:numId="29">
    <w:abstractNumId w:val="38"/>
  </w:num>
  <w:num w:numId="30">
    <w:abstractNumId w:val="34"/>
  </w:num>
  <w:num w:numId="31">
    <w:abstractNumId w:val="36"/>
  </w:num>
  <w:num w:numId="32">
    <w:abstractNumId w:val="15"/>
  </w:num>
  <w:num w:numId="33">
    <w:abstractNumId w:val="21"/>
  </w:num>
  <w:num w:numId="34">
    <w:abstractNumId w:val="3"/>
  </w:num>
  <w:num w:numId="35">
    <w:abstractNumId w:val="6"/>
  </w:num>
  <w:num w:numId="36">
    <w:abstractNumId w:val="7"/>
  </w:num>
  <w:num w:numId="37">
    <w:abstractNumId w:val="31"/>
  </w:num>
  <w:num w:numId="38">
    <w:abstractNumId w:val="41"/>
  </w:num>
  <w:num w:numId="39">
    <w:abstractNumId w:val="1"/>
  </w:num>
  <w:num w:numId="40">
    <w:abstractNumId w:val="13"/>
  </w:num>
  <w:num w:numId="41">
    <w:abstractNumId w:val="39"/>
  </w:num>
  <w:num w:numId="42">
    <w:abstractNumId w:val="26"/>
  </w:num>
  <w:num w:numId="43">
    <w:abstractNumId w:val="4"/>
  </w:num>
  <w:num w:numId="44">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A56"/>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136"/>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BDD"/>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3F64"/>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6CF"/>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80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3B5"/>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B9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5E54"/>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4D8"/>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96C"/>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57D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1E"/>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17"/>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265"/>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885"/>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5ED"/>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4648F4B-0FF0-47B6-895D-C38EADAEF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171698">
      <w:bodyDiv w:val="1"/>
      <w:marLeft w:val="0"/>
      <w:marRight w:val="0"/>
      <w:marTop w:val="0"/>
      <w:marBottom w:val="0"/>
      <w:divBdr>
        <w:top w:val="none" w:sz="0" w:space="0" w:color="auto"/>
        <w:left w:val="none" w:sz="0" w:space="0" w:color="auto"/>
        <w:bottom w:val="none" w:sz="0" w:space="0" w:color="auto"/>
        <w:right w:val="none" w:sz="0" w:space="0" w:color="auto"/>
      </w:divBdr>
      <w:divsChild>
        <w:div w:id="2117434705">
          <w:marLeft w:val="547"/>
          <w:marRight w:val="0"/>
          <w:marTop w:val="154"/>
          <w:marBottom w:val="0"/>
          <w:divBdr>
            <w:top w:val="none" w:sz="0" w:space="0" w:color="auto"/>
            <w:left w:val="none" w:sz="0" w:space="0" w:color="auto"/>
            <w:bottom w:val="none" w:sz="0" w:space="0" w:color="auto"/>
            <w:right w:val="none" w:sz="0" w:space="0" w:color="auto"/>
          </w:divBdr>
        </w:div>
        <w:div w:id="768500855">
          <w:marLeft w:val="547"/>
          <w:marRight w:val="0"/>
          <w:marTop w:val="0"/>
          <w:marBottom w:val="0"/>
          <w:divBdr>
            <w:top w:val="none" w:sz="0" w:space="0" w:color="auto"/>
            <w:left w:val="none" w:sz="0" w:space="0" w:color="auto"/>
            <w:bottom w:val="none" w:sz="0" w:space="0" w:color="auto"/>
            <w:right w:val="none" w:sz="0" w:space="0" w:color="auto"/>
          </w:divBdr>
        </w:div>
        <w:div w:id="298272052">
          <w:marLeft w:val="547"/>
          <w:marRight w:val="0"/>
          <w:marTop w:val="0"/>
          <w:marBottom w:val="0"/>
          <w:divBdr>
            <w:top w:val="none" w:sz="0" w:space="0" w:color="auto"/>
            <w:left w:val="none" w:sz="0" w:space="0" w:color="auto"/>
            <w:bottom w:val="none" w:sz="0" w:space="0" w:color="auto"/>
            <w:right w:val="none" w:sz="0" w:space="0" w:color="auto"/>
          </w:divBdr>
        </w:div>
        <w:div w:id="282424573">
          <w:marLeft w:val="547"/>
          <w:marRight w:val="0"/>
          <w:marTop w:val="0"/>
          <w:marBottom w:val="0"/>
          <w:divBdr>
            <w:top w:val="none" w:sz="0" w:space="0" w:color="auto"/>
            <w:left w:val="none" w:sz="0" w:space="0" w:color="auto"/>
            <w:bottom w:val="none" w:sz="0" w:space="0" w:color="auto"/>
            <w:right w:val="none" w:sz="0" w:space="0" w:color="auto"/>
          </w:divBdr>
        </w:div>
        <w:div w:id="179008398">
          <w:marLeft w:val="547"/>
          <w:marRight w:val="0"/>
          <w:marTop w:val="0"/>
          <w:marBottom w:val="0"/>
          <w:divBdr>
            <w:top w:val="none" w:sz="0" w:space="0" w:color="auto"/>
            <w:left w:val="none" w:sz="0" w:space="0" w:color="auto"/>
            <w:bottom w:val="none" w:sz="0" w:space="0" w:color="auto"/>
            <w:right w:val="none" w:sz="0" w:space="0" w:color="auto"/>
          </w:divBdr>
        </w:div>
      </w:divsChild>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397633050">
      <w:bodyDiv w:val="1"/>
      <w:marLeft w:val="0"/>
      <w:marRight w:val="0"/>
      <w:marTop w:val="0"/>
      <w:marBottom w:val="0"/>
      <w:divBdr>
        <w:top w:val="none" w:sz="0" w:space="0" w:color="auto"/>
        <w:left w:val="none" w:sz="0" w:space="0" w:color="auto"/>
        <w:bottom w:val="none" w:sz="0" w:space="0" w:color="auto"/>
        <w:right w:val="none" w:sz="0" w:space="0" w:color="auto"/>
      </w:divBdr>
      <w:divsChild>
        <w:div w:id="91557124">
          <w:marLeft w:val="547"/>
          <w:marRight w:val="0"/>
          <w:marTop w:val="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96099812">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1341277576">
          <w:marLeft w:val="446"/>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759965">
      <w:bodyDiv w:val="1"/>
      <w:marLeft w:val="0"/>
      <w:marRight w:val="0"/>
      <w:marTop w:val="0"/>
      <w:marBottom w:val="0"/>
      <w:divBdr>
        <w:top w:val="none" w:sz="0" w:space="0" w:color="auto"/>
        <w:left w:val="none" w:sz="0" w:space="0" w:color="auto"/>
        <w:bottom w:val="none" w:sz="0" w:space="0" w:color="auto"/>
        <w:right w:val="none" w:sz="0" w:space="0" w:color="auto"/>
      </w:divBdr>
      <w:divsChild>
        <w:div w:id="609973109">
          <w:marLeft w:val="547"/>
          <w:marRight w:val="0"/>
          <w:marTop w:val="0"/>
          <w:marBottom w:val="0"/>
          <w:divBdr>
            <w:top w:val="none" w:sz="0" w:space="0" w:color="auto"/>
            <w:left w:val="none" w:sz="0" w:space="0" w:color="auto"/>
            <w:bottom w:val="none" w:sz="0" w:space="0" w:color="auto"/>
            <w:right w:val="none" w:sz="0" w:space="0" w:color="auto"/>
          </w:divBdr>
        </w:div>
        <w:div w:id="859054238">
          <w:marLeft w:val="547"/>
          <w:marRight w:val="0"/>
          <w:marTop w:val="0"/>
          <w:marBottom w:val="0"/>
          <w:divBdr>
            <w:top w:val="none" w:sz="0" w:space="0" w:color="auto"/>
            <w:left w:val="none" w:sz="0" w:space="0" w:color="auto"/>
            <w:bottom w:val="none" w:sz="0" w:space="0" w:color="auto"/>
            <w:right w:val="none" w:sz="0" w:space="0" w:color="auto"/>
          </w:divBdr>
        </w:div>
        <w:div w:id="935794443">
          <w:marLeft w:val="547"/>
          <w:marRight w:val="0"/>
          <w:marTop w:val="0"/>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8E13385B-6194-42F5-98BC-D0CD08EAD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717</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Ericsson</cp:lastModifiedBy>
  <cp:revision>3</cp:revision>
  <cp:lastPrinted>2009-04-22T13:01:00Z</cp:lastPrinted>
  <dcterms:created xsi:type="dcterms:W3CDTF">2019-11-07T16:28:00Z</dcterms:created>
  <dcterms:modified xsi:type="dcterms:W3CDTF">2019-11-08T15:36:00Z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