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E7980E" w14:textId="2A295448" w:rsidR="003B61A8" w:rsidRDefault="003B61A8" w:rsidP="003B61A8">
      <w:pPr>
        <w:pStyle w:val="Header"/>
        <w:tabs>
          <w:tab w:val="right" w:pos="9356"/>
          <w:tab w:val="right" w:pos="10206"/>
        </w:tabs>
        <w:rPr>
          <w:rFonts w:cs="Arial"/>
          <w:i/>
          <w:sz w:val="24"/>
        </w:rPr>
      </w:pPr>
      <w:bookmarkStart w:id="0" w:name="_Toc491868096"/>
      <w:r>
        <w:rPr>
          <w:rFonts w:cs="Arial"/>
          <w:sz w:val="24"/>
        </w:rPr>
        <w:t xml:space="preserve">TSG-RAN Working Group 4 (Radio) meeting </w:t>
      </w:r>
      <w:r w:rsidR="00BF1C81">
        <w:rPr>
          <w:rFonts w:cs="Arial"/>
          <w:sz w:val="24"/>
        </w:rPr>
        <w:t>#</w:t>
      </w:r>
      <w:r w:rsidR="001B0597">
        <w:rPr>
          <w:rFonts w:cs="Arial"/>
          <w:sz w:val="24"/>
        </w:rPr>
        <w:t>9</w:t>
      </w:r>
      <w:r w:rsidR="00A6421D">
        <w:rPr>
          <w:rFonts w:cs="Arial"/>
          <w:sz w:val="24"/>
        </w:rPr>
        <w:t>3</w:t>
      </w:r>
      <w:r>
        <w:rPr>
          <w:rFonts w:cs="Arial"/>
          <w:i/>
          <w:sz w:val="24"/>
        </w:rPr>
        <w:tab/>
      </w:r>
      <w:r>
        <w:rPr>
          <w:rFonts w:cs="Arial"/>
          <w:iCs/>
          <w:sz w:val="24"/>
        </w:rPr>
        <w:t>R4-</w:t>
      </w:r>
      <w:r w:rsidR="003E7C20">
        <w:rPr>
          <w:rFonts w:cs="Arial"/>
          <w:iCs/>
          <w:sz w:val="24"/>
        </w:rPr>
        <w:t>191</w:t>
      </w:r>
      <w:r w:rsidR="00566B94">
        <w:rPr>
          <w:rFonts w:cs="Arial"/>
          <w:iCs/>
          <w:sz w:val="24"/>
        </w:rPr>
        <w:t>4521</w:t>
      </w:r>
      <w:bookmarkStart w:id="1" w:name="_GoBack"/>
      <w:bookmarkEnd w:id="1"/>
    </w:p>
    <w:p w14:paraId="1BC12648" w14:textId="19364728" w:rsidR="003B61A8" w:rsidRDefault="00A6421D" w:rsidP="003B61A8">
      <w:pPr>
        <w:pStyle w:val="Header"/>
        <w:tabs>
          <w:tab w:val="right" w:pos="10206"/>
        </w:tabs>
        <w:spacing w:after="120"/>
        <w:rPr>
          <w:rFonts w:cs="Arial"/>
          <w:sz w:val="24"/>
        </w:rPr>
      </w:pPr>
      <w:r>
        <w:rPr>
          <w:rFonts w:cs="Arial"/>
          <w:sz w:val="24"/>
        </w:rPr>
        <w:t>Reno</w:t>
      </w:r>
      <w:r w:rsidR="0062745C">
        <w:rPr>
          <w:rFonts w:cs="Arial"/>
          <w:sz w:val="24"/>
        </w:rPr>
        <w:t xml:space="preserve">, </w:t>
      </w:r>
      <w:r>
        <w:rPr>
          <w:rFonts w:cs="Arial"/>
          <w:sz w:val="24"/>
        </w:rPr>
        <w:t>US</w:t>
      </w:r>
      <w:r w:rsidR="003B61A8">
        <w:rPr>
          <w:rFonts w:cs="Arial"/>
          <w:sz w:val="24"/>
        </w:rPr>
        <w:t xml:space="preserve">, </w:t>
      </w:r>
      <w:r w:rsidR="002A682D">
        <w:rPr>
          <w:rFonts w:cs="Arial"/>
          <w:sz w:val="24"/>
        </w:rPr>
        <w:t>18</w:t>
      </w:r>
      <w:r w:rsidR="002A682D" w:rsidRPr="007170B2">
        <w:rPr>
          <w:rFonts w:cs="Arial"/>
          <w:sz w:val="24"/>
          <w:vertAlign w:val="superscript"/>
        </w:rPr>
        <w:t>th</w:t>
      </w:r>
      <w:r w:rsidR="002A682D">
        <w:rPr>
          <w:rFonts w:cs="Arial"/>
          <w:sz w:val="24"/>
          <w:vertAlign w:val="superscript"/>
        </w:rPr>
        <w:t xml:space="preserve"> </w:t>
      </w:r>
      <w:r w:rsidR="004B372C">
        <w:rPr>
          <w:rFonts w:cs="Arial"/>
          <w:sz w:val="24"/>
        </w:rPr>
        <w:t>–</w:t>
      </w:r>
      <w:r w:rsidR="00FA5947">
        <w:rPr>
          <w:rFonts w:cs="Arial"/>
          <w:sz w:val="24"/>
        </w:rPr>
        <w:t xml:space="preserve"> 22</w:t>
      </w:r>
      <w:r w:rsidR="00FA5947" w:rsidRPr="00FA5947">
        <w:rPr>
          <w:rFonts w:cs="Arial"/>
          <w:sz w:val="24"/>
          <w:vertAlign w:val="superscript"/>
        </w:rPr>
        <w:t>nd</w:t>
      </w:r>
      <w:r w:rsidR="00FA5947">
        <w:rPr>
          <w:rFonts w:cs="Arial"/>
          <w:sz w:val="24"/>
        </w:rPr>
        <w:t xml:space="preserve"> </w:t>
      </w:r>
      <w:r>
        <w:rPr>
          <w:rFonts w:cs="Arial"/>
          <w:sz w:val="24"/>
        </w:rPr>
        <w:t xml:space="preserve">November </w:t>
      </w:r>
      <w:r w:rsidR="003B61A8">
        <w:rPr>
          <w:rFonts w:cs="Arial"/>
          <w:sz w:val="24"/>
        </w:rPr>
        <w:t>201</w:t>
      </w:r>
      <w:r w:rsidR="00CD110C">
        <w:rPr>
          <w:rFonts w:cs="Arial"/>
          <w:sz w:val="24"/>
        </w:rPr>
        <w:t>9</w:t>
      </w:r>
    </w:p>
    <w:p w14:paraId="5BE65FC9" w14:textId="77777777" w:rsidR="003B61A8" w:rsidRDefault="003B61A8" w:rsidP="003B61A8">
      <w:pPr>
        <w:spacing w:after="120"/>
        <w:ind w:left="1985" w:hanging="1985"/>
        <w:rPr>
          <w:rFonts w:ascii="Arial" w:hAnsi="Arial" w:cs="Arial"/>
          <w:b/>
        </w:rPr>
      </w:pPr>
    </w:p>
    <w:p w14:paraId="2FF594BC" w14:textId="77777777" w:rsidR="003B61A8" w:rsidRPr="00CD5405" w:rsidRDefault="003B61A8" w:rsidP="003B61A8">
      <w:pPr>
        <w:spacing w:after="120"/>
        <w:ind w:left="1985" w:hanging="1985"/>
        <w:rPr>
          <w:rFonts w:ascii="Arial" w:hAnsi="Arial" w:cs="Arial"/>
          <w:bCs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Cs/>
        </w:rPr>
        <w:t>Ericsson</w:t>
      </w:r>
    </w:p>
    <w:p w14:paraId="7B57CDA7" w14:textId="1FA9DDA4" w:rsidR="003B61A8" w:rsidRDefault="003B61A8" w:rsidP="003B61A8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4B161B" w:rsidRPr="004B161B">
        <w:rPr>
          <w:rFonts w:ascii="Arial" w:hAnsi="Arial" w:cs="Arial"/>
        </w:rPr>
        <w:t>On correlation and beam</w:t>
      </w:r>
      <w:r w:rsidR="008724E3">
        <w:rPr>
          <w:rFonts w:ascii="Arial" w:hAnsi="Arial" w:cs="Arial"/>
        </w:rPr>
        <w:t>-</w:t>
      </w:r>
      <w:r w:rsidR="008724E3" w:rsidRPr="004B161B">
        <w:rPr>
          <w:rFonts w:ascii="Arial" w:hAnsi="Arial" w:cs="Arial"/>
        </w:rPr>
        <w:t>width</w:t>
      </w:r>
    </w:p>
    <w:p w14:paraId="72798C4E" w14:textId="4903AC72" w:rsidR="003B61A8" w:rsidRPr="00155B44" w:rsidRDefault="003B61A8" w:rsidP="003B61A8">
      <w:pPr>
        <w:spacing w:after="120"/>
        <w:ind w:left="1985" w:hanging="1985"/>
        <w:rPr>
          <w:rFonts w:ascii="Arial" w:hAnsi="Arial" w:cs="Arial"/>
          <w:bCs/>
          <w:color w:val="FF0000"/>
          <w:lang w:val="sv-SE"/>
        </w:rPr>
      </w:pPr>
      <w:r w:rsidRPr="00155B44">
        <w:rPr>
          <w:rFonts w:ascii="Arial" w:hAnsi="Arial" w:cs="Arial"/>
          <w:b/>
          <w:lang w:val="sv-SE"/>
        </w:rPr>
        <w:t>Agenda item:</w:t>
      </w:r>
      <w:r w:rsidRPr="00155B44">
        <w:rPr>
          <w:rFonts w:ascii="Arial" w:hAnsi="Arial" w:cs="Arial"/>
          <w:b/>
          <w:lang w:val="sv-SE"/>
        </w:rPr>
        <w:tab/>
      </w:r>
      <w:r w:rsidR="00197E17">
        <w:rPr>
          <w:rFonts w:ascii="Arial" w:hAnsi="Arial" w:cs="Arial"/>
          <w:bCs/>
          <w:lang w:val="sv-SE"/>
        </w:rPr>
        <w:t>7.8</w:t>
      </w:r>
      <w:r w:rsidR="00A712F6">
        <w:rPr>
          <w:rFonts w:ascii="Arial" w:hAnsi="Arial" w:cs="Arial"/>
          <w:bCs/>
          <w:lang w:val="sv-SE"/>
        </w:rPr>
        <w:t>.5.1</w:t>
      </w:r>
    </w:p>
    <w:p w14:paraId="3C088A4A" w14:textId="577A9DA7" w:rsidR="003B61A8" w:rsidRDefault="003B61A8" w:rsidP="003B61A8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</w:r>
      <w:r w:rsidR="0062745C" w:rsidRPr="0062745C">
        <w:rPr>
          <w:rFonts w:ascii="Arial" w:hAnsi="Arial" w:cs="Arial"/>
        </w:rPr>
        <w:t>Discussion</w:t>
      </w:r>
    </w:p>
    <w:p w14:paraId="2EAE1FC3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69053E60" w14:textId="77777777" w:rsidR="003B61A8" w:rsidRDefault="003B61A8" w:rsidP="003B61A8">
      <w:pPr>
        <w:pStyle w:val="Heading1"/>
        <w:keepLines w:val="0"/>
        <w:numPr>
          <w:ilvl w:val="0"/>
          <w:numId w:val="5"/>
        </w:numPr>
        <w:pBdr>
          <w:top w:val="none" w:sz="0" w:space="0" w:color="auto"/>
        </w:pBdr>
        <w:spacing w:before="0" w:after="240"/>
        <w:ind w:right="284" w:hanging="720"/>
      </w:pPr>
      <w:r>
        <w:t>Introduction</w:t>
      </w:r>
    </w:p>
    <w:p w14:paraId="0936CE1B" w14:textId="254A984F" w:rsidR="00155B44" w:rsidRDefault="0062745C" w:rsidP="009235A0">
      <w:pPr>
        <w:pStyle w:val="BodyText"/>
      </w:pPr>
      <w:r>
        <w:t>At the last RAN4 meeting (RAN4#</w:t>
      </w:r>
      <w:r w:rsidR="00EB5786">
        <w:t xml:space="preserve">92-bis </w:t>
      </w:r>
      <w:r>
        <w:t xml:space="preserve">in </w:t>
      </w:r>
      <w:r w:rsidR="00EB5786">
        <w:t>Chongqing</w:t>
      </w:r>
      <w:r>
        <w:t>)</w:t>
      </w:r>
      <w:r w:rsidR="00155B44">
        <w:t xml:space="preserve"> </w:t>
      </w:r>
      <w:r w:rsidR="00DB0634">
        <w:t xml:space="preserve">details on how to associate </w:t>
      </w:r>
      <w:r w:rsidR="00295DB4">
        <w:t xml:space="preserve">signal correlation, </w:t>
      </w:r>
      <w:r w:rsidR="004F15BF">
        <w:t xml:space="preserve">directivity and </w:t>
      </w:r>
      <w:r w:rsidR="00F86020">
        <w:t xml:space="preserve">half power </w:t>
      </w:r>
      <w:r w:rsidR="004F15BF">
        <w:t>beam</w:t>
      </w:r>
      <w:r w:rsidR="00F86020">
        <w:t>-</w:t>
      </w:r>
      <w:r w:rsidR="004F15BF">
        <w:t xml:space="preserve">width </w:t>
      </w:r>
      <w:r w:rsidR="00B007B4">
        <w:t xml:space="preserve">for </w:t>
      </w:r>
      <w:r w:rsidR="000D785C">
        <w:t xml:space="preserve">an AAS base station was discussed intensively. </w:t>
      </w:r>
    </w:p>
    <w:p w14:paraId="28FBEDC1" w14:textId="39C1D8A7" w:rsidR="00C94161" w:rsidRDefault="00A56210" w:rsidP="007D0E4D">
      <w:pPr>
        <w:pStyle w:val="BodyText"/>
      </w:pPr>
      <w:r w:rsidRPr="00A56210">
        <w:t xml:space="preserve">In R4-1912483 [1] it is proposed that </w:t>
      </w:r>
      <w:r w:rsidR="00036728">
        <w:t xml:space="preserve">a </w:t>
      </w:r>
      <w:r w:rsidRPr="00A56210">
        <w:t xml:space="preserve">measurement of the </w:t>
      </w:r>
      <w:r w:rsidR="00881C2D">
        <w:t>half power</w:t>
      </w:r>
      <w:r w:rsidRPr="00A56210">
        <w:t xml:space="preserve"> beam</w:t>
      </w:r>
      <w:r w:rsidR="00F86020">
        <w:t>-</w:t>
      </w:r>
      <w:r w:rsidRPr="00A56210">
        <w:t xml:space="preserve">width can be used to detect the level of correlation. </w:t>
      </w:r>
      <w:r w:rsidR="00226B3F">
        <w:t xml:space="preserve">This assumption is true for the case where the signal correlation is </w:t>
      </w:r>
      <w:r w:rsidR="00897C90">
        <w:t xml:space="preserve">high, as explained in this contribution. </w:t>
      </w:r>
      <w:r w:rsidR="004C2B77">
        <w:t>During last meeting a draft version of this contribution was circulated at the reflector</w:t>
      </w:r>
      <w:r w:rsidR="00F4610B">
        <w:t xml:space="preserve"> as a result of the </w:t>
      </w:r>
      <w:r w:rsidR="00F86020">
        <w:t>discussion</w:t>
      </w:r>
      <w:r w:rsidR="00F4610B">
        <w:t>. The contribution</w:t>
      </w:r>
      <w:r w:rsidR="008A5440">
        <w:t xml:space="preserve"> was not </w:t>
      </w:r>
      <w:r w:rsidR="00F4610B">
        <w:t xml:space="preserve">formally </w:t>
      </w:r>
      <w:r w:rsidR="008A5440">
        <w:t xml:space="preserve">presented. </w:t>
      </w:r>
    </w:p>
    <w:p w14:paraId="168DA47F" w14:textId="7DC90ED2" w:rsidR="00843454" w:rsidRDefault="00C94161" w:rsidP="007D0E4D">
      <w:pPr>
        <w:pStyle w:val="BodyText"/>
      </w:pPr>
      <w:r>
        <w:t>In this contribution w</w:t>
      </w:r>
      <w:r w:rsidR="00A56210" w:rsidRPr="00A56210">
        <w:t xml:space="preserve">e </w:t>
      </w:r>
      <w:r w:rsidRPr="00A56210">
        <w:t>provide</w:t>
      </w:r>
      <w:r w:rsidR="00A56210" w:rsidRPr="00A56210">
        <w:t xml:space="preserve"> </w:t>
      </w:r>
      <w:r w:rsidR="005743B5">
        <w:t xml:space="preserve">updated version of </w:t>
      </w:r>
      <w:r w:rsidR="00C84709">
        <w:t>the</w:t>
      </w:r>
      <w:r w:rsidR="00A56210" w:rsidRPr="00A56210">
        <w:t xml:space="preserve"> analysis that shows </w:t>
      </w:r>
      <w:r w:rsidR="00F86020">
        <w:t>how signal correlation, directivity and beam</w:t>
      </w:r>
      <w:r w:rsidR="00881C2D">
        <w:t>-</w:t>
      </w:r>
      <w:r w:rsidR="00F86020">
        <w:t xml:space="preserve">widths are related for an AAS bas station. </w:t>
      </w:r>
    </w:p>
    <w:p w14:paraId="52829FFE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7840C72F" w14:textId="77777777" w:rsidR="003B61A8" w:rsidRDefault="003B61A8" w:rsidP="003B61A8">
      <w:pPr>
        <w:pStyle w:val="Heading1"/>
        <w:keepLines w:val="0"/>
        <w:numPr>
          <w:ilvl w:val="0"/>
          <w:numId w:val="5"/>
        </w:numPr>
        <w:pBdr>
          <w:top w:val="none" w:sz="0" w:space="0" w:color="auto"/>
        </w:pBdr>
        <w:spacing w:before="0" w:after="240"/>
        <w:ind w:right="284" w:hanging="720"/>
      </w:pPr>
      <w:r>
        <w:t>Discussion</w:t>
      </w:r>
    </w:p>
    <w:p w14:paraId="071F5F8A" w14:textId="4C19F64F" w:rsidR="00AA5CDB" w:rsidRPr="004009B5" w:rsidRDefault="00AA5CDB" w:rsidP="00AA5CDB">
      <w:pPr>
        <w:pStyle w:val="BodyText"/>
      </w:pPr>
      <w:r>
        <w:t xml:space="preserve">For the case where an active array antenna is used to achieve beamforming with maximal gain </w:t>
      </w:r>
      <w:r w:rsidR="008B568A">
        <w:t xml:space="preserve">in a specific direction </w:t>
      </w:r>
      <w:r>
        <w:t xml:space="preserve">the signals fed to the array elements are strongly correlated, unlike for unwanted emission where signals fed to the array antenna elements can be anything </w:t>
      </w:r>
      <w:r w:rsidR="00FB2999">
        <w:t xml:space="preserve">from </w:t>
      </w:r>
      <w:r>
        <w:t xml:space="preserve">fully correlated to uncorrelated. The correlation </w:t>
      </w:r>
      <w:r w:rsidR="00FB2999">
        <w:t xml:space="preserve">level </w:t>
      </w:r>
      <w:r>
        <w:t xml:space="preserve">for </w:t>
      </w:r>
      <w:r w:rsidR="00BE48AB">
        <w:t xml:space="preserve">a specific frequency component </w:t>
      </w:r>
      <w:r w:rsidR="00364F3C">
        <w:t xml:space="preserve">of </w:t>
      </w:r>
      <w:r w:rsidR="00FB2999">
        <w:t xml:space="preserve">an </w:t>
      </w:r>
      <w:r w:rsidR="00364F3C">
        <w:t>unwanted</w:t>
      </w:r>
      <w:r>
        <w:t xml:space="preserve"> emission </w:t>
      </w:r>
      <w:r w:rsidR="00FB2999">
        <w:t>depends on</w:t>
      </w:r>
      <w:r>
        <w:t xml:space="preserve"> how it is </w:t>
      </w:r>
      <w:r w:rsidR="00BE48AB">
        <w:t>related to</w:t>
      </w:r>
      <w:r>
        <w:t xml:space="preserve"> the wanted signal. Mixing product</w:t>
      </w:r>
      <w:r w:rsidR="00BE48AB">
        <w:t>s</w:t>
      </w:r>
      <w:r>
        <w:t xml:space="preserve"> including the wanted signal tends to be correlated, while unwanted emission related to </w:t>
      </w:r>
      <w:r w:rsidR="004544AB">
        <w:t xml:space="preserve">wideband noise, internal </w:t>
      </w:r>
      <w:r>
        <w:t>clock signals</w:t>
      </w:r>
      <w:r w:rsidR="00364F3C">
        <w:t>,</w:t>
      </w:r>
      <w:r>
        <w:t xml:space="preserve"> LO signals</w:t>
      </w:r>
      <w:r w:rsidR="00364F3C">
        <w:t>, etc.</w:t>
      </w:r>
      <w:r>
        <w:t xml:space="preserve"> tends to be </w:t>
      </w:r>
      <w:r w:rsidR="00364F3C">
        <w:t>less correlated.</w:t>
      </w:r>
      <w:r>
        <w:t xml:space="preserve"> </w:t>
      </w:r>
    </w:p>
    <w:p w14:paraId="38E9345A" w14:textId="4B8C2E19" w:rsidR="00545926" w:rsidRPr="004009B5" w:rsidRDefault="0046474F" w:rsidP="001B3D71">
      <w:pPr>
        <w:pStyle w:val="BodyText"/>
      </w:pPr>
      <w:r>
        <w:t>At first glance</w:t>
      </w:r>
      <w:r w:rsidR="007911B1">
        <w:t xml:space="preserve"> </w:t>
      </w:r>
      <w:r w:rsidR="00487685">
        <w:t xml:space="preserve">it is easy to draw the conclusion that directivity and </w:t>
      </w:r>
      <w:r w:rsidR="00881C2D">
        <w:t xml:space="preserve">half power </w:t>
      </w:r>
      <w:r w:rsidR="00487685">
        <w:t>beam</w:t>
      </w:r>
      <w:r w:rsidR="00881C2D">
        <w:t>-</w:t>
      </w:r>
      <w:r w:rsidR="00487685">
        <w:t>width</w:t>
      </w:r>
      <w:r w:rsidR="00E836B5">
        <w:t xml:space="preserve"> </w:t>
      </w:r>
      <w:r w:rsidR="0087649D">
        <w:t xml:space="preserve">directly </w:t>
      </w:r>
      <w:r w:rsidR="00A11479">
        <w:t xml:space="preserve">are </w:t>
      </w:r>
      <w:r w:rsidR="0087649D">
        <w:t>related to each other</w:t>
      </w:r>
      <w:r w:rsidR="001149DA">
        <w:t xml:space="preserve"> independently of signal correlation</w:t>
      </w:r>
      <w:r w:rsidR="0087649D">
        <w:t>.</w:t>
      </w:r>
      <w:r w:rsidR="007D2CF1">
        <w:t xml:space="preserve"> </w:t>
      </w:r>
      <w:r w:rsidR="00B83038">
        <w:t>From antenna theory</w:t>
      </w:r>
      <w:r w:rsidR="00F94939">
        <w:t xml:space="preserve"> [2]</w:t>
      </w:r>
      <w:r w:rsidR="00B83038">
        <w:t xml:space="preserve"> the </w:t>
      </w:r>
      <w:r w:rsidR="00AF2382">
        <w:t xml:space="preserve">peak </w:t>
      </w:r>
      <w:r w:rsidR="00B83038">
        <w:t xml:space="preserve">directivity </w:t>
      </w:r>
      <w:r w:rsidR="00B91F3D">
        <w:t xml:space="preserve">for </w:t>
      </w:r>
      <w:r w:rsidR="00FF2159">
        <w:t xml:space="preserve">passive </w:t>
      </w:r>
      <w:r w:rsidR="008F63C7">
        <w:t>planar array</w:t>
      </w:r>
      <w:r w:rsidR="00FF2159">
        <w:t xml:space="preserve"> antennas</w:t>
      </w:r>
      <w:r w:rsidR="008F63C7">
        <w:t xml:space="preserve"> </w:t>
      </w:r>
      <w:r w:rsidR="00B83038">
        <w:t xml:space="preserve">can be </w:t>
      </w:r>
      <w:r w:rsidR="00FB2999">
        <w:t xml:space="preserve">approximated </w:t>
      </w:r>
      <w:r w:rsidR="00C13B72">
        <w:t>by the Krauss formula</w:t>
      </w:r>
      <w:r w:rsidR="00B83038">
        <w:t>:</w:t>
      </w:r>
    </w:p>
    <w:p w14:paraId="658A3510" w14:textId="4DA50B9C" w:rsidR="00545926" w:rsidRDefault="00101CAF" w:rsidP="00545926">
      <w:pPr>
        <w:jc w:val="center"/>
        <w:rPr>
          <w:bCs/>
        </w:rPr>
      </w:pPr>
      <m:oMath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Cs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bCs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180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HBP</m:t>
            </m:r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v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HPB</m:t>
            </m:r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h</m:t>
                </m:r>
              </m:sub>
            </m:sSub>
          </m:den>
        </m:f>
      </m:oMath>
      <w:r w:rsidR="00FB2999">
        <w:rPr>
          <w:bCs/>
        </w:rPr>
        <w:t>,</w:t>
      </w:r>
      <w:r w:rsidR="00545926" w:rsidRPr="004009B5">
        <w:rPr>
          <w:bCs/>
        </w:rPr>
        <w:tab/>
      </w:r>
      <w:r w:rsidR="00545926" w:rsidRPr="004009B5">
        <w:rPr>
          <w:bCs/>
        </w:rPr>
        <w:tab/>
        <w:t xml:space="preserve">(Eq. </w:t>
      </w:r>
      <w:r w:rsidR="00146EDB">
        <w:rPr>
          <w:bCs/>
        </w:rPr>
        <w:t>2-1</w:t>
      </w:r>
      <w:r w:rsidR="00545926" w:rsidRPr="004009B5">
        <w:rPr>
          <w:bCs/>
        </w:rPr>
        <w:t>)</w:t>
      </w:r>
    </w:p>
    <w:p w14:paraId="65FD3C39" w14:textId="5BD141BB" w:rsidR="00C70921" w:rsidRDefault="00C70921" w:rsidP="00B860D1">
      <w:pPr>
        <w:pStyle w:val="BodyText"/>
      </w:pPr>
      <w:r>
        <w:t xml:space="preserve">where </w:t>
      </w:r>
      <w:proofErr w:type="spellStart"/>
      <w:r w:rsidRPr="00FC7CBC">
        <w:rPr>
          <w:rFonts w:ascii="Cambria Math" w:hAnsi="Cambria Math"/>
        </w:rPr>
        <w:t>HPBW</w:t>
      </w:r>
      <w:r w:rsidRPr="00FC7CBC">
        <w:rPr>
          <w:rFonts w:ascii="Cambria Math" w:hAnsi="Cambria Math"/>
          <w:vertAlign w:val="subscript"/>
        </w:rPr>
        <w:t>v</w:t>
      </w:r>
      <w:proofErr w:type="spellEnd"/>
      <w:r w:rsidR="00F90E06">
        <w:t xml:space="preserve"> is the </w:t>
      </w:r>
      <w:r w:rsidR="000640BC">
        <w:t xml:space="preserve">vertical </w:t>
      </w:r>
      <w:r w:rsidR="00F90E06">
        <w:t>half power beam</w:t>
      </w:r>
      <w:r w:rsidR="00D002B8">
        <w:t>-</w:t>
      </w:r>
      <w:r w:rsidR="00F90E06">
        <w:t xml:space="preserve">width in degrees and </w:t>
      </w:r>
      <w:proofErr w:type="spellStart"/>
      <w:r w:rsidR="00F90E06" w:rsidRPr="00FC7CBC">
        <w:rPr>
          <w:rFonts w:ascii="Cambria Math" w:hAnsi="Cambria Math"/>
        </w:rPr>
        <w:t>HPBW</w:t>
      </w:r>
      <w:r w:rsidR="00F90E06" w:rsidRPr="00FC7CBC">
        <w:rPr>
          <w:rFonts w:ascii="Cambria Math" w:hAnsi="Cambria Math"/>
          <w:vertAlign w:val="subscript"/>
        </w:rPr>
        <w:t>h</w:t>
      </w:r>
      <w:proofErr w:type="spellEnd"/>
      <w:r w:rsidR="00F90E06">
        <w:t xml:space="preserve"> is the horizontal </w:t>
      </w:r>
      <w:r w:rsidR="000640BC">
        <w:t>half power beam</w:t>
      </w:r>
      <w:r w:rsidR="00D002B8">
        <w:t>-</w:t>
      </w:r>
      <w:r w:rsidR="000640BC">
        <w:t>width in degrees.</w:t>
      </w:r>
    </w:p>
    <w:p w14:paraId="1872E733" w14:textId="6609D3EB" w:rsidR="001E1BD7" w:rsidRDefault="00545926" w:rsidP="00B860D1">
      <w:pPr>
        <w:pStyle w:val="BodyText"/>
      </w:pPr>
      <w:r w:rsidRPr="004009B5">
        <w:t>However, this formula is not generally applicable. For example, when the antenna weights are de-correlated the above formula should not be used.</w:t>
      </w:r>
      <w:r w:rsidR="00B860D1">
        <w:t xml:space="preserve"> </w:t>
      </w:r>
      <w:r w:rsidR="00483DA2">
        <w:t>In this contribution</w:t>
      </w:r>
      <w:r w:rsidR="00FB2999">
        <w:t>,</w:t>
      </w:r>
      <w:r w:rsidR="00483DA2">
        <w:t xml:space="preserve"> we will show how the </w:t>
      </w:r>
      <w:r w:rsidR="00FB2999">
        <w:t xml:space="preserve">level of </w:t>
      </w:r>
      <w:r w:rsidR="00483DA2">
        <w:t>correlation</w:t>
      </w:r>
      <w:r w:rsidR="004C504E">
        <w:t xml:space="preserve"> affects the expected composite array directivity</w:t>
      </w:r>
      <w:r w:rsidR="00A61A43">
        <w:t xml:space="preserve"> and </w:t>
      </w:r>
      <w:r w:rsidR="00F414F4">
        <w:t xml:space="preserve">corresponding half power </w:t>
      </w:r>
      <w:r w:rsidR="00A61A43">
        <w:t>beam</w:t>
      </w:r>
      <w:r w:rsidR="00F414F4">
        <w:t>-</w:t>
      </w:r>
      <w:r w:rsidR="00A61A43">
        <w:t xml:space="preserve">width </w:t>
      </w:r>
      <w:r w:rsidR="00D01FD2">
        <w:t>characteristics</w:t>
      </w:r>
      <w:r w:rsidR="00A61A43">
        <w:t xml:space="preserve">. </w:t>
      </w:r>
      <w:r w:rsidR="00396478">
        <w:t xml:space="preserve"> </w:t>
      </w:r>
    </w:p>
    <w:p w14:paraId="7C2884AB" w14:textId="6E32EE10" w:rsidR="004D790F" w:rsidRDefault="004D790F" w:rsidP="00B860D1">
      <w:pPr>
        <w:pStyle w:val="BodyText"/>
      </w:pPr>
      <w:r>
        <w:t xml:space="preserve">From antenna array theory, the </w:t>
      </w:r>
      <w:r w:rsidR="00473408">
        <w:t xml:space="preserve">radiation </w:t>
      </w:r>
      <w:r w:rsidR="00E569B7">
        <w:t xml:space="preserve">power </w:t>
      </w:r>
      <w:r w:rsidR="00473408">
        <w:t xml:space="preserve">pattern </w:t>
      </w:r>
      <w:r w:rsidR="00214C66">
        <w:t xml:space="preserve">produced by an </w:t>
      </w:r>
      <w:r w:rsidR="00214C66" w:rsidRPr="00D667C9">
        <w:rPr>
          <w:rFonts w:ascii="Cambria Math" w:hAnsi="Cambria Math"/>
          <w:i/>
        </w:rPr>
        <w:t>N</w:t>
      </w:r>
      <w:r w:rsidR="00214C66">
        <w:t xml:space="preserve"> element array antenna </w:t>
      </w:r>
      <w:r w:rsidR="00473408">
        <w:t>can be expressed as:</w:t>
      </w:r>
    </w:p>
    <w:p w14:paraId="2E948F5C" w14:textId="2213C660" w:rsidR="001E1BD7" w:rsidRDefault="004D790F" w:rsidP="00D667C9">
      <w:pPr>
        <w:pStyle w:val="BodyText"/>
        <w:jc w:val="center"/>
        <w:rPr>
          <w:lang w:val="en-US"/>
        </w:rPr>
      </w:pPr>
      <w:bookmarkStart w:id="2" w:name="_Hlk510701643"/>
      <m:oMath>
        <m:r>
          <w:rPr>
            <w:rFonts w:ascii="Cambria Math" w:hAnsi="Cambria Math"/>
            <w:lang w:val="en-US"/>
          </w:rPr>
          <m:t>R</m:t>
        </m:r>
        <m:d>
          <m:dPr>
            <m:ctrlPr>
              <w:rPr>
                <w:rFonts w:ascii="Cambria Math" w:hAnsi="Cambria Math"/>
                <w:lang w:val="en-US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θ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en-US"/>
              </w:rPr>
              <m:t>φ</m:t>
            </m:r>
          </m:e>
        </m:d>
        <w:bookmarkEnd w:id="2"/>
        <m:r>
          <m:rPr>
            <m:sty m:val="p"/>
          </m:rP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lang w:val="en-US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lang w:val="en-US"/>
                  </w:rPr>
                  <m:t>E</m:t>
                </m:r>
                <m:d>
                  <m:dPr>
                    <m:ctrlPr>
                      <w:rPr>
                        <w:rFonts w:ascii="Cambria Math" w:hAnsi="Cambria Math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θ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  <w:lang w:val="en-US"/>
                      </w:rPr>
                      <m:t>φ</m:t>
                    </m:r>
                  </m:e>
                </m:d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lang w:val="en-US"/>
              </w:rPr>
              <m:t>2</m:t>
            </m:r>
          </m:sup>
        </m:sSup>
        <m:nary>
          <m:naryPr>
            <m:chr m:val="∑"/>
            <m:limLoc m:val="undOvr"/>
            <m:ctrlPr>
              <w:rPr>
                <w:rFonts w:ascii="Cambria Math" w:hAnsi="Cambria Math"/>
                <w:lang w:val="en-US"/>
              </w:rPr>
            </m:ctrlPr>
          </m:naryPr>
          <m:sub>
            <m:r>
              <w:rPr>
                <w:rFonts w:ascii="Cambria Math" w:hAnsi="Cambria Math"/>
                <w:lang w:val="en-US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=1</m:t>
            </m:r>
          </m:sub>
          <m:sup>
            <m:r>
              <w:rPr>
                <w:rFonts w:ascii="Cambria Math" w:hAnsi="Cambria Math"/>
                <w:lang w:val="en-US"/>
              </w:rPr>
              <m:t>N</m:t>
            </m:r>
          </m:sup>
          <m:e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n</m:t>
                        </m:r>
                      </m:sub>
                    </m:sSub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</m:e>
        </m:nary>
      </m:oMath>
      <w:r w:rsidR="00FB2999">
        <w:rPr>
          <w:lang w:val="en-US"/>
        </w:rPr>
        <w:t>,</w:t>
      </w:r>
      <w:r w:rsidR="00CE0A96">
        <w:rPr>
          <w:lang w:val="en-US"/>
        </w:rPr>
        <w:tab/>
        <w:t>(Eq. 2-</w:t>
      </w:r>
      <w:r w:rsidR="00CD3ADD">
        <w:rPr>
          <w:lang w:val="en-US"/>
        </w:rPr>
        <w:t>2</w:t>
      </w:r>
      <w:r w:rsidR="00CE0A96">
        <w:rPr>
          <w:lang w:val="en-US"/>
        </w:rPr>
        <w:t>)</w:t>
      </w:r>
    </w:p>
    <w:p w14:paraId="3C502EB4" w14:textId="6F0043A3" w:rsidR="00C414FB" w:rsidRDefault="00CE0A96" w:rsidP="00B860D1">
      <w:pPr>
        <w:pStyle w:val="BodyText"/>
        <w:rPr>
          <w:lang w:val="en-US"/>
        </w:rPr>
      </w:pPr>
      <w:r>
        <w:rPr>
          <w:lang w:val="en-US"/>
        </w:rPr>
        <w:t xml:space="preserve">where </w:t>
      </w:r>
      <w:r w:rsidRPr="00D667C9">
        <w:rPr>
          <w:rFonts w:ascii="Cambria Math" w:hAnsi="Cambria Math"/>
          <w:i/>
          <w:lang w:val="en-US"/>
        </w:rPr>
        <w:t>E</w:t>
      </w:r>
      <w:r>
        <w:rPr>
          <w:lang w:val="en-US"/>
        </w:rPr>
        <w:t xml:space="preserve"> is the element factor</w:t>
      </w:r>
      <w:r w:rsidR="00BA07C4">
        <w:rPr>
          <w:lang w:val="en-US"/>
        </w:rPr>
        <w:t xml:space="preserve">, </w:t>
      </w:r>
      <w:proofErr w:type="spellStart"/>
      <w:r w:rsidR="00D84C12" w:rsidRPr="00D667C9">
        <w:rPr>
          <w:rFonts w:ascii="Cambria Math" w:hAnsi="Cambria Math"/>
          <w:i/>
          <w:lang w:val="en-US"/>
        </w:rPr>
        <w:t>w</w:t>
      </w:r>
      <w:r w:rsidR="00BA07C4" w:rsidRPr="00D667C9">
        <w:rPr>
          <w:rFonts w:ascii="Cambria Math" w:hAnsi="Cambria Math"/>
          <w:i/>
          <w:vertAlign w:val="subscript"/>
          <w:lang w:val="en-US"/>
        </w:rPr>
        <w:t>n</w:t>
      </w:r>
      <w:proofErr w:type="spellEnd"/>
      <w:r w:rsidR="00BA07C4">
        <w:rPr>
          <w:lang w:val="en-US"/>
        </w:rPr>
        <w:t xml:space="preserve"> </w:t>
      </w:r>
      <w:r w:rsidR="00C414FB">
        <w:rPr>
          <w:lang w:val="en-US"/>
        </w:rPr>
        <w:t xml:space="preserve">is </w:t>
      </w:r>
      <w:r w:rsidR="00BA07C4">
        <w:rPr>
          <w:lang w:val="en-US"/>
        </w:rPr>
        <w:t xml:space="preserve">the </w:t>
      </w:r>
      <w:r w:rsidR="00D84C12">
        <w:rPr>
          <w:lang w:val="en-US"/>
        </w:rPr>
        <w:t>excitation vector</w:t>
      </w:r>
      <w:r w:rsidR="00BA07C4">
        <w:rPr>
          <w:lang w:val="en-US"/>
        </w:rPr>
        <w:t xml:space="preserve">, </w:t>
      </w:r>
      <w:proofErr w:type="spellStart"/>
      <w:r w:rsidR="00D84C12" w:rsidRPr="00D667C9">
        <w:rPr>
          <w:rFonts w:ascii="Cambria Math" w:hAnsi="Cambria Math"/>
          <w:i/>
          <w:lang w:val="en-US"/>
        </w:rPr>
        <w:t>v</w:t>
      </w:r>
      <w:r w:rsidR="00BA07C4" w:rsidRPr="00D667C9">
        <w:rPr>
          <w:rFonts w:ascii="Cambria Math" w:hAnsi="Cambria Math"/>
          <w:i/>
          <w:vertAlign w:val="subscript"/>
          <w:lang w:val="en-US"/>
        </w:rPr>
        <w:t>n</w:t>
      </w:r>
      <w:proofErr w:type="spellEnd"/>
      <w:r w:rsidR="00BA07C4">
        <w:rPr>
          <w:lang w:val="en-US"/>
        </w:rPr>
        <w:t xml:space="preserve"> </w:t>
      </w:r>
      <w:r w:rsidR="00C414FB">
        <w:rPr>
          <w:lang w:val="en-US"/>
        </w:rPr>
        <w:t xml:space="preserve">is </w:t>
      </w:r>
      <w:r w:rsidR="00BA07C4">
        <w:rPr>
          <w:lang w:val="en-US"/>
        </w:rPr>
        <w:t xml:space="preserve">the </w:t>
      </w:r>
      <w:r w:rsidR="00D84C12">
        <w:rPr>
          <w:lang w:val="en-US"/>
        </w:rPr>
        <w:t>element location phas</w:t>
      </w:r>
      <w:r w:rsidR="00FB2999">
        <w:rPr>
          <w:lang w:val="en-US"/>
        </w:rPr>
        <w:t>or</w:t>
      </w:r>
      <w:r w:rsidR="00D84C12">
        <w:rPr>
          <w:lang w:val="en-US"/>
        </w:rPr>
        <w:t xml:space="preserve"> vector</w:t>
      </w:r>
      <w:r w:rsidR="00FB2999">
        <w:rPr>
          <w:lang w:val="en-US"/>
        </w:rPr>
        <w:t xml:space="preserve"> </w:t>
      </w:r>
    </w:p>
    <w:p w14:paraId="7CC12B4A" w14:textId="02D54098" w:rsidR="00CE0A96" w:rsidRPr="00C414FB" w:rsidRDefault="00101CAF" w:rsidP="00DF3BBF">
      <w:pPr>
        <w:pStyle w:val="BodyText"/>
        <w:jc w:val="center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n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j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2πf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hAnsi="Cambria Math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sin</m:t>
                        </m:r>
                      </m:fNam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θ</m:t>
                        </m:r>
                      </m:e>
                    </m:func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func>
                          <m:func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cos</m:t>
                            </m:r>
                          </m:fName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ϕ</m:t>
                            </m:r>
                          </m:e>
                        </m:func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func>
                          <m:func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sin</m:t>
                            </m:r>
                          </m:fName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ϕ</m:t>
                            </m:r>
                          </m:e>
                        </m:func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y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cos</m:t>
                        </m:r>
                      </m:fNam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θ</m:t>
                        </m:r>
                      </m:e>
                    </m:func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e>
                </m:d>
              </m:e>
            </m:d>
          </m:e>
        </m:func>
      </m:oMath>
      <w:r w:rsidR="00D84C12">
        <w:rPr>
          <w:lang w:val="en-US"/>
        </w:rPr>
        <w:t>.</w:t>
      </w:r>
      <w:r w:rsidR="00DF3BBF">
        <w:rPr>
          <w:lang w:val="en-US"/>
        </w:rPr>
        <w:tab/>
      </w:r>
      <w:r w:rsidR="00DF3BBF">
        <w:rPr>
          <w:lang w:val="en-US"/>
        </w:rPr>
        <w:tab/>
        <w:t>(Eq</w:t>
      </w:r>
      <w:r w:rsidR="00F92484">
        <w:rPr>
          <w:lang w:val="en-US"/>
        </w:rPr>
        <w:t>. 2-3)</w:t>
      </w:r>
    </w:p>
    <w:p w14:paraId="35B41F23" w14:textId="37237EFD" w:rsidR="00CB53F2" w:rsidRPr="00CB53F2" w:rsidRDefault="00CB53F2" w:rsidP="001B3D71">
      <w:pPr>
        <w:pStyle w:val="BodyText"/>
      </w:pPr>
      <w:r w:rsidRPr="00CB53F2">
        <w:t xml:space="preserve">To </w:t>
      </w:r>
      <w:r w:rsidR="00A96D4F">
        <w:t xml:space="preserve">model </w:t>
      </w:r>
      <w:r w:rsidR="00350F57">
        <w:t xml:space="preserve">the impact of </w:t>
      </w:r>
      <w:r w:rsidR="008D18BD">
        <w:t>signal correlation</w:t>
      </w:r>
      <w:r w:rsidR="00FB2999">
        <w:t>,</w:t>
      </w:r>
      <w:r w:rsidR="008D18BD">
        <w:t xml:space="preserve"> </w:t>
      </w:r>
      <w:r w:rsidR="00A30D43">
        <w:t xml:space="preserve">the </w:t>
      </w:r>
      <w:r w:rsidR="00FB2999">
        <w:t xml:space="preserve">excitation vector </w:t>
      </w:r>
      <w:r w:rsidR="00224A8F">
        <w:t xml:space="preserve">is </w:t>
      </w:r>
      <w:r w:rsidR="00C13B72">
        <w:t>modelled as</w:t>
      </w:r>
      <w:r w:rsidR="00224A8F">
        <w:t xml:space="preserve"> </w:t>
      </w:r>
      <w:r w:rsidR="007374F0">
        <w:t xml:space="preserve">a </w:t>
      </w:r>
      <w:r w:rsidR="00FB2999">
        <w:t xml:space="preserve">combination of a deterministic, here uniform, and </w:t>
      </w:r>
      <w:r w:rsidR="007374F0">
        <w:t xml:space="preserve">random </w:t>
      </w:r>
      <w:r w:rsidR="00CB7205">
        <w:t>excitation</w:t>
      </w:r>
      <w:r w:rsidRPr="00CB53F2">
        <w:t>:</w:t>
      </w:r>
    </w:p>
    <w:p w14:paraId="5A1B6119" w14:textId="782FC384" w:rsidR="00CB53F2" w:rsidRPr="00CB53F2" w:rsidRDefault="00101CAF" w:rsidP="00CB53F2">
      <w:pPr>
        <w:jc w:val="center"/>
        <w:rPr>
          <w:bCs/>
        </w:rPr>
      </w:pPr>
      <m:oMath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bCs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ρ</m:t>
            </m:r>
          </m:e>
        </m:rad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bCs/>
                <w:i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bCs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1-ρ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rad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+j </m:t>
        </m:r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CB53F2" w:rsidRPr="00CB53F2">
        <w:rPr>
          <w:bCs/>
        </w:rPr>
        <w:t xml:space="preserve"> </w:t>
      </w:r>
      <w:r w:rsidR="00CB53F2" w:rsidRPr="00CB53F2">
        <w:rPr>
          <w:bCs/>
        </w:rPr>
        <w:tab/>
      </w:r>
      <w:r w:rsidR="00CB53F2" w:rsidRPr="00CB53F2">
        <w:rPr>
          <w:bCs/>
        </w:rPr>
        <w:tab/>
        <w:t xml:space="preserve">(Eq. </w:t>
      </w:r>
      <w:r w:rsidR="00755D3D">
        <w:rPr>
          <w:bCs/>
        </w:rPr>
        <w:t>2-</w:t>
      </w:r>
      <w:r w:rsidR="00F92484">
        <w:rPr>
          <w:bCs/>
        </w:rPr>
        <w:t>4</w:t>
      </w:r>
      <w:r w:rsidR="00CB53F2" w:rsidRPr="00CB53F2">
        <w:rPr>
          <w:bCs/>
        </w:rPr>
        <w:t>)</w:t>
      </w:r>
    </w:p>
    <w:p w14:paraId="54A2100A" w14:textId="29761CE1" w:rsidR="00236912" w:rsidRDefault="00261681" w:rsidP="001B3D71">
      <w:pPr>
        <w:pStyle w:val="BodyText"/>
      </w:pPr>
      <w:r>
        <w:lastRenderedPageBreak/>
        <w:t>Here,</w:t>
      </w:r>
      <w:r w:rsidR="0034062D">
        <w:t xml:space="preserve"> </w:t>
      </w:r>
      <w:r w:rsidR="0034062D" w:rsidRPr="00D667C9">
        <w:rPr>
          <w:rFonts w:ascii="Symbol" w:hAnsi="Symbol"/>
          <w:i/>
        </w:rPr>
        <w:t></w:t>
      </w:r>
      <w:r w:rsidR="0034062D">
        <w:t xml:space="preserve"> is the </w:t>
      </w:r>
      <w:r w:rsidR="00C30583">
        <w:t>inter-element signal</w:t>
      </w:r>
      <w:r w:rsidR="0034062D">
        <w:t xml:space="preserve"> correlation</w:t>
      </w:r>
      <w:r w:rsidR="00C30583">
        <w:t xml:space="preserve"> level</w:t>
      </w:r>
      <w:r w:rsidR="0034062D">
        <w:t>,</w:t>
      </w:r>
      <w:r w:rsidR="00C30583">
        <w:t xml:space="preserve"> and</w:t>
      </w:r>
      <w:r w:rsidR="00CB53F2" w:rsidRPr="004009B5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r>
          <w:rPr>
            <w:rFonts w:ascii="Cambria Math" w:hAnsi="Cambria Math"/>
          </w:rPr>
          <m:t>,</m:t>
        </m:r>
      </m:oMath>
      <w:r w:rsidR="00CB53F2" w:rsidRPr="004009B5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</m:oMath>
      <w:r w:rsidR="00CB53F2" w:rsidRPr="004009B5">
        <w:t xml:space="preserve"> are </w:t>
      </w:r>
      <w:r w:rsidR="00236912">
        <w:t xml:space="preserve">independent </w:t>
      </w:r>
      <w:r w:rsidR="00CB53F2" w:rsidRPr="004009B5">
        <w:t>Gaussian random numbers with unit standard deviation</w:t>
      </w:r>
      <w:r>
        <w:t>:</w:t>
      </w:r>
      <w:r w:rsidR="00D667C9">
        <w:t xml:space="preserve"> </w:t>
      </w:r>
    </w:p>
    <w:p w14:paraId="1BD01F27" w14:textId="4CBF66F9" w:rsidR="00236912" w:rsidRPr="00236912" w:rsidRDefault="00101CAF" w:rsidP="001B3D71">
      <w:pPr>
        <w:pStyle w:val="BodyText"/>
      </w:pPr>
      <m:oMathPara>
        <m:oMath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d>
          <m:r>
            <w:rPr>
              <w:rFonts w:ascii="Cambria Math" w:hAnsi="Cambria Math"/>
            </w:rPr>
            <m:t>=0</m:t>
          </m:r>
        </m:oMath>
      </m:oMathPara>
    </w:p>
    <w:p w14:paraId="65DE3FA3" w14:textId="6ADBF281" w:rsidR="00236912" w:rsidRPr="00236912" w:rsidRDefault="00101CAF" w:rsidP="001B3D71">
      <w:pPr>
        <w:pStyle w:val="BodyText"/>
      </w:pPr>
      <m:oMathPara>
        <m:oMath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e>
          </m:d>
          <m:r>
            <w:rPr>
              <w:rFonts w:ascii="Cambria Math" w:hAnsi="Cambria Math"/>
            </w:rPr>
            <m:t>=</m:t>
          </m:r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e>
          </m:d>
          <m:r>
            <w:rPr>
              <w:rFonts w:ascii="Cambria Math" w:hAnsi="Cambria Math"/>
            </w:rPr>
            <m:t>=1</m:t>
          </m:r>
        </m:oMath>
      </m:oMathPara>
    </w:p>
    <w:p w14:paraId="12F33135" w14:textId="53D7E328" w:rsidR="00236912" w:rsidRPr="00236912" w:rsidRDefault="00101CAF" w:rsidP="001B3D71">
      <w:pPr>
        <w:pStyle w:val="BodyText"/>
      </w:pPr>
      <m:oMathPara>
        <m:oMath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m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m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d>
          <m:r>
            <w:rPr>
              <w:rFonts w:ascii="Cambria Math" w:hAnsi="Cambria Math"/>
            </w:rPr>
            <m:t xml:space="preserve">=0 </m:t>
          </m:r>
          <m:r>
            <m:rPr>
              <m:nor/>
            </m:rPr>
            <w:rPr>
              <w:rFonts w:ascii="Cambria Math" w:hAnsi="Cambria Math"/>
            </w:rPr>
            <m:t>if</m:t>
          </m:r>
          <m:r>
            <w:rPr>
              <w:rFonts w:ascii="Cambria Math" w:hAnsi="Cambria Math"/>
            </w:rPr>
            <m:t xml:space="preserve">  m≠n</m:t>
          </m:r>
        </m:oMath>
      </m:oMathPara>
    </w:p>
    <w:p w14:paraId="1C326388" w14:textId="55529B6F" w:rsidR="00236912" w:rsidRDefault="00101CAF" w:rsidP="001B3D71">
      <w:pPr>
        <w:pStyle w:val="BodyText"/>
      </w:pPr>
      <m:oMathPara>
        <m:oMath>
          <m:d>
            <m:dPr>
              <m:begChr m:val="⟨"/>
              <m:endChr m:val="⟩"/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m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d>
          <m:r>
            <w:rPr>
              <w:rFonts w:ascii="Cambria Math" w:hAnsi="Cambria Math"/>
            </w:rPr>
            <m:t xml:space="preserve">=0 </m:t>
          </m:r>
          <m:r>
            <m:rPr>
              <m:nor/>
            </m:rPr>
            <w:rPr>
              <w:rFonts w:ascii="Cambria Math" w:hAnsi="Cambria Math"/>
            </w:rPr>
            <m:t>for all</m:t>
          </m:r>
          <m:r>
            <w:rPr>
              <w:rFonts w:ascii="Cambria Math" w:hAnsi="Cambria Math"/>
            </w:rPr>
            <m:t xml:space="preserve"> m,n</m:t>
          </m:r>
        </m:oMath>
      </m:oMathPara>
    </w:p>
    <w:p w14:paraId="4FE8A5E0" w14:textId="684E383B" w:rsidR="004009B5" w:rsidRPr="004009B5" w:rsidRDefault="004009B5" w:rsidP="001B3D71">
      <w:pPr>
        <w:pStyle w:val="BodyText"/>
      </w:pPr>
      <w:r w:rsidRPr="004009B5">
        <w:t>Clearly, the inter-element antenna weight correlation</w:t>
      </w:r>
      <w:r w:rsidR="00823B7D">
        <w:t xml:space="preserve"> can be expressed as:</w:t>
      </w:r>
    </w:p>
    <w:p w14:paraId="02EB4132" w14:textId="5B6C902B" w:rsidR="004F09BB" w:rsidRDefault="00101CAF" w:rsidP="009A7997">
      <w:pPr>
        <w:jc w:val="center"/>
      </w:pPr>
      <m:oMath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nm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 w:cs="Cambria Math"/>
                <w:bCs/>
                <w:i/>
              </w:rPr>
            </m:ctrlPr>
          </m:fPr>
          <m:num>
            <m:r>
              <w:rPr>
                <w:rFonts w:ascii="Cambria Math" w:hAnsi="Cambria Math" w:cs="Cambria Math"/>
              </w:rPr>
              <m:t>〈</m:t>
            </m:r>
            <m:sSubSup>
              <m:sSubSupPr>
                <m:ctrlPr>
                  <w:rPr>
                    <w:rFonts w:ascii="Cambria Math" w:hAnsi="Cambria Math"/>
                    <w:bCs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w</m:t>
                </m:r>
                <m:ctrlPr>
                  <w:rPr>
                    <w:rFonts w:ascii="Cambria Math" w:hAnsi="Cambria Math" w:cs="Cambria Math"/>
                    <w:bCs/>
                    <w:i/>
                  </w:rPr>
                </m:ctrlP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  <m:sup>
                <m:r>
                  <w:rPr>
                    <w:rFonts w:ascii="Cambria Math" w:hAnsi="Cambria Math"/>
                  </w:rPr>
                  <m:t>*</m:t>
                </m:r>
              </m:sup>
            </m:sSubSup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bCs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 w:cs="Cambria Math"/>
              </w:rPr>
              <m:t>〉</m:t>
            </m:r>
          </m:num>
          <m:den>
            <m:d>
              <m:dPr>
                <m:begChr m:val="〈"/>
                <m:endChr m:val="〉"/>
                <m:ctrlPr>
                  <w:rPr>
                    <w:rFonts w:ascii="Cambria Math" w:hAnsi="Cambria Math" w:cs="Cambria Math"/>
                    <w:bCs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Cambria Math"/>
                        <w:bCs/>
                        <w:i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Cambria Math"/>
                            <w:bCs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Cambria Math"/>
                                <w:bCs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 w:cs="Cambria Math"/>
                              </w:rPr>
                              <m:t>m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hAnsi="Cambria Math" w:cs="Cambria Math"/>
                      </w:rPr>
                      <m:t>2</m:t>
                    </m:r>
                  </m:sup>
                </m:sSup>
              </m:e>
            </m:d>
            <m:d>
              <m:dPr>
                <m:begChr m:val="〈"/>
                <m:endChr m:val="〉"/>
                <m:ctrlPr>
                  <w:rPr>
                    <w:rFonts w:ascii="Cambria Math" w:hAnsi="Cambria Math" w:cs="Cambria Math"/>
                    <w:bCs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Cambria Math"/>
                        <w:bCs/>
                        <w:i/>
                      </w:rPr>
                    </m:ctrlPr>
                  </m:sSup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Cambria Math"/>
                            <w:bCs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Cambria Math"/>
                                <w:bCs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 w:cs="Cambria Math"/>
                              </w:rPr>
                              <m:t>n</m:t>
                            </m:r>
                          </m:sub>
                        </m:sSub>
                      </m:e>
                    </m:d>
                  </m:e>
                  <m:sup>
                    <m:r>
                      <w:rPr>
                        <w:rFonts w:ascii="Cambria Math" w:hAnsi="Cambria Math" w:cs="Cambria Math"/>
                      </w:rPr>
                      <m:t>2</m:t>
                    </m:r>
                  </m:sup>
                </m:sSup>
              </m:e>
            </m:d>
          </m:den>
        </m:f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bCs/>
                <w:i/>
              </w:rPr>
            </m:ctrlPr>
          </m:dPr>
          <m:e>
            <m:r>
              <w:rPr>
                <w:rFonts w:ascii="Cambria Math" w:hAnsi="Cambria Math"/>
              </w:rPr>
              <m:t>1-ρ</m:t>
            </m:r>
          </m:e>
        </m:d>
        <m:sSub>
          <m:sSubPr>
            <m:ctrlPr>
              <w:rPr>
                <w:rFonts w:ascii="Cambria Math" w:hAnsi="Cambria Math"/>
                <w:bCs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mn</m:t>
            </m:r>
          </m:sub>
        </m:sSub>
        <m:r>
          <w:rPr>
            <w:rFonts w:ascii="Cambria Math" w:hAnsi="Cambria Math"/>
          </w:rPr>
          <m:t>+ρ</m:t>
        </m:r>
      </m:oMath>
      <w:r w:rsidR="004009B5" w:rsidRPr="004009B5">
        <w:rPr>
          <w:bCs/>
        </w:rPr>
        <w:tab/>
      </w:r>
      <w:r w:rsidR="004009B5" w:rsidRPr="004009B5">
        <w:rPr>
          <w:bCs/>
        </w:rPr>
        <w:tab/>
        <w:t>(Eq. 2</w:t>
      </w:r>
      <w:r w:rsidR="00823B7D">
        <w:rPr>
          <w:bCs/>
        </w:rPr>
        <w:t>-</w:t>
      </w:r>
      <w:r w:rsidR="00F92484">
        <w:rPr>
          <w:bCs/>
        </w:rPr>
        <w:t>5</w:t>
      </w:r>
      <w:r w:rsidR="004009B5" w:rsidRPr="004009B5">
        <w:rPr>
          <w:bCs/>
        </w:rPr>
        <w:t>)</w:t>
      </w:r>
    </w:p>
    <w:p w14:paraId="006600F2" w14:textId="77777777" w:rsidR="00C137D6" w:rsidRDefault="00713B5D" w:rsidP="001B3D71">
      <w:pPr>
        <w:pStyle w:val="BodyText"/>
      </w:pPr>
      <w:r>
        <w:t>i.e.</w:t>
      </w:r>
      <w:r w:rsidR="00850B16">
        <w:t xml:space="preserve"> </w:t>
      </w:r>
      <w:proofErr w:type="spellStart"/>
      <w:r w:rsidR="001D35E1" w:rsidRPr="00C137D6">
        <w:rPr>
          <w:rFonts w:ascii="Cambria Math" w:hAnsi="Cambria Math"/>
          <w:i/>
        </w:rPr>
        <w:t>R</w:t>
      </w:r>
      <w:r w:rsidR="001D35E1" w:rsidRPr="00C137D6">
        <w:rPr>
          <w:rFonts w:ascii="Cambria Math" w:hAnsi="Cambria Math"/>
          <w:i/>
          <w:vertAlign w:val="subscript"/>
        </w:rPr>
        <w:t>nm</w:t>
      </w:r>
      <w:proofErr w:type="spellEnd"/>
      <w:r w:rsidR="001D35E1" w:rsidRPr="00C137D6">
        <w:rPr>
          <w:rFonts w:ascii="Cambria Math" w:hAnsi="Cambria Math"/>
          <w:i/>
        </w:rPr>
        <w:t>=1</w:t>
      </w:r>
      <w:r w:rsidR="001D35E1">
        <w:t xml:space="preserve"> for </w:t>
      </w:r>
      <w:r w:rsidR="001D35E1" w:rsidRPr="00C137D6">
        <w:rPr>
          <w:rFonts w:ascii="Cambria Math" w:hAnsi="Cambria Math"/>
          <w:i/>
        </w:rPr>
        <w:t>m=n</w:t>
      </w:r>
      <w:r w:rsidR="001D35E1">
        <w:t xml:space="preserve"> and </w:t>
      </w:r>
      <w:r w:rsidR="000510AF" w:rsidRPr="00C137D6">
        <w:rPr>
          <w:rFonts w:ascii="Symbol" w:hAnsi="Symbol"/>
          <w:i/>
        </w:rPr>
        <w:t></w:t>
      </w:r>
      <w:r w:rsidR="000510AF">
        <w:t xml:space="preserve"> otherwise. </w:t>
      </w:r>
      <w:r w:rsidR="00C14060">
        <w:t xml:space="preserve">This is the same result as described for the correlation </w:t>
      </w:r>
      <w:r w:rsidR="004E1990">
        <w:t xml:space="preserve">matrix </w:t>
      </w:r>
      <w:r w:rsidR="00CA5D67">
        <w:t xml:space="preserve">used in the </w:t>
      </w:r>
      <w:r w:rsidR="00C137D6">
        <w:t xml:space="preserve">array model considering signal correlation described in </w:t>
      </w:r>
      <w:r w:rsidR="00CA5D67">
        <w:t>TR 37.842.</w:t>
      </w:r>
      <w:r w:rsidR="00C137D6">
        <w:t xml:space="preserve"> </w:t>
      </w:r>
    </w:p>
    <w:p w14:paraId="786885FF" w14:textId="3BFAFFB7" w:rsidR="004009B5" w:rsidRPr="004009B5" w:rsidRDefault="004009B5" w:rsidP="001B3D71">
      <w:pPr>
        <w:pStyle w:val="BodyText"/>
      </w:pPr>
      <w:r w:rsidRPr="004009B5">
        <w:t>Full correlation corresponds to ideal operation</w:t>
      </w:r>
      <w:r w:rsidR="00306626">
        <w:t xml:space="preserve"> </w:t>
      </w:r>
      <w:r w:rsidR="00F42607">
        <w:t>where the wanted signal</w:t>
      </w:r>
      <w:r w:rsidR="00306626">
        <w:t xml:space="preserve"> </w:t>
      </w:r>
      <w:r w:rsidR="00F42607">
        <w:t>is beamfor</w:t>
      </w:r>
      <w:r w:rsidR="00E468C1">
        <w:t>med</w:t>
      </w:r>
      <w:r w:rsidR="00F42607">
        <w:t xml:space="preserve"> i</w:t>
      </w:r>
      <w:r w:rsidR="00E468C1">
        <w:t>n</w:t>
      </w:r>
      <w:r w:rsidR="00F42607">
        <w:t xml:space="preserve"> a specific direction</w:t>
      </w:r>
      <w:r w:rsidR="007A379B">
        <w:t>.</w:t>
      </w:r>
      <w:r w:rsidRPr="004009B5">
        <w:t xml:space="preserve"> In this case a broadside narrow beam</w:t>
      </w:r>
      <w:r w:rsidR="00F85983">
        <w:t>,</w:t>
      </w:r>
      <w:r w:rsidRPr="004009B5">
        <w:t xml:space="preserve"> </w:t>
      </w:r>
      <w:r w:rsidR="00784A3A">
        <w:t>a</w:t>
      </w:r>
      <w:r w:rsidR="00784A3A" w:rsidRPr="004009B5">
        <w:t xml:space="preserve"> </w:t>
      </w:r>
      <w:r w:rsidRPr="004009B5">
        <w:t xml:space="preserve">decrease in correlation will show as a </w:t>
      </w:r>
      <w:proofErr w:type="gramStart"/>
      <w:r w:rsidRPr="004009B5">
        <w:t>drop in</w:t>
      </w:r>
      <w:proofErr w:type="gramEnd"/>
      <w:r w:rsidRPr="004009B5">
        <w:t xml:space="preserve"> directivity, and sometimes with a slightly broader beam and at other times a slightly more narrow beam. </w:t>
      </w:r>
    </w:p>
    <w:p w14:paraId="1E2120EF" w14:textId="4C93142B" w:rsidR="004E30BD" w:rsidRPr="003D78DF" w:rsidRDefault="003A6F6C" w:rsidP="004E30BD">
      <w:pPr>
        <w:pStyle w:val="BodyText"/>
      </w:pPr>
      <w:r>
        <w:t>To understand the relation between directivity and correlation</w:t>
      </w:r>
      <w:r w:rsidR="00980CC7">
        <w:t xml:space="preserve"> a simulation of with random excitation as descri</w:t>
      </w:r>
      <w:r w:rsidR="003D25B9">
        <w:t xml:space="preserve">bed have been conducted for an array </w:t>
      </w:r>
      <w:r w:rsidR="00487CD0">
        <w:t xml:space="preserve">with </w:t>
      </w:r>
      <w:r w:rsidR="00487CD0" w:rsidRPr="004009B5">
        <w:t>vertically</w:t>
      </w:r>
      <w:r w:rsidR="00E962F3" w:rsidRPr="004009B5">
        <w:t xml:space="preserve"> polarized Huygens element</w:t>
      </w:r>
      <w:r w:rsidR="00C95063">
        <w:t>s. The element directivity was</w:t>
      </w:r>
      <w:r w:rsidR="00E33C31">
        <w:t xml:space="preserve"> </w:t>
      </w:r>
      <w:r w:rsidR="00E962F3" w:rsidRPr="004009B5">
        <w:t xml:space="preserve">4.77 </w:t>
      </w:r>
      <w:proofErr w:type="spellStart"/>
      <w:r w:rsidR="00E962F3" w:rsidRPr="004009B5">
        <w:t>dBi</w:t>
      </w:r>
      <w:proofErr w:type="spellEnd"/>
      <w:r w:rsidR="00E962F3" w:rsidRPr="004009B5">
        <w:t>.</w:t>
      </w:r>
      <w:r w:rsidR="004E30BD">
        <w:t xml:space="preserve"> </w:t>
      </w:r>
      <w:r w:rsidR="00C71C42">
        <w:t xml:space="preserve">The array geometry is set to </w:t>
      </w:r>
      <w:r w:rsidR="004E30BD" w:rsidRPr="004009B5">
        <w:t>8</w:t>
      </w:r>
      <w:r w:rsidR="00950178">
        <w:t xml:space="preserve"> by </w:t>
      </w:r>
      <w:r w:rsidR="004E30BD" w:rsidRPr="004009B5">
        <w:t xml:space="preserve">8 </w:t>
      </w:r>
      <w:r w:rsidR="00950178">
        <w:t xml:space="preserve">uniform rectangular </w:t>
      </w:r>
      <w:r w:rsidR="004E30BD" w:rsidRPr="004009B5">
        <w:t>array</w:t>
      </w:r>
      <w:r w:rsidR="003D78DF">
        <w:t xml:space="preserve"> with element separation 0.5</w:t>
      </w:r>
      <w:r w:rsidR="003D78DF" w:rsidRPr="003D78DF">
        <w:rPr>
          <w:rFonts w:ascii="Symbol" w:hAnsi="Symbol"/>
        </w:rPr>
        <w:t></w:t>
      </w:r>
      <w:r w:rsidR="003D78DF">
        <w:t>.</w:t>
      </w:r>
      <w:r w:rsidR="00617500">
        <w:t xml:space="preserve"> The model</w:t>
      </w:r>
      <w:r w:rsidR="00B72B8B">
        <w:t xml:space="preserve"> is attached in the Annex at the end of this contribution.</w:t>
      </w:r>
    </w:p>
    <w:p w14:paraId="12C8548F" w14:textId="04587DDA" w:rsidR="004009B5" w:rsidRDefault="002B750C" w:rsidP="00FA19F6">
      <w:pPr>
        <w:pStyle w:val="BodyText"/>
      </w:pPr>
      <w:r>
        <w:t xml:space="preserve">In Figure 2-1 and Figure 2-2, the </w:t>
      </w:r>
      <w:r w:rsidR="00EF3656">
        <w:t xml:space="preserve">horizontal </w:t>
      </w:r>
      <w:r w:rsidR="00DF4A94">
        <w:t xml:space="preserve">and </w:t>
      </w:r>
      <w:r w:rsidR="00EF3656">
        <w:t xml:space="preserve">vertical </w:t>
      </w:r>
      <w:r w:rsidR="00903F6C">
        <w:t>radiation</w:t>
      </w:r>
      <w:r w:rsidR="00DF4A94">
        <w:t xml:space="preserve"> power pattern cuts are depicted</w:t>
      </w:r>
      <w:r w:rsidR="00903F6C">
        <w:t>, respectively for 100 random excitations</w:t>
      </w:r>
      <w:r w:rsidR="00600538">
        <w:t xml:space="preserve"> with </w:t>
      </w:r>
      <w:r w:rsidR="00C13B72">
        <w:t xml:space="preserve">randomly picked </w:t>
      </w:r>
      <w:r w:rsidR="00600538" w:rsidRPr="00EF3656">
        <w:rPr>
          <w:rFonts w:ascii="Symbol" w:hAnsi="Symbol"/>
          <w:i/>
        </w:rPr>
        <w:t></w:t>
      </w:r>
      <w:r w:rsidR="00600538">
        <w:t xml:space="preserve"> value</w:t>
      </w:r>
      <w:r w:rsidR="00EF3656">
        <w:t>s</w:t>
      </w:r>
      <w:r w:rsidR="00903F6C">
        <w:t>.</w:t>
      </w:r>
      <w:r w:rsidR="00FA19F6">
        <w:t xml:space="preserve"> </w:t>
      </w:r>
      <w:r w:rsidR="00EA7EEC">
        <w:t xml:space="preserve"> </w:t>
      </w:r>
    </w:p>
    <w:p w14:paraId="716AEFFE" w14:textId="1EAC97E9" w:rsidR="00903F6C" w:rsidRDefault="00903F6C" w:rsidP="00643DFE">
      <w:pPr>
        <w:pStyle w:val="BodyText"/>
        <w:jc w:val="center"/>
      </w:pPr>
      <w:r>
        <w:rPr>
          <w:noProof/>
        </w:rPr>
        <w:drawing>
          <wp:inline distT="0" distB="0" distL="0" distR="0" wp14:anchorId="5E4C85A2" wp14:editId="1E99A4B4">
            <wp:extent cx="4897918" cy="32971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_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137" cy="3320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86611" w14:textId="0A929983" w:rsidR="00903F6C" w:rsidRDefault="00903F6C" w:rsidP="00903F6C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  <w:r>
        <w:rPr>
          <w:rFonts w:ascii="Arial" w:hAnsi="Arial"/>
          <w:b/>
          <w:lang w:eastAsia="x-none"/>
        </w:rPr>
        <w:t>Figure 2</w:t>
      </w:r>
      <w:r w:rsidRPr="009D1119">
        <w:rPr>
          <w:rFonts w:ascii="Arial" w:hAnsi="Arial"/>
          <w:b/>
          <w:lang w:eastAsia="x-none"/>
        </w:rPr>
        <w:t>-1:</w:t>
      </w:r>
      <w:r>
        <w:rPr>
          <w:rFonts w:ascii="Arial" w:hAnsi="Arial"/>
          <w:b/>
          <w:lang w:eastAsia="x-none"/>
        </w:rPr>
        <w:t xml:space="preserve"> </w:t>
      </w:r>
      <w:r w:rsidRPr="0054452C">
        <w:rPr>
          <w:rFonts w:ascii="Arial" w:hAnsi="Arial"/>
          <w:b/>
          <w:lang w:eastAsia="x-none"/>
        </w:rPr>
        <w:t xml:space="preserve">Horizontal </w:t>
      </w:r>
      <w:r w:rsidR="00EF3656">
        <w:rPr>
          <w:rFonts w:ascii="Arial" w:hAnsi="Arial"/>
          <w:b/>
          <w:lang w:eastAsia="x-none"/>
        </w:rPr>
        <w:t xml:space="preserve">radiation </w:t>
      </w:r>
      <w:r w:rsidRPr="0054452C">
        <w:rPr>
          <w:rFonts w:ascii="Arial" w:hAnsi="Arial"/>
          <w:b/>
          <w:lang w:eastAsia="x-none"/>
        </w:rPr>
        <w:t>pattern</w:t>
      </w:r>
      <w:r w:rsidR="00EF3656">
        <w:rPr>
          <w:rFonts w:ascii="Arial" w:hAnsi="Arial"/>
          <w:b/>
          <w:lang w:eastAsia="x-none"/>
        </w:rPr>
        <w:t xml:space="preserve"> cuts</w:t>
      </w:r>
      <w:r w:rsidRPr="0054452C">
        <w:rPr>
          <w:rFonts w:ascii="Arial" w:hAnsi="Arial"/>
          <w:b/>
          <w:lang w:eastAsia="x-none"/>
        </w:rPr>
        <w:t xml:space="preserve"> </w:t>
      </w:r>
    </w:p>
    <w:p w14:paraId="1EFA01D6" w14:textId="77777777" w:rsidR="00430B28" w:rsidRDefault="00430B28" w:rsidP="00643DFE">
      <w:pPr>
        <w:pStyle w:val="BodyText"/>
        <w:jc w:val="center"/>
      </w:pPr>
      <w:r>
        <w:rPr>
          <w:noProof/>
        </w:rPr>
        <w:lastRenderedPageBreak/>
        <w:drawing>
          <wp:inline distT="0" distB="0" distL="0" distR="0" wp14:anchorId="48785826" wp14:editId="63A62DC1">
            <wp:extent cx="4871797" cy="3279531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_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5364" cy="33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54295" w14:textId="713DAD39" w:rsidR="00430B28" w:rsidRDefault="00430B28" w:rsidP="00430B28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  <w:r>
        <w:rPr>
          <w:rFonts w:ascii="Arial" w:hAnsi="Arial"/>
          <w:b/>
          <w:lang w:eastAsia="x-none"/>
        </w:rPr>
        <w:t>Figure 2</w:t>
      </w:r>
      <w:r w:rsidRPr="009D1119">
        <w:rPr>
          <w:rFonts w:ascii="Arial" w:hAnsi="Arial"/>
          <w:b/>
          <w:lang w:eastAsia="x-none"/>
        </w:rPr>
        <w:t>-</w:t>
      </w:r>
      <w:r>
        <w:rPr>
          <w:rFonts w:ascii="Arial" w:hAnsi="Arial"/>
          <w:b/>
          <w:lang w:eastAsia="x-none"/>
        </w:rPr>
        <w:t>2</w:t>
      </w:r>
      <w:r w:rsidRPr="009D1119">
        <w:rPr>
          <w:rFonts w:ascii="Arial" w:hAnsi="Arial"/>
          <w:b/>
          <w:lang w:eastAsia="x-none"/>
        </w:rPr>
        <w:t>:</w:t>
      </w:r>
      <w:r>
        <w:rPr>
          <w:rFonts w:ascii="Arial" w:hAnsi="Arial"/>
          <w:b/>
          <w:lang w:eastAsia="x-none"/>
        </w:rPr>
        <w:t xml:space="preserve"> </w:t>
      </w:r>
      <w:r w:rsidRPr="00DC5328">
        <w:rPr>
          <w:rFonts w:ascii="Arial" w:hAnsi="Arial"/>
          <w:b/>
          <w:lang w:eastAsia="x-none"/>
        </w:rPr>
        <w:t xml:space="preserve">Vertical </w:t>
      </w:r>
      <w:r>
        <w:rPr>
          <w:rFonts w:ascii="Arial" w:hAnsi="Arial"/>
          <w:b/>
          <w:lang w:eastAsia="x-none"/>
        </w:rPr>
        <w:t xml:space="preserve">radiation </w:t>
      </w:r>
      <w:r w:rsidRPr="0054452C">
        <w:rPr>
          <w:rFonts w:ascii="Arial" w:hAnsi="Arial"/>
          <w:b/>
          <w:lang w:eastAsia="x-none"/>
        </w:rPr>
        <w:t>pattern</w:t>
      </w:r>
      <w:r>
        <w:rPr>
          <w:rFonts w:ascii="Arial" w:hAnsi="Arial"/>
          <w:b/>
          <w:lang w:eastAsia="x-none"/>
        </w:rPr>
        <w:t xml:space="preserve"> cuts</w:t>
      </w:r>
    </w:p>
    <w:p w14:paraId="2B136365" w14:textId="6EE3AD24" w:rsidR="00D4435B" w:rsidRDefault="00C13B72" w:rsidP="00D4435B">
      <w:pPr>
        <w:pStyle w:val="BodyText"/>
      </w:pPr>
      <w:r>
        <w:t>In a</w:t>
      </w:r>
      <w:r w:rsidR="00D4435B" w:rsidRPr="004009B5">
        <w:t>n example</w:t>
      </w:r>
      <w:r w:rsidR="00B53A5D">
        <w:t xml:space="preserve"> </w:t>
      </w:r>
      <w:r w:rsidR="00D4435B" w:rsidRPr="004009B5">
        <w:t xml:space="preserve">provided in Figure </w:t>
      </w:r>
      <w:r w:rsidR="00D4435B">
        <w:t>2-</w:t>
      </w:r>
      <w:r w:rsidR="00D4435B" w:rsidRPr="004009B5">
        <w:t>3</w:t>
      </w:r>
      <w:r w:rsidR="00B53A5D">
        <w:t>,</w:t>
      </w:r>
      <w:r w:rsidR="00D4435B" w:rsidRPr="004009B5">
        <w:t xml:space="preserve"> </w:t>
      </w:r>
      <w:r w:rsidR="00B53A5D">
        <w:t>the</w:t>
      </w:r>
      <w:r w:rsidR="00D4435B" w:rsidRPr="004009B5">
        <w:t xml:space="preserve"> exact directivity, calculated from full sphere data, is compared to the above formula, and the expression </w:t>
      </w:r>
      <m:oMath>
        <m:r>
          <w:rPr>
            <w:rFonts w:ascii="Cambria Math" w:hAnsi="Cambria Math"/>
          </w:rPr>
          <m:t>ρ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100%</m:t>
            </m:r>
          </m:sub>
        </m:sSub>
      </m:oMath>
      <w:r w:rsidR="00D4435B" w:rsidRPr="004009B5">
        <w:t xml:space="preserve">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100%</m:t>
            </m:r>
          </m:sub>
        </m:sSub>
      </m:oMath>
      <w:r w:rsidR="00D4435B" w:rsidRPr="004009B5">
        <w:t xml:space="preserve"> is the directivity at 100% correlation (derived from the full sphere pattern). The directivity decreases with decreasing correl</w:t>
      </w:r>
      <w:proofErr w:type="spellStart"/>
      <w:r w:rsidR="00D4435B" w:rsidRPr="004009B5">
        <w:t>ation</w:t>
      </w:r>
      <w:proofErr w:type="spellEnd"/>
      <w:r w:rsidR="00617500">
        <w:t xml:space="preserve"> </w:t>
      </w:r>
      <w:r w:rsidR="00D4435B" w:rsidRPr="004009B5">
        <w:t xml:space="preserve">roughly following the curve </w:t>
      </w:r>
      <m:oMath>
        <m:r>
          <w:rPr>
            <w:rFonts w:ascii="Cambria Math" w:hAnsi="Cambria Math"/>
          </w:rPr>
          <m:t>ρ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100%</m:t>
            </m:r>
          </m:sub>
        </m:sSub>
      </m:oMath>
      <w:r>
        <w:t>, especially at higher correlation levels</w:t>
      </w:r>
      <w:r w:rsidR="00D4435B" w:rsidRPr="004009B5">
        <w:t>. However, the beam</w:t>
      </w:r>
      <w:r w:rsidR="00617500">
        <w:t>-</w:t>
      </w:r>
      <w:r w:rsidR="00D4435B" w:rsidRPr="004009B5">
        <w:t>width only changes a little up and down and hence Eq.</w:t>
      </w:r>
      <w:r w:rsidR="00D73B1C">
        <w:t xml:space="preserve"> 2-1</w:t>
      </w:r>
      <w:r w:rsidR="00D4435B" w:rsidRPr="004009B5">
        <w:t xml:space="preserve"> gives a roughly constant value with decreasing correlation.</w:t>
      </w:r>
    </w:p>
    <w:p w14:paraId="6294CE94" w14:textId="77777777" w:rsidR="00F37042" w:rsidRDefault="00F37042" w:rsidP="00643DFE">
      <w:pPr>
        <w:pStyle w:val="BodyText"/>
        <w:jc w:val="center"/>
      </w:pPr>
      <w:r>
        <w:rPr>
          <w:noProof/>
        </w:rPr>
        <w:drawing>
          <wp:inline distT="0" distB="0" distL="0" distR="0" wp14:anchorId="2411B896" wp14:editId="0C785379">
            <wp:extent cx="4815795" cy="3241832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_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568" cy="327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6009A" w14:textId="1BEA0125" w:rsidR="00F37042" w:rsidRDefault="00F37042" w:rsidP="00F37042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  <w:r>
        <w:t xml:space="preserve"> </w:t>
      </w:r>
      <w:r>
        <w:rPr>
          <w:rFonts w:ascii="Arial" w:hAnsi="Arial"/>
          <w:b/>
          <w:lang w:eastAsia="x-none"/>
        </w:rPr>
        <w:t>Figure 2</w:t>
      </w:r>
      <w:r w:rsidRPr="009D1119">
        <w:rPr>
          <w:rFonts w:ascii="Arial" w:hAnsi="Arial"/>
          <w:b/>
          <w:lang w:eastAsia="x-none"/>
        </w:rPr>
        <w:t>-</w:t>
      </w:r>
      <w:r>
        <w:rPr>
          <w:rFonts w:ascii="Arial" w:hAnsi="Arial"/>
          <w:b/>
          <w:lang w:eastAsia="x-none"/>
        </w:rPr>
        <w:t>3</w:t>
      </w:r>
      <w:r w:rsidRPr="009D1119">
        <w:rPr>
          <w:rFonts w:ascii="Arial" w:hAnsi="Arial"/>
          <w:b/>
          <w:lang w:eastAsia="x-none"/>
        </w:rPr>
        <w:t>:</w:t>
      </w:r>
      <w:r>
        <w:rPr>
          <w:rFonts w:ascii="Arial" w:hAnsi="Arial"/>
          <w:b/>
          <w:lang w:eastAsia="x-none"/>
        </w:rPr>
        <w:t xml:space="preserve"> </w:t>
      </w:r>
      <w:r w:rsidRPr="004E02C8">
        <w:rPr>
          <w:rFonts w:ascii="Arial" w:hAnsi="Arial"/>
          <w:b/>
          <w:lang w:eastAsia="x-none"/>
        </w:rPr>
        <w:t>Comparison of directivity calculations</w:t>
      </w:r>
    </w:p>
    <w:p w14:paraId="37F1F412" w14:textId="34F515B9" w:rsidR="00011158" w:rsidRDefault="00011158" w:rsidP="00011158">
      <w:pPr>
        <w:pStyle w:val="BodyText"/>
      </w:pPr>
      <w:r w:rsidRPr="006E7CDA">
        <w:t>The blue crosses are based on full sphere directivity calculations, the red circles show the statistically expected tendency that the directivity is lowered by the de-correlation. Finally, the magenta diamonds depict the resulting directivity based on the product of beam</w:t>
      </w:r>
      <w:r w:rsidR="00662D0B">
        <w:t>-</w:t>
      </w:r>
      <w:r w:rsidRPr="006E7CDA">
        <w:t>widths.</w:t>
      </w:r>
    </w:p>
    <w:p w14:paraId="3C2F98DF" w14:textId="5FD82D21" w:rsidR="00545926" w:rsidRPr="004009B5" w:rsidRDefault="00545926" w:rsidP="00643DFE">
      <w:pPr>
        <w:pStyle w:val="BodyText"/>
      </w:pPr>
      <w:r w:rsidRPr="004009B5">
        <w:t xml:space="preserve">In Figure </w:t>
      </w:r>
      <w:r w:rsidR="00011158">
        <w:t>2-</w:t>
      </w:r>
      <w:r w:rsidRPr="004009B5">
        <w:t xml:space="preserve">4 and Figure </w:t>
      </w:r>
      <w:r w:rsidR="00011158">
        <w:t>2-</w:t>
      </w:r>
      <w:r w:rsidRPr="004009B5">
        <w:t>5 scatter plot</w:t>
      </w:r>
      <w:r w:rsidR="00C13B72">
        <w:t>s</w:t>
      </w:r>
      <w:r w:rsidRPr="004009B5">
        <w:t xml:space="preserve"> with correlation (y-axis) and beam widths (x-axis) </w:t>
      </w:r>
      <w:r w:rsidR="00C13B72">
        <w:t>are</w:t>
      </w:r>
      <w:r w:rsidRPr="004009B5">
        <w:t xml:space="preserve"> given. These plots demonstrate that there is no functional dependence between correlation and beam</w:t>
      </w:r>
      <w:r w:rsidR="00662D0B">
        <w:t>-</w:t>
      </w:r>
      <w:r w:rsidRPr="004009B5">
        <w:t xml:space="preserve">width, i.e., correlation is not a function of beam width. Such a dependence may exist for some antenna models, but not in general. Hence, comparable </w:t>
      </w:r>
      <w:r w:rsidRPr="004009B5">
        <w:lastRenderedPageBreak/>
        <w:t xml:space="preserve">half-power beam width (HPBW) cannot be used to conclude that two patterns have the same directivity in the main beam. Moreover, Figure </w:t>
      </w:r>
      <w:r w:rsidR="00011158">
        <w:t>2-</w:t>
      </w:r>
      <w:r w:rsidRPr="004009B5">
        <w:t xml:space="preserve">3 also demonstrates that Eq. </w:t>
      </w:r>
      <w:r w:rsidR="00011158">
        <w:t>2-1</w:t>
      </w:r>
      <w:r w:rsidRPr="004009B5">
        <w:t xml:space="preserve"> does not predict the directivity for uncorrelated patterns.</w:t>
      </w:r>
    </w:p>
    <w:p w14:paraId="02559F2C" w14:textId="643579B1" w:rsidR="006E7CDA" w:rsidRDefault="00BE52E9" w:rsidP="00011158">
      <w:pPr>
        <w:pStyle w:val="BodyText"/>
        <w:jc w:val="center"/>
      </w:pPr>
      <w:r>
        <w:rPr>
          <w:noProof/>
        </w:rPr>
        <w:drawing>
          <wp:inline distT="0" distB="0" distL="0" distR="0" wp14:anchorId="728A6339" wp14:editId="6BD49EF1">
            <wp:extent cx="4721120" cy="3178100"/>
            <wp:effectExtent l="0" t="0" r="381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_4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5699" cy="319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84469" w14:textId="2E1A2DF0" w:rsidR="00BE52E9" w:rsidRDefault="00BE52E9" w:rsidP="00BE52E9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  <w:r>
        <w:rPr>
          <w:rFonts w:ascii="Arial" w:hAnsi="Arial"/>
          <w:b/>
          <w:lang w:eastAsia="x-none"/>
        </w:rPr>
        <w:t>Figure 2</w:t>
      </w:r>
      <w:r w:rsidRPr="009D1119">
        <w:rPr>
          <w:rFonts w:ascii="Arial" w:hAnsi="Arial"/>
          <w:b/>
          <w:lang w:eastAsia="x-none"/>
        </w:rPr>
        <w:t>-</w:t>
      </w:r>
      <w:r w:rsidR="00011158">
        <w:rPr>
          <w:rFonts w:ascii="Arial" w:hAnsi="Arial"/>
          <w:b/>
          <w:lang w:eastAsia="x-none"/>
        </w:rPr>
        <w:t>4</w:t>
      </w:r>
      <w:r w:rsidRPr="009D1119">
        <w:rPr>
          <w:rFonts w:ascii="Arial" w:hAnsi="Arial"/>
          <w:b/>
          <w:lang w:eastAsia="x-none"/>
        </w:rPr>
        <w:t>:</w:t>
      </w:r>
      <w:r>
        <w:rPr>
          <w:rFonts w:ascii="Arial" w:hAnsi="Arial"/>
          <w:b/>
          <w:lang w:eastAsia="x-none"/>
        </w:rPr>
        <w:t xml:space="preserve"> </w:t>
      </w:r>
      <w:r w:rsidR="00994A57" w:rsidRPr="00994A57">
        <w:rPr>
          <w:rFonts w:ascii="Arial" w:hAnsi="Arial"/>
          <w:b/>
          <w:lang w:eastAsia="x-none"/>
        </w:rPr>
        <w:t xml:space="preserve">Correlation </w:t>
      </w:r>
      <w:r w:rsidR="00830AC0">
        <w:rPr>
          <w:rFonts w:ascii="Arial" w:hAnsi="Arial"/>
          <w:b/>
          <w:lang w:eastAsia="x-none"/>
        </w:rPr>
        <w:t>as function of</w:t>
      </w:r>
      <w:r w:rsidR="00994A57" w:rsidRPr="00994A57">
        <w:rPr>
          <w:rFonts w:ascii="Arial" w:hAnsi="Arial"/>
          <w:b/>
          <w:lang w:eastAsia="x-none"/>
        </w:rPr>
        <w:t xml:space="preserve"> </w:t>
      </w:r>
      <w:r w:rsidR="00830AC0">
        <w:rPr>
          <w:rFonts w:ascii="Arial" w:hAnsi="Arial"/>
          <w:b/>
          <w:lang w:eastAsia="x-none"/>
        </w:rPr>
        <w:t xml:space="preserve">vertical </w:t>
      </w:r>
      <w:r w:rsidR="00994A57" w:rsidRPr="00994A57">
        <w:rPr>
          <w:rFonts w:ascii="Arial" w:hAnsi="Arial"/>
          <w:b/>
          <w:lang w:eastAsia="x-none"/>
        </w:rPr>
        <w:t>beam</w:t>
      </w:r>
      <w:r w:rsidR="00B844C2">
        <w:rPr>
          <w:rFonts w:ascii="Arial" w:hAnsi="Arial"/>
          <w:b/>
          <w:lang w:eastAsia="x-none"/>
        </w:rPr>
        <w:t>-</w:t>
      </w:r>
      <w:r w:rsidR="00994A57" w:rsidRPr="00994A57">
        <w:rPr>
          <w:rFonts w:ascii="Arial" w:hAnsi="Arial"/>
          <w:b/>
          <w:lang w:eastAsia="x-none"/>
        </w:rPr>
        <w:t>width.</w:t>
      </w:r>
    </w:p>
    <w:p w14:paraId="1ADED12D" w14:textId="0EDC8377" w:rsidR="00F5504D" w:rsidRDefault="009123DC" w:rsidP="00365B45">
      <w:pPr>
        <w:pStyle w:val="BodyText"/>
      </w:pPr>
      <w:r>
        <w:t>In Figure 2-5,</w:t>
      </w:r>
      <w:r w:rsidR="00830AC0">
        <w:t xml:space="preserve"> the same data as in Figure 2-4 but now with the product of the beam</w:t>
      </w:r>
      <w:r w:rsidR="00B844C2">
        <w:t>-</w:t>
      </w:r>
      <w:r w:rsidR="00830AC0">
        <w:t>widths on the x-axis is plotted.</w:t>
      </w:r>
    </w:p>
    <w:p w14:paraId="3ABE90B3" w14:textId="7B28E9FB" w:rsidR="006E7CDA" w:rsidRDefault="00DA05EA" w:rsidP="00011158">
      <w:pPr>
        <w:pStyle w:val="BodyText"/>
        <w:jc w:val="center"/>
      </w:pPr>
      <w:r>
        <w:rPr>
          <w:rFonts w:ascii="Arial" w:hAnsi="Arial" w:cs="Arial"/>
          <w:noProof/>
        </w:rPr>
        <w:drawing>
          <wp:inline distT="0" distB="0" distL="0" distR="0" wp14:anchorId="6BA53AAA" wp14:editId="448DFDA1">
            <wp:extent cx="4677508" cy="3148743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_5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710" cy="3175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A4F28" w14:textId="05E3E2E7" w:rsidR="00DA05EA" w:rsidRDefault="00DA05EA" w:rsidP="00DA05EA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  <w:r>
        <w:rPr>
          <w:rFonts w:ascii="Arial" w:hAnsi="Arial"/>
          <w:b/>
          <w:lang w:eastAsia="x-none"/>
        </w:rPr>
        <w:t>Figure 2</w:t>
      </w:r>
      <w:r w:rsidRPr="009D1119">
        <w:rPr>
          <w:rFonts w:ascii="Arial" w:hAnsi="Arial"/>
          <w:b/>
          <w:lang w:eastAsia="x-none"/>
        </w:rPr>
        <w:t>-</w:t>
      </w:r>
      <w:r w:rsidR="00011158">
        <w:rPr>
          <w:rFonts w:ascii="Arial" w:hAnsi="Arial"/>
          <w:b/>
          <w:lang w:eastAsia="x-none"/>
        </w:rPr>
        <w:t>5</w:t>
      </w:r>
      <w:r w:rsidRPr="009D1119">
        <w:rPr>
          <w:rFonts w:ascii="Arial" w:hAnsi="Arial"/>
          <w:b/>
          <w:lang w:eastAsia="x-none"/>
        </w:rPr>
        <w:t>:</w:t>
      </w:r>
      <w:r>
        <w:rPr>
          <w:rFonts w:ascii="Arial" w:hAnsi="Arial"/>
          <w:b/>
          <w:lang w:eastAsia="x-none"/>
        </w:rPr>
        <w:t xml:space="preserve"> </w:t>
      </w:r>
      <w:r w:rsidR="00830AC0">
        <w:rPr>
          <w:rFonts w:ascii="Arial" w:hAnsi="Arial"/>
          <w:b/>
          <w:lang w:eastAsia="x-none"/>
        </w:rPr>
        <w:t>Correlation as function of beam</w:t>
      </w:r>
      <w:r w:rsidR="00B844C2">
        <w:rPr>
          <w:rFonts w:ascii="Arial" w:hAnsi="Arial"/>
          <w:b/>
          <w:lang w:eastAsia="x-none"/>
        </w:rPr>
        <w:t>-</w:t>
      </w:r>
      <w:r w:rsidR="00830AC0">
        <w:rPr>
          <w:rFonts w:ascii="Arial" w:hAnsi="Arial"/>
          <w:b/>
          <w:lang w:eastAsia="x-none"/>
        </w:rPr>
        <w:t>width product</w:t>
      </w:r>
    </w:p>
    <w:p w14:paraId="1284773C" w14:textId="7EDEFEED" w:rsidR="00E1628A" w:rsidRDefault="00E1628A" w:rsidP="00DA05EA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</w:p>
    <w:p w14:paraId="4BE6CAE6" w14:textId="7002BCAF" w:rsidR="00E1628A" w:rsidRDefault="00E1628A" w:rsidP="00DA05EA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</w:p>
    <w:p w14:paraId="340D6B54" w14:textId="01DB42C5" w:rsidR="00E1628A" w:rsidRDefault="00E1628A" w:rsidP="00DA05EA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</w:p>
    <w:p w14:paraId="539D3D75" w14:textId="524B8CB1" w:rsidR="00E1628A" w:rsidRDefault="00E1628A" w:rsidP="00DA05EA">
      <w:pPr>
        <w:keepLines/>
        <w:spacing w:after="240"/>
        <w:jc w:val="center"/>
        <w:outlineLvl w:val="0"/>
        <w:rPr>
          <w:rFonts w:ascii="Arial" w:hAnsi="Arial"/>
          <w:b/>
          <w:lang w:eastAsia="x-none"/>
        </w:rPr>
      </w:pPr>
    </w:p>
    <w:p w14:paraId="098844C2" w14:textId="77777777" w:rsidR="00617500" w:rsidRDefault="00617500" w:rsidP="003F4394">
      <w:pPr>
        <w:keepLines/>
        <w:spacing w:after="240"/>
        <w:outlineLvl w:val="0"/>
        <w:rPr>
          <w:rFonts w:ascii="Arial" w:hAnsi="Arial"/>
          <w:b/>
          <w:lang w:eastAsia="x-none"/>
        </w:rPr>
      </w:pPr>
    </w:p>
    <w:p w14:paraId="4E607B63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666A56A2" w14:textId="77777777" w:rsidR="003B61A8" w:rsidRDefault="003B61A8" w:rsidP="003B61A8">
      <w:pPr>
        <w:pStyle w:val="Heading1"/>
        <w:keepLines w:val="0"/>
        <w:numPr>
          <w:ilvl w:val="0"/>
          <w:numId w:val="5"/>
        </w:numPr>
        <w:pBdr>
          <w:top w:val="none" w:sz="0" w:space="0" w:color="auto"/>
        </w:pBdr>
        <w:spacing w:before="0" w:after="240"/>
        <w:ind w:right="284" w:hanging="720"/>
      </w:pPr>
      <w:r>
        <w:t>Conclusion</w:t>
      </w:r>
    </w:p>
    <w:p w14:paraId="10266ACF" w14:textId="647D0AF8" w:rsidR="00935F9E" w:rsidRDefault="004B1E20" w:rsidP="00935F9E">
      <w:pPr>
        <w:pStyle w:val="BodyText"/>
      </w:pPr>
      <w:r>
        <w:t xml:space="preserve">By analysing the array antenna response to random </w:t>
      </w:r>
      <w:r w:rsidR="00184D0A">
        <w:t>excitations, we can conclude following;</w:t>
      </w:r>
    </w:p>
    <w:p w14:paraId="0FDEEC71" w14:textId="7B9275E8" w:rsidR="00E41A5A" w:rsidRDefault="00573683" w:rsidP="00E41A5A">
      <w:pPr>
        <w:pStyle w:val="BodyText"/>
        <w:numPr>
          <w:ilvl w:val="0"/>
          <w:numId w:val="8"/>
        </w:numPr>
      </w:pPr>
      <w:r>
        <w:t>The classical formula for calculating the directivity based on beam</w:t>
      </w:r>
      <w:r w:rsidR="00B844C2">
        <w:t>-</w:t>
      </w:r>
      <w:r>
        <w:t xml:space="preserve">widths is not applicable for uncorrelated </w:t>
      </w:r>
      <w:r w:rsidR="00E41A5A">
        <w:t>signals</w:t>
      </w:r>
      <w:r w:rsidR="00F75673">
        <w:t>.</w:t>
      </w:r>
      <w:r>
        <w:t xml:space="preserve">  </w:t>
      </w:r>
    </w:p>
    <w:p w14:paraId="76216AD0" w14:textId="4228F71B" w:rsidR="00A85A1E" w:rsidRDefault="00573683" w:rsidP="00E41A5A">
      <w:pPr>
        <w:pStyle w:val="BodyText"/>
        <w:numPr>
          <w:ilvl w:val="0"/>
          <w:numId w:val="8"/>
        </w:numPr>
      </w:pPr>
      <w:r>
        <w:t>The beam</w:t>
      </w:r>
      <w:r w:rsidR="00B844C2">
        <w:t>-</w:t>
      </w:r>
      <w:r>
        <w:t>width or product of beam</w:t>
      </w:r>
      <w:r w:rsidR="00B844C2">
        <w:t>-</w:t>
      </w:r>
      <w:r>
        <w:t xml:space="preserve">widths cannot </w:t>
      </w:r>
      <w:r w:rsidR="00414904">
        <w:t xml:space="preserve">generally </w:t>
      </w:r>
      <w:r>
        <w:t>be used to estimate directivity.</w:t>
      </w:r>
    </w:p>
    <w:p w14:paraId="7B0B9D81" w14:textId="6D41CB19" w:rsidR="00573683" w:rsidRDefault="00573683" w:rsidP="00A85A1E">
      <w:pPr>
        <w:pStyle w:val="BodyText"/>
        <w:numPr>
          <w:ilvl w:val="0"/>
          <w:numId w:val="8"/>
        </w:numPr>
      </w:pPr>
      <w:r>
        <w:t>When discussing correlation in array antennas it is important to clearly state the definition used.</w:t>
      </w:r>
      <w:r w:rsidR="00A92BFF">
        <w:t xml:space="preserve"> Here in this case the correlation between </w:t>
      </w:r>
      <w:r w:rsidR="00040565">
        <w:t>signals applied to the array elements is of interest.</w:t>
      </w:r>
    </w:p>
    <w:p w14:paraId="07A64618" w14:textId="77777777" w:rsidR="00F56386" w:rsidRDefault="00573683" w:rsidP="00F56386">
      <w:pPr>
        <w:pStyle w:val="BodyText"/>
        <w:numPr>
          <w:ilvl w:val="0"/>
          <w:numId w:val="8"/>
        </w:numPr>
      </w:pPr>
      <w:r>
        <w:t>Patterns with same HPBW of the main lobe can have different directivities. HPBW cannot be used to assume that 2 patterns have the same directivity.</w:t>
      </w:r>
    </w:p>
    <w:p w14:paraId="3A1638BE" w14:textId="1866B74F" w:rsidR="00F75673" w:rsidRDefault="00F75673" w:rsidP="009E79A9">
      <w:pPr>
        <w:pStyle w:val="BodyText"/>
      </w:pPr>
      <w:r>
        <w:t xml:space="preserve">For unwanted emission the correlation </w:t>
      </w:r>
      <w:r w:rsidR="00B520F6">
        <w:t>will</w:t>
      </w:r>
      <w:r>
        <w:t xml:space="preserve"> vary as function of </w:t>
      </w:r>
      <w:r w:rsidR="00B520F6">
        <w:t>frequency</w:t>
      </w:r>
      <w:r w:rsidR="005A24B0">
        <w:t xml:space="preserve"> </w:t>
      </w:r>
      <w:r w:rsidR="00D76F27">
        <w:t xml:space="preserve">and </w:t>
      </w:r>
      <w:r w:rsidR="005A24B0">
        <w:t>implementation</w:t>
      </w:r>
      <w:r w:rsidR="00B520F6">
        <w:t xml:space="preserve">, therefore the </w:t>
      </w:r>
      <w:r w:rsidR="00D76F27">
        <w:t xml:space="preserve">expression in </w:t>
      </w:r>
      <w:r w:rsidR="00292C45">
        <w:t>Eq. 2-1 can</w:t>
      </w:r>
      <w:r w:rsidR="00E41A5A">
        <w:t>not</w:t>
      </w:r>
      <w:r w:rsidR="00292C45">
        <w:t xml:space="preserve"> be used </w:t>
      </w:r>
      <w:r w:rsidR="00E41A5A">
        <w:t xml:space="preserve">as a general assumption </w:t>
      </w:r>
      <w:r w:rsidR="00292C45">
        <w:t>to calculated directivity for unwanted emission</w:t>
      </w:r>
      <w:r w:rsidR="006201FB">
        <w:t xml:space="preserve"> produced by </w:t>
      </w:r>
      <w:r w:rsidR="0035373F">
        <w:t>an</w:t>
      </w:r>
      <w:r w:rsidR="00EF3DD2">
        <w:t xml:space="preserve"> AAS base station</w:t>
      </w:r>
      <w:r w:rsidR="00E41A5A">
        <w:t>.</w:t>
      </w:r>
    </w:p>
    <w:p w14:paraId="3658856F" w14:textId="3DAA17B0" w:rsidR="009E79A9" w:rsidRDefault="009E79A9" w:rsidP="009E79A9">
      <w:pPr>
        <w:pStyle w:val="BodyText"/>
      </w:pPr>
      <w:r>
        <w:t xml:space="preserve">Using the approach presented in </w:t>
      </w:r>
      <w:r w:rsidR="008B087F">
        <w:t xml:space="preserve">[1] </w:t>
      </w:r>
      <w:r>
        <w:t xml:space="preserve">to differentiate between correlated and non-correlated emission would significantly affect the </w:t>
      </w:r>
      <w:r w:rsidR="0035373F">
        <w:t>measurement uncertainty</w:t>
      </w:r>
      <w:r>
        <w:t xml:space="preserve"> </w:t>
      </w:r>
      <w:r w:rsidR="004005AF">
        <w:t>evaluation</w:t>
      </w:r>
      <w:r w:rsidR="00676D0B">
        <w:t xml:space="preserve"> for</w:t>
      </w:r>
      <w:r w:rsidR="004005AF">
        <w:t xml:space="preserve"> </w:t>
      </w:r>
      <w:r>
        <w:t>beam</w:t>
      </w:r>
      <w:r w:rsidR="00676D0B">
        <w:t xml:space="preserve">-peak </w:t>
      </w:r>
      <w:r>
        <w:t xml:space="preserve">based </w:t>
      </w:r>
      <w:r w:rsidR="00676D0B">
        <w:t xml:space="preserve">TRP measurement </w:t>
      </w:r>
      <w:r>
        <w:t>method</w:t>
      </w:r>
      <w:r w:rsidR="00676D0B">
        <w:t>s</w:t>
      </w:r>
      <w:r>
        <w:t xml:space="preserve"> </w:t>
      </w:r>
      <w:r w:rsidR="00676D0B">
        <w:t xml:space="preserve">described </w:t>
      </w:r>
      <w:r>
        <w:t>in TS 38.141-2, Annex I.10.</w:t>
      </w:r>
    </w:p>
    <w:p w14:paraId="415B84BE" w14:textId="77777777" w:rsidR="00617500" w:rsidRDefault="00617500" w:rsidP="009E79A9">
      <w:pPr>
        <w:pStyle w:val="BodyText"/>
      </w:pPr>
    </w:p>
    <w:p w14:paraId="150DFC89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549DDF85" w14:textId="77777777" w:rsidR="003B61A8" w:rsidRDefault="003B61A8" w:rsidP="003B61A8">
      <w:pPr>
        <w:pStyle w:val="Heading1"/>
        <w:keepLines w:val="0"/>
        <w:numPr>
          <w:ilvl w:val="0"/>
          <w:numId w:val="5"/>
        </w:numPr>
        <w:pBdr>
          <w:top w:val="none" w:sz="0" w:space="0" w:color="auto"/>
        </w:pBdr>
        <w:spacing w:before="0" w:after="240"/>
        <w:ind w:right="284" w:hanging="720"/>
      </w:pPr>
      <w:r>
        <w:t>References</w:t>
      </w:r>
    </w:p>
    <w:p w14:paraId="5FB88239" w14:textId="77777777" w:rsidR="00DA7EE6" w:rsidRDefault="003B61A8" w:rsidP="00CA7F39">
      <w:pPr>
        <w:ind w:left="709" w:hanging="709"/>
      </w:pPr>
      <w:r>
        <w:t>[1]</w:t>
      </w:r>
      <w:r>
        <w:tab/>
      </w:r>
      <w:r w:rsidR="00583780" w:rsidRPr="00583780">
        <w:t>R4-1912483, “Further discussion on beam-based directions for TRP estimates of in-band unwanted emissions”, Nokia, Nokia Shanghai Bell</w:t>
      </w:r>
    </w:p>
    <w:p w14:paraId="7185828F" w14:textId="1A14C211" w:rsidR="005C7173" w:rsidRDefault="003B61A8" w:rsidP="00CE15AD">
      <w:pPr>
        <w:ind w:left="709" w:hanging="709"/>
      </w:pPr>
      <w:r>
        <w:t xml:space="preserve">[2] </w:t>
      </w:r>
      <w:r>
        <w:tab/>
      </w:r>
      <w:r w:rsidR="00CA7F39" w:rsidRPr="00CA7F39">
        <w:t xml:space="preserve">C.A. </w:t>
      </w:r>
      <w:proofErr w:type="spellStart"/>
      <w:r w:rsidR="00CA7F39" w:rsidRPr="00CA7F39">
        <w:t>Balanis</w:t>
      </w:r>
      <w:proofErr w:type="spellEnd"/>
      <w:r w:rsidR="00CA7F39" w:rsidRPr="00CA7F39">
        <w:t xml:space="preserve"> “Antenna Theory: Analysis and Design-2nd ed.”, John Wiley &amp; Sons Inc, 1997</w:t>
      </w:r>
      <w:bookmarkEnd w:id="0"/>
    </w:p>
    <w:p w14:paraId="2965B3A9" w14:textId="77777777" w:rsidR="00617500" w:rsidRDefault="00617500" w:rsidP="00CE15AD">
      <w:pPr>
        <w:ind w:left="709" w:hanging="709"/>
      </w:pPr>
    </w:p>
    <w:p w14:paraId="6D7B74EB" w14:textId="77777777" w:rsidR="00617500" w:rsidRDefault="00617500" w:rsidP="00617500">
      <w:pPr>
        <w:pBdr>
          <w:bottom w:val="single" w:sz="4" w:space="1" w:color="auto"/>
        </w:pBdr>
        <w:rPr>
          <w:rFonts w:ascii="Arial" w:hAnsi="Arial" w:cs="Arial"/>
        </w:rPr>
      </w:pPr>
    </w:p>
    <w:p w14:paraId="34414818" w14:textId="76E3BE9F" w:rsidR="00617500" w:rsidRDefault="00617500" w:rsidP="00617500">
      <w:pPr>
        <w:pStyle w:val="Heading1"/>
        <w:keepLines w:val="0"/>
        <w:numPr>
          <w:ilvl w:val="0"/>
          <w:numId w:val="5"/>
        </w:numPr>
        <w:pBdr>
          <w:top w:val="none" w:sz="0" w:space="0" w:color="auto"/>
        </w:pBdr>
        <w:spacing w:before="0" w:after="240"/>
        <w:ind w:right="284" w:hanging="720"/>
      </w:pPr>
      <w:r>
        <w:t>Annex</w:t>
      </w:r>
    </w:p>
    <w:p w14:paraId="2BD63486" w14:textId="347C95E7" w:rsidR="00D90E69" w:rsidRDefault="00D40296" w:rsidP="003F4394">
      <w:pPr>
        <w:pStyle w:val="BodyText"/>
        <w:rPr>
          <w:lang w:val="en-US" w:eastAsia="sv-SE"/>
        </w:rPr>
      </w:pPr>
      <w:r>
        <w:rPr>
          <w:lang w:val="en-US" w:eastAsia="sv-SE"/>
        </w:rPr>
        <w:t>Using Eq. 2-1 to Eq.2.4</w:t>
      </w:r>
      <w:r w:rsidR="00983B31">
        <w:rPr>
          <w:lang w:val="en-US" w:eastAsia="sv-SE"/>
        </w:rPr>
        <w:t xml:space="preserve"> a</w:t>
      </w:r>
      <w:r w:rsidR="003F4394">
        <w:rPr>
          <w:lang w:val="en-US" w:eastAsia="sv-SE"/>
        </w:rPr>
        <w:t>n</w:t>
      </w:r>
      <w:r w:rsidR="00983B31">
        <w:rPr>
          <w:lang w:val="en-US" w:eastAsia="sv-SE"/>
        </w:rPr>
        <w:t xml:space="preserve"> </w:t>
      </w:r>
      <w:r w:rsidR="003F4394">
        <w:rPr>
          <w:lang w:val="en-US" w:eastAsia="sv-SE"/>
        </w:rPr>
        <w:t>array</w:t>
      </w:r>
      <w:r w:rsidR="00983B31">
        <w:rPr>
          <w:lang w:val="en-US" w:eastAsia="sv-SE"/>
        </w:rPr>
        <w:t xml:space="preserve"> model </w:t>
      </w:r>
      <w:proofErr w:type="gramStart"/>
      <w:r w:rsidR="00983B31">
        <w:rPr>
          <w:lang w:val="en-US" w:eastAsia="sv-SE"/>
        </w:rPr>
        <w:t>have</w:t>
      </w:r>
      <w:proofErr w:type="gramEnd"/>
      <w:r w:rsidR="00983B31">
        <w:rPr>
          <w:lang w:val="en-US" w:eastAsia="sv-SE"/>
        </w:rPr>
        <w:t xml:space="preserve"> been created in </w:t>
      </w:r>
      <w:proofErr w:type="spellStart"/>
      <w:r w:rsidR="00983B31">
        <w:rPr>
          <w:lang w:val="en-US" w:eastAsia="sv-SE"/>
        </w:rPr>
        <w:t>Matlab</w:t>
      </w:r>
      <w:proofErr w:type="spellEnd"/>
      <w:r w:rsidR="00983B31">
        <w:rPr>
          <w:lang w:val="en-US" w:eastAsia="sv-SE"/>
        </w:rPr>
        <w:t xml:space="preserve"> code.</w:t>
      </w:r>
    </w:p>
    <w:p w14:paraId="34A4EE00" w14:textId="77777777" w:rsidR="00D90E69" w:rsidRDefault="00D90E69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FF"/>
          <w:sz w:val="16"/>
          <w:szCs w:val="16"/>
          <w:lang w:val="en-US" w:eastAsia="sv-SE"/>
        </w:rPr>
      </w:pPr>
    </w:p>
    <w:p w14:paraId="7E5789E9" w14:textId="77777777" w:rsidR="00D90E69" w:rsidRDefault="00D90E69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color w:val="0000FF"/>
          <w:sz w:val="16"/>
          <w:szCs w:val="16"/>
          <w:lang w:val="en-US" w:eastAsia="sv-SE"/>
        </w:rPr>
      </w:pPr>
    </w:p>
    <w:p w14:paraId="54FCFFB8" w14:textId="364B35B1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function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makePlots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nSamples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08EB1D8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makePlots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nSamples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)</w:t>
      </w:r>
    </w:p>
    <w:p w14:paraId="3ED9465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</w:t>
      </w:r>
    </w:p>
    <w:p w14:paraId="306B960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Generate plots for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correlation|directivity|beamwidth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study.</w:t>
      </w:r>
    </w:p>
    <w:p w14:paraId="2A68378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</w:t>
      </w:r>
    </w:p>
    <w:p w14:paraId="7B2728D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------------------------------------------------------------------------- </w:t>
      </w:r>
    </w:p>
    <w:p w14:paraId="285657B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INPUT  </w:t>
      </w:r>
    </w:p>
    <w:p w14:paraId="136F9CF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nSample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  Number of realizations. For each realization a random</w:t>
      </w:r>
    </w:p>
    <w:p w14:paraId="3BE64E6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              correlation level between 0 and 1 is selected.</w:t>
      </w:r>
    </w:p>
    <w:p w14:paraId="0D5AC3F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</w:t>
      </w:r>
    </w:p>
    <w:p w14:paraId="6E1CF94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Example: 100 samples</w:t>
      </w:r>
    </w:p>
    <w:p w14:paraId="6894001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</w:t>
      </w:r>
      <w:proofErr w:type="spellStart"/>
      <w:proofErr w:type="gram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makePlots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100);</w:t>
      </w:r>
    </w:p>
    <w:p w14:paraId="10D56B5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</w:t>
      </w:r>
    </w:p>
    <w:p w14:paraId="6682FC4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Collect data</w:t>
      </w:r>
    </w:p>
    <w:p w14:paraId="4A14572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wb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waitbar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0,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'Collecting data'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);</w:t>
      </w:r>
    </w:p>
    <w:p w14:paraId="0960519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for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i =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1:nSamples</w:t>
      </w:r>
      <w:proofErr w:type="gramEnd"/>
    </w:p>
    <w:p w14:paraId="4F266F8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if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i == 1</w:t>
      </w:r>
    </w:p>
    <w:p w14:paraId="1090B8C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    [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EIRP,TRP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,D0,HPBWtheta,HPBWphi,rho]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arrayPatternCorrelation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(false,1);</w:t>
      </w:r>
    </w:p>
    <w:p w14:paraId="1B0D690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else</w:t>
      </w:r>
    </w:p>
    <w:p w14:paraId="6C824CD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    [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EIRP,TRP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,D0,HPBWtheta,HPBWphi,rho]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arrayPatternCorrelation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(false);</w:t>
      </w:r>
    </w:p>
    <w:p w14:paraId="5DCAA92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</w:p>
    <w:p w14:paraId="42C7F6F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data.EIRP</w:t>
      </w:r>
      <w:proofErr w:type="spellEnd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(:,:,i) = EIRP;</w:t>
      </w:r>
    </w:p>
    <w:p w14:paraId="0C5930C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data.TRP(i) = TRP;</w:t>
      </w:r>
    </w:p>
    <w:p w14:paraId="54B00E3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 xml:space="preserve">    data.D0(i) = D0;</w:t>
      </w:r>
    </w:p>
    <w:p w14:paraId="011F27D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lastRenderedPageBreak/>
        <w:t xml:space="preserve">    data.HPBWtheta(i) = HPBWtheta;</w:t>
      </w:r>
    </w:p>
    <w:p w14:paraId="2348D36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 xml:space="preserve">    data.HPBWphi(i) = HPBWphi;</w:t>
      </w:r>
    </w:p>
    <w:p w14:paraId="3BE2DDE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data.rho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(i) = rho;</w:t>
      </w:r>
    </w:p>
    <w:p w14:paraId="0967B0D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waitbar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i/nSamples,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wb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'Collecting data'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); </w:t>
      </w:r>
    </w:p>
    <w:p w14:paraId="69F7CFA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62E6A95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close(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wb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45FC313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clear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EIRP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TRP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D0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HPBWtheta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HPBWphi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rho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i</w:t>
      </w:r>
    </w:p>
    <w:p w14:paraId="76FA1D4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 xml:space="preserve"> </w:t>
      </w:r>
    </w:p>
    <w:p w14:paraId="7441C2A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%% Figure </w:t>
      </w:r>
      <w:r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2-4</w:t>
      </w:r>
    </w:p>
    <w:p w14:paraId="19D61BD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figure; hold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45F6315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box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; grid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10CEA4B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scatter(rad2deg(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data.HPBWtheta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),data.rho*100,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'vertical HPBW'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6292452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scatter(rad2deg(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data.HPBWphi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),data.rho*100,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'horizontal HPBW'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2074550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legend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show</w:t>
      </w:r>
    </w:p>
    <w:p w14:paraId="29EF595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'HPBW (deg)'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5E43505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'correlation (%)'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576E35D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3A13FB8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Figure 2</w:t>
      </w:r>
      <w:r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-5</w:t>
      </w:r>
    </w:p>
    <w:p w14:paraId="2BA4568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figure; hold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5A97A07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box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; grid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05F44DB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scatter(rad2deg(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data.HPBWtheta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).*rad2deg(data.HPBWphi),data.rho*100)</w:t>
      </w:r>
    </w:p>
    <w:p w14:paraId="08559CA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HPBW_v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HPBW_h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 xml:space="preserve"> (deg^2)'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5767773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'correlation (%)'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3755CDA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71BE5FF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%% Figure </w:t>
      </w:r>
      <w:r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2-</w:t>
      </w: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3</w:t>
      </w:r>
    </w:p>
    <w:p w14:paraId="2F75908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figure; hold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4C37660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box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; grid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045247E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scatter(data.rho*100,10*log10(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data.D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0),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'x'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'Directivity from full sphere'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639E351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scatter(data.rho*100,10*log10(data.rho*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data.D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0(1)),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'o'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'\rho D_{100%}'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4766FBE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scatter(data.rho*100,10*log10(pi^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2./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(data.HPBWtheta.*data.HPBWphi)),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's'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'Krauss formula'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54DAE39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[0 30])</w:t>
      </w:r>
    </w:p>
    <w:p w14:paraId="6C5A492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'\rho (%)'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5EB4946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'Directivity (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dBi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50AE721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 xml:space="preserve">legend </w:t>
      </w:r>
      <w:r w:rsidRPr="00C17DE6">
        <w:rPr>
          <w:rFonts w:ascii="Courier New" w:hAnsi="Courier New" w:cs="Courier New"/>
          <w:color w:val="A020F0"/>
          <w:sz w:val="16"/>
          <w:szCs w:val="16"/>
          <w:lang w:val="sv-SE" w:eastAsia="sv-SE"/>
        </w:rPr>
        <w:t>show</w:t>
      </w:r>
    </w:p>
    <w:p w14:paraId="4F5C8093" w14:textId="77777777" w:rsidR="00700223" w:rsidRPr="00C17DE6" w:rsidRDefault="00700223" w:rsidP="00700223">
      <w:pPr>
        <w:rPr>
          <w:sz w:val="16"/>
          <w:szCs w:val="16"/>
        </w:rPr>
      </w:pPr>
    </w:p>
    <w:p w14:paraId="2ABD708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eastAsia="sv-SE"/>
        </w:rPr>
        <w:t>function</w:t>
      </w:r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 xml:space="preserve"> [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>EIRP,TRP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 xml:space="preserve">,D0,HPBWtheta,HPBWphi,rho]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>arrayPatternCorrelation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>plotFlag,varargin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eastAsia="sv-SE"/>
        </w:rPr>
        <w:t>)</w:t>
      </w:r>
    </w:p>
    <w:p w14:paraId="4092BED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>% [</w:t>
      </w:r>
      <w:proofErr w:type="gramStart"/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>U,P</w:t>
      </w:r>
      <w:proofErr w:type="gramEnd"/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 xml:space="preserve">,D0] =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>arrayPatternCorrelation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>(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>plotFlag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eastAsia="sv-SE"/>
        </w:rPr>
        <w:t>)</w:t>
      </w:r>
    </w:p>
    <w:p w14:paraId="58AF0E3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</w:t>
      </w:r>
    </w:p>
    <w:p w14:paraId="4EC27B2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Create </w:t>
      </w:r>
      <w:proofErr w:type="gram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a</w:t>
      </w:r>
      <w:proofErr w:type="gram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8x8 URA with random correlation level. Compute the EIRP, TRP, </w:t>
      </w:r>
    </w:p>
    <w:p w14:paraId="15FC439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directivity, and HPBW in theta and phi</w:t>
      </w:r>
    </w:p>
    <w:p w14:paraId="09B9D45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directions.</w:t>
      </w:r>
    </w:p>
    <w:p w14:paraId="391306C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</w:t>
      </w:r>
    </w:p>
    <w:p w14:paraId="29F915C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------------------------------------------------------------------------- </w:t>
      </w:r>
    </w:p>
    <w:p w14:paraId="53C65B2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INPUT  </w:t>
      </w:r>
    </w:p>
    <w:p w14:paraId="7BA490E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plotFlag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  Boolean. Determines whether to plot the radiation</w:t>
      </w:r>
    </w:p>
    <w:p w14:paraId="7358F48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               intensity or not.</w:t>
      </w:r>
    </w:p>
    <w:p w14:paraId="36A9681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varargin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   Optional: correlation level (rho). </w:t>
      </w:r>
    </w:p>
    <w:p w14:paraId="1C0BD34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</w:t>
      </w:r>
    </w:p>
    <w:p w14:paraId="0CB48A0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OUTPUT  </w:t>
      </w:r>
    </w:p>
    <w:p w14:paraId="0521175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 EIRP       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EIRP</w:t>
      </w:r>
      <w:proofErr w:type="spellEnd"/>
    </w:p>
    <w:p w14:paraId="618895A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 TRP        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TRP</w:t>
      </w:r>
      <w:proofErr w:type="spellEnd"/>
    </w:p>
    <w:p w14:paraId="4FE1307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    D0             Directivity</w:t>
      </w:r>
    </w:p>
    <w:p w14:paraId="0D0CD2B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HPBWtheta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     Half power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beamwidth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in theta direction</w:t>
      </w:r>
    </w:p>
    <w:p w14:paraId="3FFCAAF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   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HPBWphi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       Half power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beamwidth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in phi direction</w:t>
      </w:r>
    </w:p>
    <w:p w14:paraId="5B38BD6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    rho            Correlation level</w:t>
      </w:r>
    </w:p>
    <w:p w14:paraId="2AC7A85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</w:t>
      </w:r>
    </w:p>
    <w:p w14:paraId="4891A56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Spherical coordinates</w:t>
      </w:r>
    </w:p>
    <w:p w14:paraId="16829F0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theta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linspace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0,pi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,181);</w:t>
      </w:r>
    </w:p>
    <w:p w14:paraId="2C1AD39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phi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linspace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(-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pi,pi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,361);</w:t>
      </w:r>
    </w:p>
    <w:p w14:paraId="1C34F73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[TH, PH]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ndgrid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theta,phi</w:t>
      </w:r>
      <w:proofErr w:type="spellEnd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);</w:t>
      </w:r>
    </w:p>
    <w:p w14:paraId="36FDCAC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Element pattern (Huygens source)</w:t>
      </w:r>
    </w:p>
    <w:p w14:paraId="4158480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Elem_E_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=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sin(TH) + cos(PH);</w:t>
      </w:r>
    </w:p>
    <w:p w14:paraId="72CFD5F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Elem_E_phi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=  -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cos(TH).*sin(PH);</w:t>
      </w:r>
    </w:p>
    <w:p w14:paraId="2A5018A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Array geometry</w:t>
      </w:r>
    </w:p>
    <w:p w14:paraId="5DCEBA3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f      = 3.5e9;</w:t>
      </w:r>
    </w:p>
    <w:p w14:paraId="5ECB0AB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c_0    = 299792458; </w:t>
      </w: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 m/s</w:t>
      </w:r>
    </w:p>
    <w:p w14:paraId="2E6667B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lambda = c_0/f;</w:t>
      </w:r>
    </w:p>
    <w:p w14:paraId="29A6C16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k      = 2*pi/lambda;</w:t>
      </w:r>
    </w:p>
    <w:p w14:paraId="7D55B2E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 xml:space="preserve"> </w:t>
      </w:r>
    </w:p>
    <w:p w14:paraId="5BBC394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Array in the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yz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-plane, i.e., x = 0</w:t>
      </w:r>
    </w:p>
    <w:p w14:paraId="5EED527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 = ((1:8) -4.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5)*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.5*lambda;</w:t>
      </w:r>
    </w:p>
    <w:p w14:paraId="5180C57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z = y;</w:t>
      </w:r>
    </w:p>
    <w:p w14:paraId="54244F3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Y,Z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]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ndgrid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y,z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);</w:t>
      </w:r>
    </w:p>
    <w:p w14:paraId="0FFF6A1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Y =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:);</w:t>
      </w:r>
    </w:p>
    <w:p w14:paraId="5495B2E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Z =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Z(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:);</w:t>
      </w:r>
    </w:p>
    <w:p w14:paraId="0DFDD4E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Array excitation</w:t>
      </w:r>
    </w:p>
    <w:p w14:paraId="5DDDCBE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lastRenderedPageBreak/>
        <w:t>if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nargin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== 2</w:t>
      </w:r>
    </w:p>
    <w:p w14:paraId="20E548C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rho =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varargin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{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1};</w:t>
      </w:r>
    </w:p>
    <w:p w14:paraId="1725893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else</w:t>
      </w:r>
    </w:p>
    <w:p w14:paraId="160D6F5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rho = rand;</w:t>
      </w:r>
    </w:p>
    <w:p w14:paraId="1C7592E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6591A57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excitation = sqrt(rho)*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ones(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64,1) + sqrt(1-rho)*(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randn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(64,1) + 1j*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randn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(64,1))/sqrt(2);</w:t>
      </w:r>
    </w:p>
    <w:p w14:paraId="1F86E37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excitation = excitation/sqrt(sum(abs(excitation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).^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2));</w:t>
      </w:r>
    </w:p>
    <w:p w14:paraId="14D0F60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Array factor</w:t>
      </w:r>
    </w:p>
    <w:p w14:paraId="2F7BC51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AF = zeros(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size(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TH));</w:t>
      </w:r>
    </w:p>
    <w:p w14:paraId="3A45971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for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iElem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1:64</w:t>
      </w:r>
    </w:p>
    <w:p w14:paraId="1AC237F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AF = AF + excitation(iElem)*exp(1j*k*(Y(iElem)*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sin(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TH).*sin(PH)+Z(iElem)*cos(TH)));</w:t>
      </w:r>
    </w:p>
    <w:p w14:paraId="27EA5DD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651FE4A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Radiation power pattern</w:t>
      </w:r>
    </w:p>
    <w:p w14:paraId="13933D0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E_theta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Elem_E_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.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* AF;</w:t>
      </w:r>
    </w:p>
    <w:p w14:paraId="1297DF2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E_phi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Elem_E_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phi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.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* AF;</w:t>
      </w:r>
    </w:p>
    <w:p w14:paraId="6759815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 = abs(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E_theta</w:t>
      </w:r>
      <w:proofErr w:type="spellEnd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).^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2 + abs(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E_phi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).^2;</w:t>
      </w:r>
    </w:p>
    <w:p w14:paraId="6FC39EB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Directivity</w:t>
      </w:r>
    </w:p>
    <w:p w14:paraId="3EAD214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TRP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trapz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phi,trapz</w:t>
      </w:r>
      <w:proofErr w:type="spellEnd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theta,U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.*sin(TH),1));</w:t>
      </w:r>
    </w:p>
    <w:p w14:paraId="12E2AD9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D0 = 4*pi*max(U(:))/TRP;</w:t>
      </w:r>
    </w:p>
    <w:p w14:paraId="1D2A129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EIRP = TRP*D0*U/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max(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U(:));</w:t>
      </w:r>
    </w:p>
    <w:p w14:paraId="7217B5B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%%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Beamwidth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</w:t>
      </w:r>
    </w:p>
    <w:p w14:paraId="12A33AA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peak,peakInd</w:t>
      </w:r>
      <w:proofErr w:type="spellEnd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] = max(U(:));</w:t>
      </w:r>
    </w:p>
    <w:p w14:paraId="1B0DADE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find(theta==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TH(</w:t>
      </w:r>
      <w:proofErr w:type="spellStart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));</w:t>
      </w:r>
    </w:p>
    <w:p w14:paraId="76D42D5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phiPeakInd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find(phi==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PH(</w:t>
      </w:r>
      <w:proofErr w:type="spellStart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));</w:t>
      </w:r>
    </w:p>
    <w:p w14:paraId="44DD0B1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6EFF8E7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UthetaCut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U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(:,</w:t>
      </w:r>
      <w:proofErr w:type="spellStart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phiPeakInd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);</w:t>
      </w:r>
    </w:p>
    <w:p w14:paraId="5D09DAB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UphiCut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U(</w:t>
      </w:r>
      <w:proofErr w:type="spellStart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,:);</w:t>
      </w:r>
    </w:p>
    <w:p w14:paraId="5E17F2F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57D019A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beamwidth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in theta cut</w:t>
      </w:r>
    </w:p>
    <w:p w14:paraId="657549E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5F9FFC4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while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UthetaCut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)&gt;peak/2</w:t>
      </w:r>
    </w:p>
    <w:p w14:paraId="179E0AD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+ 1;</w:t>
      </w:r>
    </w:p>
    <w:p w14:paraId="25125B7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4C4B555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HPthetaP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interp1(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UthetaCut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(ind-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1:ind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),theta(ind-1:ind),peak/2);</w:t>
      </w:r>
    </w:p>
    <w:p w14:paraId="0114FF0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1D87CFD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thetaPeakInd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7E3E067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while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UthetaCut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)&gt;peak/2</w:t>
      </w:r>
    </w:p>
    <w:p w14:paraId="2C8BA70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- 1;</w:t>
      </w:r>
    </w:p>
    <w:p w14:paraId="049400B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3CECAE1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HPthetaM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interp1(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UthetaCut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ind:ind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+1),theta(ind:ind+1),peak/2);</w:t>
      </w:r>
    </w:p>
    <w:p w14:paraId="5EDFB65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47632FD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HPBWtheta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HPthetaP-HPthetaM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432E940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6CF1E3B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% </w:t>
      </w:r>
      <w:proofErr w:type="spellStart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beamwidth</w:t>
      </w:r>
      <w:proofErr w:type="spellEnd"/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 xml:space="preserve"> in phi cut</w:t>
      </w:r>
    </w:p>
    <w:p w14:paraId="16B94058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phiPeakInd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5BE61C4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while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UphiCut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)&gt;peak/2</w:t>
      </w:r>
    </w:p>
    <w:p w14:paraId="25D6AA8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+ 1;</w:t>
      </w:r>
    </w:p>
    <w:p w14:paraId="3757D5E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3FB4E95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HPphiP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interp1(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UphiCut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(ind-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1:ind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),phi(ind-1:ind),peak/2);</w:t>
      </w:r>
    </w:p>
    <w:p w14:paraId="1A69595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5695668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phiPeakInd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3C8B0F8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while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UphiCut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)&gt;peak/2</w:t>
      </w:r>
    </w:p>
    <w:p w14:paraId="3DE06B2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- 1;</w:t>
      </w:r>
    </w:p>
    <w:p w14:paraId="657B128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end</w:t>
      </w:r>
    </w:p>
    <w:p w14:paraId="3D82A5B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HPphiM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interp1(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UphiCut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ind:ind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+1),phi(ind:ind+1),peak/2);</w:t>
      </w:r>
    </w:p>
    <w:p w14:paraId="581BAA0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</w:p>
    <w:p w14:paraId="3855CA5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HPBWphi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HPphiP-HPphiM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4E41687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3C763D"/>
          <w:sz w:val="16"/>
          <w:szCs w:val="16"/>
          <w:lang w:val="en-US" w:eastAsia="sv-SE"/>
        </w:rPr>
        <w:t>%% Plot</w:t>
      </w:r>
    </w:p>
    <w:p w14:paraId="3E5181C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en-US" w:eastAsia="sv-SE"/>
        </w:rPr>
        <w:t>if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plotFlag</w:t>
      </w:r>
      <w:proofErr w:type="spellEnd"/>
    </w:p>
    <w:p w14:paraId="57ECCCB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U_dB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= 10*log10(U);</w:t>
      </w:r>
    </w:p>
    <w:p w14:paraId="32767A5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figure;surf</w:t>
      </w:r>
      <w:proofErr w:type="spellEnd"/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(rad2deg(TH),rad2deg(PH),U_dB,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'edgealpha'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,0)</w:t>
      </w:r>
    </w:p>
    <w:p w14:paraId="06416BF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caxis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([max(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U_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dB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:)-40) max(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U_dB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(:))])</w:t>
      </w:r>
    </w:p>
    <w:p w14:paraId="16D7102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view(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90,90);</w:t>
      </w:r>
    </w:p>
    <w:p w14:paraId="5393C84A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'\theta (deg)'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67779F1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'\phi (deg)'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731F17E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[0,180])</w:t>
      </w:r>
    </w:p>
    <w:p w14:paraId="0AE433D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[-180,180])</w:t>
      </w:r>
    </w:p>
    <w:p w14:paraId="6FA5609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title(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'Power pattern'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3677AED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colorbar</w:t>
      </w:r>
      <w:proofErr w:type="spellEnd"/>
    </w:p>
    <w:p w14:paraId="287B3F4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</w:p>
    <w:p w14:paraId="1B366F9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figure; hold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1263B891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grid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; box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16AC5BCF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plot(rad2deg(phi),10*log10(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UphiCut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displayname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'radiation intensity'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6D4AD27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plot(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[-180 180],10*log10([peak/2 peak/2]),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'-3dB line'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6A78F6E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plot(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rad2deg([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HPphiM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HPphiP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]),10*log10([peak/2 peak/2]),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'x'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displayname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'HP points'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3DA49D1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[-180 180]);</w:t>
      </w:r>
    </w:p>
    <w:p w14:paraId="6F2C26E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([10*log10(peak)-30 10*log10(peak)])</w:t>
      </w:r>
    </w:p>
    <w:p w14:paraId="0BDDE6D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xlabel(</w:t>
      </w:r>
      <w:r w:rsidRPr="00C17DE6">
        <w:rPr>
          <w:rFonts w:ascii="Courier New" w:hAnsi="Courier New" w:cs="Courier New"/>
          <w:color w:val="A020F0"/>
          <w:sz w:val="16"/>
          <w:szCs w:val="16"/>
          <w:lang w:val="sv-SE" w:eastAsia="sv-SE"/>
        </w:rPr>
        <w:t>'\phi (deg)'</w:t>
      </w: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)</w:t>
      </w:r>
    </w:p>
    <w:p w14:paraId="5AEE1F2C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lastRenderedPageBreak/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'Radiation intensity (dB)'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7C2EBCF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title(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'\phi-cut'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);</w:t>
      </w:r>
    </w:p>
    <w:p w14:paraId="2815263B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legend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show</w:t>
      </w:r>
    </w:p>
    <w:p w14:paraId="4E6863B3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</w:p>
    <w:p w14:paraId="15C5A1B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figure; hold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59D8F11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grid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; box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on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;</w:t>
      </w:r>
    </w:p>
    <w:p w14:paraId="72A51D59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plot(rad2deg(theta),10*log10(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UthetaCut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displayname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'radiation intensity'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4363C90E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plot(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[0 180],10*log10([peak/2 peak/2]),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'displayname'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'-3dB line'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66250350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plot(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rad2deg([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HPthetaM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HPthetaP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]),10*log10([peak/2 peak/2]),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'x'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proofErr w:type="spellStart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displayname</w:t>
      </w:r>
      <w:proofErr w:type="spell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,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'HP points'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34FCFD1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xlim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[0 180]);</w:t>
      </w:r>
    </w:p>
    <w:p w14:paraId="68870E56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proofErr w:type="spell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ylim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([10*log10(peak)-30 10*log10(peak)])</w:t>
      </w:r>
    </w:p>
    <w:p w14:paraId="203DDA0D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</w:t>
      </w: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xlabel(</w:t>
      </w:r>
      <w:r w:rsidRPr="00C17DE6">
        <w:rPr>
          <w:rFonts w:ascii="Courier New" w:hAnsi="Courier New" w:cs="Courier New"/>
          <w:color w:val="A020F0"/>
          <w:sz w:val="16"/>
          <w:szCs w:val="16"/>
          <w:lang w:val="sv-SE" w:eastAsia="sv-SE"/>
        </w:rPr>
        <w:t>'\theta (deg)'</w:t>
      </w: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>)</w:t>
      </w:r>
    </w:p>
    <w:p w14:paraId="7FE2F245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sv-SE" w:eastAsia="sv-SE"/>
        </w:rPr>
        <w:t xml:space="preserve">    </w:t>
      </w:r>
      <w:proofErr w:type="spellStart"/>
      <w:proofErr w:type="gramStart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ylabel</w:t>
      </w:r>
      <w:proofErr w:type="spellEnd"/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(</w:t>
      </w:r>
      <w:proofErr w:type="gramEnd"/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'Radiation intensity (dB)'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</w:t>
      </w:r>
    </w:p>
    <w:p w14:paraId="40754132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title(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'\theta-cut'</w:t>
      </w: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>);</w:t>
      </w:r>
    </w:p>
    <w:p w14:paraId="6D52E604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en-US" w:eastAsia="sv-SE"/>
        </w:rPr>
      </w:pPr>
      <w:r w:rsidRPr="00C17DE6">
        <w:rPr>
          <w:rFonts w:ascii="Courier New" w:hAnsi="Courier New" w:cs="Courier New"/>
          <w:color w:val="000000"/>
          <w:sz w:val="16"/>
          <w:szCs w:val="16"/>
          <w:lang w:val="en-US" w:eastAsia="sv-SE"/>
        </w:rPr>
        <w:t xml:space="preserve">    legend </w:t>
      </w:r>
      <w:r w:rsidRPr="00C17DE6">
        <w:rPr>
          <w:rFonts w:ascii="Courier New" w:hAnsi="Courier New" w:cs="Courier New"/>
          <w:color w:val="A020F0"/>
          <w:sz w:val="16"/>
          <w:szCs w:val="16"/>
          <w:lang w:val="en-US" w:eastAsia="sv-SE"/>
        </w:rPr>
        <w:t>show</w:t>
      </w:r>
    </w:p>
    <w:p w14:paraId="204F12E7" w14:textId="77777777" w:rsidR="00700223" w:rsidRPr="00C17DE6" w:rsidRDefault="00700223" w:rsidP="00700223">
      <w:pPr>
        <w:autoSpaceDE w:val="0"/>
        <w:autoSpaceDN w:val="0"/>
        <w:adjustRightInd w:val="0"/>
        <w:spacing w:after="0"/>
        <w:rPr>
          <w:rFonts w:ascii="Courier New" w:hAnsi="Courier New" w:cs="Courier New"/>
          <w:sz w:val="16"/>
          <w:szCs w:val="16"/>
          <w:lang w:val="sv-SE" w:eastAsia="sv-SE"/>
        </w:rPr>
      </w:pPr>
      <w:r w:rsidRPr="00C17DE6">
        <w:rPr>
          <w:rFonts w:ascii="Courier New" w:hAnsi="Courier New" w:cs="Courier New"/>
          <w:color w:val="0000FF"/>
          <w:sz w:val="16"/>
          <w:szCs w:val="16"/>
          <w:lang w:val="sv-SE" w:eastAsia="sv-SE"/>
        </w:rPr>
        <w:t>end</w:t>
      </w:r>
    </w:p>
    <w:p w14:paraId="781F8D44" w14:textId="77777777" w:rsidR="00617500" w:rsidRDefault="00617500" w:rsidP="00CE15AD">
      <w:pPr>
        <w:ind w:left="709" w:hanging="709"/>
      </w:pPr>
    </w:p>
    <w:sectPr w:rsidR="00617500">
      <w:headerReference w:type="default" r:id="rId19"/>
      <w:footerReference w:type="default" r:id="rId2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BB5EA4" w14:textId="77777777" w:rsidR="0048156F" w:rsidRDefault="0048156F">
      <w:r>
        <w:separator/>
      </w:r>
    </w:p>
  </w:endnote>
  <w:endnote w:type="continuationSeparator" w:id="0">
    <w:p w14:paraId="087E4592" w14:textId="77777777" w:rsidR="0048156F" w:rsidRDefault="0048156F">
      <w:r>
        <w:continuationSeparator/>
      </w:r>
    </w:p>
  </w:endnote>
  <w:endnote w:type="continuationNotice" w:id="1">
    <w:p w14:paraId="7A91EA08" w14:textId="77777777" w:rsidR="0048156F" w:rsidRDefault="0048156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32E08" w14:textId="77777777" w:rsidR="00EF1FC5" w:rsidRDefault="00EF1FC5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C99469" w14:textId="77777777" w:rsidR="0048156F" w:rsidRDefault="0048156F">
      <w:r>
        <w:separator/>
      </w:r>
    </w:p>
  </w:footnote>
  <w:footnote w:type="continuationSeparator" w:id="0">
    <w:p w14:paraId="13EB16E6" w14:textId="77777777" w:rsidR="0048156F" w:rsidRDefault="0048156F">
      <w:r>
        <w:continuationSeparator/>
      </w:r>
    </w:p>
  </w:footnote>
  <w:footnote w:type="continuationNotice" w:id="1">
    <w:p w14:paraId="18B845D5" w14:textId="77777777" w:rsidR="0048156F" w:rsidRDefault="0048156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C2AB4" w14:textId="77777777" w:rsidR="00EF1FC5" w:rsidRDefault="00EF1FC5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</w:p>
  <w:p w14:paraId="43AEEDAB" w14:textId="77777777" w:rsidR="00EF1FC5" w:rsidRDefault="00EF1FC5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 w:rsidR="00CB380A">
      <w:rPr>
        <w:rFonts w:ascii="Arial" w:hAnsi="Arial" w:cs="Arial"/>
        <w:b/>
        <w:noProof/>
        <w:sz w:val="18"/>
        <w:szCs w:val="18"/>
      </w:rPr>
      <w:t>2</w:t>
    </w:r>
    <w:r>
      <w:rPr>
        <w:rFonts w:ascii="Arial" w:hAnsi="Arial" w:cs="Arial"/>
        <w:b/>
        <w:sz w:val="18"/>
        <w:szCs w:val="18"/>
      </w:rPr>
      <w:fldChar w:fldCharType="end"/>
    </w:r>
  </w:p>
  <w:p w14:paraId="28E08E64" w14:textId="77777777" w:rsidR="00EF1FC5" w:rsidRDefault="00EF1FC5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</w:p>
  <w:p w14:paraId="49C360ED" w14:textId="77777777" w:rsidR="00EF1FC5" w:rsidRDefault="00EF1FC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282F44FA"/>
    <w:multiLevelType w:val="hybridMultilevel"/>
    <w:tmpl w:val="C32CF51E"/>
    <w:lvl w:ilvl="0" w:tplc="20BC1A0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C422FA"/>
    <w:multiLevelType w:val="hybridMultilevel"/>
    <w:tmpl w:val="3468C6AE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1A7D2E"/>
    <w:multiLevelType w:val="hybridMultilevel"/>
    <w:tmpl w:val="C890BFF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80513A"/>
    <w:multiLevelType w:val="hybridMultilevel"/>
    <w:tmpl w:val="3468C6AE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B209C6"/>
    <w:multiLevelType w:val="hybridMultilevel"/>
    <w:tmpl w:val="BBF2B460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FB2B08"/>
    <w:multiLevelType w:val="hybridMultilevel"/>
    <w:tmpl w:val="272C39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2"/>
  </w:num>
  <w:num w:numId="5">
    <w:abstractNumId w:val="6"/>
  </w:num>
  <w:num w:numId="6">
    <w:abstractNumId w:val="7"/>
  </w:num>
  <w:num w:numId="7">
    <w:abstractNumId w:val="4"/>
  </w:num>
  <w:num w:numId="8">
    <w:abstractNumId w:val="5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225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1158"/>
    <w:rsid w:val="000256E8"/>
    <w:rsid w:val="00033397"/>
    <w:rsid w:val="00036728"/>
    <w:rsid w:val="00040095"/>
    <w:rsid w:val="00040565"/>
    <w:rsid w:val="00045E65"/>
    <w:rsid w:val="00050969"/>
    <w:rsid w:val="000510AF"/>
    <w:rsid w:val="00051834"/>
    <w:rsid w:val="00054A22"/>
    <w:rsid w:val="000560CC"/>
    <w:rsid w:val="000640BC"/>
    <w:rsid w:val="000655A6"/>
    <w:rsid w:val="00080512"/>
    <w:rsid w:val="00094D53"/>
    <w:rsid w:val="00096009"/>
    <w:rsid w:val="000D58AB"/>
    <w:rsid w:val="000D696C"/>
    <w:rsid w:val="000D785C"/>
    <w:rsid w:val="000E1DEA"/>
    <w:rsid w:val="000E3DC6"/>
    <w:rsid w:val="000E632F"/>
    <w:rsid w:val="000F0805"/>
    <w:rsid w:val="00106F91"/>
    <w:rsid w:val="00107D16"/>
    <w:rsid w:val="0011057F"/>
    <w:rsid w:val="001149DA"/>
    <w:rsid w:val="00133B49"/>
    <w:rsid w:val="00146EDB"/>
    <w:rsid w:val="00150647"/>
    <w:rsid w:val="00155B44"/>
    <w:rsid w:val="00176C71"/>
    <w:rsid w:val="00184D0A"/>
    <w:rsid w:val="001862BC"/>
    <w:rsid w:val="00197E17"/>
    <w:rsid w:val="001B0597"/>
    <w:rsid w:val="001B3D71"/>
    <w:rsid w:val="001B5A44"/>
    <w:rsid w:val="001C1DF4"/>
    <w:rsid w:val="001D02C2"/>
    <w:rsid w:val="001D35E1"/>
    <w:rsid w:val="001D365C"/>
    <w:rsid w:val="001E1BD7"/>
    <w:rsid w:val="001E62AA"/>
    <w:rsid w:val="001F168B"/>
    <w:rsid w:val="001F33FD"/>
    <w:rsid w:val="00214C66"/>
    <w:rsid w:val="00224A8F"/>
    <w:rsid w:val="00226B3F"/>
    <w:rsid w:val="00227585"/>
    <w:rsid w:val="00231DE5"/>
    <w:rsid w:val="0023254C"/>
    <w:rsid w:val="002347A2"/>
    <w:rsid w:val="00236912"/>
    <w:rsid w:val="00241D8F"/>
    <w:rsid w:val="00261681"/>
    <w:rsid w:val="00280CDB"/>
    <w:rsid w:val="00292C45"/>
    <w:rsid w:val="00295DB4"/>
    <w:rsid w:val="002A0978"/>
    <w:rsid w:val="002A682D"/>
    <w:rsid w:val="002A6BDE"/>
    <w:rsid w:val="002B067D"/>
    <w:rsid w:val="002B0AA9"/>
    <w:rsid w:val="002B0B48"/>
    <w:rsid w:val="002B750C"/>
    <w:rsid w:val="002E2D39"/>
    <w:rsid w:val="002F1E03"/>
    <w:rsid w:val="002F7558"/>
    <w:rsid w:val="00306626"/>
    <w:rsid w:val="003172DC"/>
    <w:rsid w:val="003348D7"/>
    <w:rsid w:val="00335B5C"/>
    <w:rsid w:val="0034062D"/>
    <w:rsid w:val="00350F57"/>
    <w:rsid w:val="0035373F"/>
    <w:rsid w:val="0035462D"/>
    <w:rsid w:val="00361E87"/>
    <w:rsid w:val="00364F3C"/>
    <w:rsid w:val="00365B45"/>
    <w:rsid w:val="003945BD"/>
    <w:rsid w:val="00396478"/>
    <w:rsid w:val="003A6F6C"/>
    <w:rsid w:val="003A7C6C"/>
    <w:rsid w:val="003B1D4A"/>
    <w:rsid w:val="003B61A8"/>
    <w:rsid w:val="003C0B2F"/>
    <w:rsid w:val="003C3971"/>
    <w:rsid w:val="003D0D22"/>
    <w:rsid w:val="003D25B9"/>
    <w:rsid w:val="003D78DF"/>
    <w:rsid w:val="003E7C20"/>
    <w:rsid w:val="003F4394"/>
    <w:rsid w:val="004005AF"/>
    <w:rsid w:val="004009B5"/>
    <w:rsid w:val="00404BAB"/>
    <w:rsid w:val="00414904"/>
    <w:rsid w:val="004239C7"/>
    <w:rsid w:val="00424BFB"/>
    <w:rsid w:val="00430B28"/>
    <w:rsid w:val="00442BAD"/>
    <w:rsid w:val="004544AB"/>
    <w:rsid w:val="0046474F"/>
    <w:rsid w:val="00473408"/>
    <w:rsid w:val="0048156F"/>
    <w:rsid w:val="00483DA2"/>
    <w:rsid w:val="00487685"/>
    <w:rsid w:val="00487CD0"/>
    <w:rsid w:val="004916EC"/>
    <w:rsid w:val="00497BFA"/>
    <w:rsid w:val="004A4210"/>
    <w:rsid w:val="004B161B"/>
    <w:rsid w:val="004B1E20"/>
    <w:rsid w:val="004B372C"/>
    <w:rsid w:val="004B5078"/>
    <w:rsid w:val="004B6524"/>
    <w:rsid w:val="004C2B77"/>
    <w:rsid w:val="004C43A9"/>
    <w:rsid w:val="004C504E"/>
    <w:rsid w:val="004D3578"/>
    <w:rsid w:val="004D790F"/>
    <w:rsid w:val="004E02C8"/>
    <w:rsid w:val="004E064E"/>
    <w:rsid w:val="004E0C1D"/>
    <w:rsid w:val="004E1990"/>
    <w:rsid w:val="004E213A"/>
    <w:rsid w:val="004E29CC"/>
    <w:rsid w:val="004E30BD"/>
    <w:rsid w:val="004F09BB"/>
    <w:rsid w:val="004F15BF"/>
    <w:rsid w:val="004F4D5A"/>
    <w:rsid w:val="0050527A"/>
    <w:rsid w:val="00522A13"/>
    <w:rsid w:val="00543E6C"/>
    <w:rsid w:val="0054452C"/>
    <w:rsid w:val="005450B3"/>
    <w:rsid w:val="00545926"/>
    <w:rsid w:val="00562810"/>
    <w:rsid w:val="00565087"/>
    <w:rsid w:val="00566B94"/>
    <w:rsid w:val="00567D27"/>
    <w:rsid w:val="00573683"/>
    <w:rsid w:val="005743B5"/>
    <w:rsid w:val="00583780"/>
    <w:rsid w:val="00585D55"/>
    <w:rsid w:val="00592A9D"/>
    <w:rsid w:val="00594E26"/>
    <w:rsid w:val="005A05E9"/>
    <w:rsid w:val="005A24B0"/>
    <w:rsid w:val="005B3C73"/>
    <w:rsid w:val="005B4A0A"/>
    <w:rsid w:val="005C2897"/>
    <w:rsid w:val="005C7173"/>
    <w:rsid w:val="005D2E01"/>
    <w:rsid w:val="005D3EE8"/>
    <w:rsid w:val="00600538"/>
    <w:rsid w:val="00612061"/>
    <w:rsid w:val="00614FDF"/>
    <w:rsid w:val="00617500"/>
    <w:rsid w:val="006201FB"/>
    <w:rsid w:val="00622FAC"/>
    <w:rsid w:val="00625621"/>
    <w:rsid w:val="0062745C"/>
    <w:rsid w:val="006437A9"/>
    <w:rsid w:val="00643DFE"/>
    <w:rsid w:val="00652641"/>
    <w:rsid w:val="00662D0B"/>
    <w:rsid w:val="006639DB"/>
    <w:rsid w:val="00674E7D"/>
    <w:rsid w:val="00676D0B"/>
    <w:rsid w:val="00680EB9"/>
    <w:rsid w:val="00697968"/>
    <w:rsid w:val="006B6F82"/>
    <w:rsid w:val="006D1100"/>
    <w:rsid w:val="006E5C86"/>
    <w:rsid w:val="006E7CDA"/>
    <w:rsid w:val="00700223"/>
    <w:rsid w:val="00704187"/>
    <w:rsid w:val="00705C5B"/>
    <w:rsid w:val="00713B5D"/>
    <w:rsid w:val="007148E4"/>
    <w:rsid w:val="00714AEA"/>
    <w:rsid w:val="007170B2"/>
    <w:rsid w:val="00721088"/>
    <w:rsid w:val="00734A5B"/>
    <w:rsid w:val="007374F0"/>
    <w:rsid w:val="00744E76"/>
    <w:rsid w:val="00753179"/>
    <w:rsid w:val="00755D3D"/>
    <w:rsid w:val="007577CB"/>
    <w:rsid w:val="00767943"/>
    <w:rsid w:val="00771315"/>
    <w:rsid w:val="00781F0F"/>
    <w:rsid w:val="00784A3A"/>
    <w:rsid w:val="007911B1"/>
    <w:rsid w:val="00794300"/>
    <w:rsid w:val="007A0F21"/>
    <w:rsid w:val="007A2E78"/>
    <w:rsid w:val="007A379B"/>
    <w:rsid w:val="007A65EF"/>
    <w:rsid w:val="007B4A73"/>
    <w:rsid w:val="007C4C45"/>
    <w:rsid w:val="007D0E4D"/>
    <w:rsid w:val="007D2CF1"/>
    <w:rsid w:val="007E5660"/>
    <w:rsid w:val="007F1208"/>
    <w:rsid w:val="007F52D4"/>
    <w:rsid w:val="008028A4"/>
    <w:rsid w:val="00805820"/>
    <w:rsid w:val="00820819"/>
    <w:rsid w:val="00823B7D"/>
    <w:rsid w:val="00826F97"/>
    <w:rsid w:val="00830AC0"/>
    <w:rsid w:val="00836DCC"/>
    <w:rsid w:val="00843454"/>
    <w:rsid w:val="00843898"/>
    <w:rsid w:val="00850B16"/>
    <w:rsid w:val="008724E3"/>
    <w:rsid w:val="00872E34"/>
    <w:rsid w:val="0087649D"/>
    <w:rsid w:val="008768CA"/>
    <w:rsid w:val="00881C2D"/>
    <w:rsid w:val="008877E6"/>
    <w:rsid w:val="00897C90"/>
    <w:rsid w:val="008A5440"/>
    <w:rsid w:val="008B087F"/>
    <w:rsid w:val="008B568A"/>
    <w:rsid w:val="008B735F"/>
    <w:rsid w:val="008C0085"/>
    <w:rsid w:val="008C009E"/>
    <w:rsid w:val="008C2529"/>
    <w:rsid w:val="008D1582"/>
    <w:rsid w:val="008D18BD"/>
    <w:rsid w:val="008D60D3"/>
    <w:rsid w:val="008F63C7"/>
    <w:rsid w:val="008F6912"/>
    <w:rsid w:val="0090228B"/>
    <w:rsid w:val="0090271F"/>
    <w:rsid w:val="00902E23"/>
    <w:rsid w:val="00903F6C"/>
    <w:rsid w:val="0090598A"/>
    <w:rsid w:val="00907978"/>
    <w:rsid w:val="009123DC"/>
    <w:rsid w:val="0091348E"/>
    <w:rsid w:val="00917CCB"/>
    <w:rsid w:val="009228DF"/>
    <w:rsid w:val="009235A0"/>
    <w:rsid w:val="00924543"/>
    <w:rsid w:val="0092774C"/>
    <w:rsid w:val="00935F9E"/>
    <w:rsid w:val="00942EC2"/>
    <w:rsid w:val="00944C13"/>
    <w:rsid w:val="00950178"/>
    <w:rsid w:val="00973047"/>
    <w:rsid w:val="00974355"/>
    <w:rsid w:val="00980CC7"/>
    <w:rsid w:val="00983B31"/>
    <w:rsid w:val="00994A57"/>
    <w:rsid w:val="00996BD1"/>
    <w:rsid w:val="009A2D2D"/>
    <w:rsid w:val="009A7997"/>
    <w:rsid w:val="009B13F6"/>
    <w:rsid w:val="009B5100"/>
    <w:rsid w:val="009B63EC"/>
    <w:rsid w:val="009C621B"/>
    <w:rsid w:val="009E79A9"/>
    <w:rsid w:val="009F37B7"/>
    <w:rsid w:val="00A10F02"/>
    <w:rsid w:val="00A11479"/>
    <w:rsid w:val="00A164B4"/>
    <w:rsid w:val="00A30D43"/>
    <w:rsid w:val="00A53724"/>
    <w:rsid w:val="00A56210"/>
    <w:rsid w:val="00A61A43"/>
    <w:rsid w:val="00A6396C"/>
    <w:rsid w:val="00A6421D"/>
    <w:rsid w:val="00A712F6"/>
    <w:rsid w:val="00A82346"/>
    <w:rsid w:val="00A85A1E"/>
    <w:rsid w:val="00A92BFF"/>
    <w:rsid w:val="00A96D4F"/>
    <w:rsid w:val="00AA3CEE"/>
    <w:rsid w:val="00AA5CDB"/>
    <w:rsid w:val="00AB0B6C"/>
    <w:rsid w:val="00AB4D79"/>
    <w:rsid w:val="00AC17A1"/>
    <w:rsid w:val="00AC261A"/>
    <w:rsid w:val="00AE7A6F"/>
    <w:rsid w:val="00AF09C5"/>
    <w:rsid w:val="00AF2382"/>
    <w:rsid w:val="00B007B4"/>
    <w:rsid w:val="00B1366D"/>
    <w:rsid w:val="00B14246"/>
    <w:rsid w:val="00B15449"/>
    <w:rsid w:val="00B357E8"/>
    <w:rsid w:val="00B476B7"/>
    <w:rsid w:val="00B520F6"/>
    <w:rsid w:val="00B53A5D"/>
    <w:rsid w:val="00B56EBE"/>
    <w:rsid w:val="00B57386"/>
    <w:rsid w:val="00B65D99"/>
    <w:rsid w:val="00B72B8B"/>
    <w:rsid w:val="00B83038"/>
    <w:rsid w:val="00B844C2"/>
    <w:rsid w:val="00B860D1"/>
    <w:rsid w:val="00B91F3D"/>
    <w:rsid w:val="00B96C0C"/>
    <w:rsid w:val="00BA07C4"/>
    <w:rsid w:val="00BB5D76"/>
    <w:rsid w:val="00BC0F7D"/>
    <w:rsid w:val="00BE48AB"/>
    <w:rsid w:val="00BE52E9"/>
    <w:rsid w:val="00BF1095"/>
    <w:rsid w:val="00BF1C81"/>
    <w:rsid w:val="00C137D6"/>
    <w:rsid w:val="00C13B72"/>
    <w:rsid w:val="00C14060"/>
    <w:rsid w:val="00C14D90"/>
    <w:rsid w:val="00C17A60"/>
    <w:rsid w:val="00C30583"/>
    <w:rsid w:val="00C32F9A"/>
    <w:rsid w:val="00C33079"/>
    <w:rsid w:val="00C34DE2"/>
    <w:rsid w:val="00C371B3"/>
    <w:rsid w:val="00C414FB"/>
    <w:rsid w:val="00C42BB9"/>
    <w:rsid w:val="00C45231"/>
    <w:rsid w:val="00C57678"/>
    <w:rsid w:val="00C6035E"/>
    <w:rsid w:val="00C70921"/>
    <w:rsid w:val="00C71C42"/>
    <w:rsid w:val="00C72833"/>
    <w:rsid w:val="00C84709"/>
    <w:rsid w:val="00C90136"/>
    <w:rsid w:val="00C92C8B"/>
    <w:rsid w:val="00C93F40"/>
    <w:rsid w:val="00C94161"/>
    <w:rsid w:val="00C95063"/>
    <w:rsid w:val="00CA14AB"/>
    <w:rsid w:val="00CA3B1D"/>
    <w:rsid w:val="00CA3D0C"/>
    <w:rsid w:val="00CA3D41"/>
    <w:rsid w:val="00CA47BF"/>
    <w:rsid w:val="00CA5D67"/>
    <w:rsid w:val="00CA7F39"/>
    <w:rsid w:val="00CB380A"/>
    <w:rsid w:val="00CB53F2"/>
    <w:rsid w:val="00CB7205"/>
    <w:rsid w:val="00CC3F7F"/>
    <w:rsid w:val="00CC4241"/>
    <w:rsid w:val="00CD110C"/>
    <w:rsid w:val="00CD2E52"/>
    <w:rsid w:val="00CD3ADD"/>
    <w:rsid w:val="00CE0A96"/>
    <w:rsid w:val="00CE15AD"/>
    <w:rsid w:val="00D002B8"/>
    <w:rsid w:val="00D01FD2"/>
    <w:rsid w:val="00D11B3A"/>
    <w:rsid w:val="00D15384"/>
    <w:rsid w:val="00D2544C"/>
    <w:rsid w:val="00D40296"/>
    <w:rsid w:val="00D4435B"/>
    <w:rsid w:val="00D4682F"/>
    <w:rsid w:val="00D56778"/>
    <w:rsid w:val="00D61A39"/>
    <w:rsid w:val="00D6374A"/>
    <w:rsid w:val="00D667C9"/>
    <w:rsid w:val="00D738D6"/>
    <w:rsid w:val="00D73B1C"/>
    <w:rsid w:val="00D755EB"/>
    <w:rsid w:val="00D76F27"/>
    <w:rsid w:val="00D84C12"/>
    <w:rsid w:val="00D87E00"/>
    <w:rsid w:val="00D90E69"/>
    <w:rsid w:val="00D9134D"/>
    <w:rsid w:val="00D938AE"/>
    <w:rsid w:val="00D96451"/>
    <w:rsid w:val="00DA05EA"/>
    <w:rsid w:val="00DA2DBA"/>
    <w:rsid w:val="00DA7A03"/>
    <w:rsid w:val="00DA7EE6"/>
    <w:rsid w:val="00DB0634"/>
    <w:rsid w:val="00DB1818"/>
    <w:rsid w:val="00DB3230"/>
    <w:rsid w:val="00DC309B"/>
    <w:rsid w:val="00DC4DA2"/>
    <w:rsid w:val="00DC5328"/>
    <w:rsid w:val="00DC6445"/>
    <w:rsid w:val="00DD604C"/>
    <w:rsid w:val="00DF168B"/>
    <w:rsid w:val="00DF2B1F"/>
    <w:rsid w:val="00DF3BBF"/>
    <w:rsid w:val="00DF4A94"/>
    <w:rsid w:val="00DF62CD"/>
    <w:rsid w:val="00E10463"/>
    <w:rsid w:val="00E13370"/>
    <w:rsid w:val="00E14064"/>
    <w:rsid w:val="00E1628A"/>
    <w:rsid w:val="00E20B05"/>
    <w:rsid w:val="00E33C31"/>
    <w:rsid w:val="00E35088"/>
    <w:rsid w:val="00E41A5A"/>
    <w:rsid w:val="00E41C4A"/>
    <w:rsid w:val="00E448DE"/>
    <w:rsid w:val="00E468C1"/>
    <w:rsid w:val="00E569B7"/>
    <w:rsid w:val="00E65DB1"/>
    <w:rsid w:val="00E72121"/>
    <w:rsid w:val="00E73ED1"/>
    <w:rsid w:val="00E77645"/>
    <w:rsid w:val="00E836B5"/>
    <w:rsid w:val="00E84A7A"/>
    <w:rsid w:val="00E92665"/>
    <w:rsid w:val="00E962F3"/>
    <w:rsid w:val="00E97B49"/>
    <w:rsid w:val="00EA48F4"/>
    <w:rsid w:val="00EA7C61"/>
    <w:rsid w:val="00EA7EEC"/>
    <w:rsid w:val="00EB298D"/>
    <w:rsid w:val="00EB4D54"/>
    <w:rsid w:val="00EB5786"/>
    <w:rsid w:val="00EC4A25"/>
    <w:rsid w:val="00EC5C2C"/>
    <w:rsid w:val="00ED28DC"/>
    <w:rsid w:val="00EF1994"/>
    <w:rsid w:val="00EF1FC5"/>
    <w:rsid w:val="00EF3656"/>
    <w:rsid w:val="00EF3DD2"/>
    <w:rsid w:val="00EF5738"/>
    <w:rsid w:val="00F025A2"/>
    <w:rsid w:val="00F03195"/>
    <w:rsid w:val="00F04712"/>
    <w:rsid w:val="00F22EC7"/>
    <w:rsid w:val="00F26CEE"/>
    <w:rsid w:val="00F37042"/>
    <w:rsid w:val="00F414F4"/>
    <w:rsid w:val="00F42607"/>
    <w:rsid w:val="00F4610B"/>
    <w:rsid w:val="00F5504D"/>
    <w:rsid w:val="00F56386"/>
    <w:rsid w:val="00F57C52"/>
    <w:rsid w:val="00F653B8"/>
    <w:rsid w:val="00F719D8"/>
    <w:rsid w:val="00F75673"/>
    <w:rsid w:val="00F85983"/>
    <w:rsid w:val="00F86020"/>
    <w:rsid w:val="00F90E06"/>
    <w:rsid w:val="00F92484"/>
    <w:rsid w:val="00F94939"/>
    <w:rsid w:val="00FA1266"/>
    <w:rsid w:val="00FA19F6"/>
    <w:rsid w:val="00FA5947"/>
    <w:rsid w:val="00FA78B4"/>
    <w:rsid w:val="00FB2999"/>
    <w:rsid w:val="00FC1192"/>
    <w:rsid w:val="00FC7CBC"/>
    <w:rsid w:val="00FE11B9"/>
    <w:rsid w:val="00FE181B"/>
    <w:rsid w:val="00FF1F52"/>
    <w:rsid w:val="00FF2159"/>
    <w:rsid w:val="00FF2670"/>
    <w:rsid w:val="00FF52F5"/>
    <w:rsid w:val="00FF7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6124CEC"/>
  <w15:chartTrackingRefBased/>
  <w15:docId w15:val="{9DD855EC-6C35-954F-ADE2-04D6AD93F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8" w:uiPriority="39"/>
    <w:lsdException w:name="caption" w:semiHidden="1" w:unhideWhenUsed="1" w:qFormat="1"/>
    <w:lsdException w:name="Title" w:qFormat="1"/>
    <w:lsdException w:name="Default Paragraph Font" w:uiPriority="1"/>
    <w:lsdException w:name="Body Text" w:uiPriority="99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No List" w:uiPriority="99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7E5660"/>
    <w:pPr>
      <w:spacing w:after="180"/>
    </w:pPr>
    <w:rPr>
      <w:lang w:val="en-GB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TALChar">
    <w:name w:val="TAL Char"/>
    <w:link w:val="TAL"/>
    <w:rsid w:val="009B5100"/>
    <w:rPr>
      <w:rFonts w:ascii="Arial" w:hAnsi="Arial"/>
      <w:sz w:val="18"/>
      <w:lang w:val="en-GB"/>
    </w:rPr>
  </w:style>
  <w:style w:type="paragraph" w:styleId="BodyText">
    <w:name w:val="Body Text"/>
    <w:basedOn w:val="Normal"/>
    <w:link w:val="BodyTextChar"/>
    <w:uiPriority w:val="99"/>
    <w:rsid w:val="009B13F6"/>
    <w:pPr>
      <w:spacing w:after="120"/>
    </w:pPr>
  </w:style>
  <w:style w:type="character" w:customStyle="1" w:styleId="BodyTextChar">
    <w:name w:val="Body Text Char"/>
    <w:link w:val="BodyText"/>
    <w:uiPriority w:val="99"/>
    <w:rsid w:val="009B13F6"/>
    <w:rPr>
      <w:lang w:val="en-GB"/>
    </w:rPr>
  </w:style>
  <w:style w:type="character" w:customStyle="1" w:styleId="THChar">
    <w:name w:val="TH Char"/>
    <w:link w:val="TH"/>
    <w:rsid w:val="000E1DEA"/>
    <w:rPr>
      <w:rFonts w:ascii="Arial" w:hAnsi="Arial"/>
      <w:b/>
      <w:lang w:val="en-GB"/>
    </w:rPr>
  </w:style>
  <w:style w:type="paragraph" w:styleId="Caption">
    <w:name w:val="caption"/>
    <w:basedOn w:val="Normal"/>
    <w:next w:val="Normal"/>
    <w:unhideWhenUsed/>
    <w:qFormat/>
    <w:rsid w:val="000E1DEA"/>
    <w:rPr>
      <w:b/>
      <w:bCs/>
    </w:rPr>
  </w:style>
  <w:style w:type="character" w:customStyle="1" w:styleId="TACChar">
    <w:name w:val="TAC Char"/>
    <w:link w:val="TAC"/>
    <w:rsid w:val="008B735F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8B735F"/>
    <w:rPr>
      <w:rFonts w:ascii="Arial" w:hAnsi="Arial"/>
      <w:b/>
      <w:sz w:val="18"/>
      <w:lang w:val="en-GB"/>
    </w:rPr>
  </w:style>
  <w:style w:type="paragraph" w:styleId="BalloonText">
    <w:name w:val="Balloon Text"/>
    <w:basedOn w:val="Normal"/>
    <w:link w:val="BalloonTextChar"/>
    <w:rsid w:val="000560C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560CC"/>
    <w:rPr>
      <w:rFonts w:ascii="Segoe UI" w:hAnsi="Segoe UI" w:cs="Segoe UI"/>
      <w:sz w:val="18"/>
      <w:szCs w:val="18"/>
      <w:lang w:val="en-GB"/>
    </w:rPr>
  </w:style>
  <w:style w:type="character" w:customStyle="1" w:styleId="HeaderChar">
    <w:name w:val="Header Char"/>
    <w:basedOn w:val="DefaultParagraphFont"/>
    <w:link w:val="Header"/>
    <w:rsid w:val="00567D27"/>
    <w:rPr>
      <w:rFonts w:ascii="Arial" w:hAnsi="Arial"/>
      <w:b/>
      <w:noProof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rsid w:val="00567D27"/>
    <w:rPr>
      <w:rFonts w:ascii="Arial" w:hAnsi="Arial"/>
      <w:b/>
      <w:i/>
      <w:noProof/>
      <w:sz w:val="18"/>
      <w:lang w:val="en-GB" w:eastAsia="ja-JP"/>
    </w:rPr>
  </w:style>
  <w:style w:type="paragraph" w:styleId="ListParagraph">
    <w:name w:val="List Paragraph"/>
    <w:basedOn w:val="Normal"/>
    <w:uiPriority w:val="34"/>
    <w:qFormat/>
    <w:rsid w:val="00A61A43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B1366D"/>
    <w:rPr>
      <w:color w:val="808080"/>
    </w:rPr>
  </w:style>
  <w:style w:type="character" w:styleId="CommentReference">
    <w:name w:val="annotation reference"/>
    <w:basedOn w:val="DefaultParagraphFont"/>
    <w:rsid w:val="00680EB9"/>
    <w:rPr>
      <w:sz w:val="16"/>
      <w:szCs w:val="16"/>
    </w:rPr>
  </w:style>
  <w:style w:type="paragraph" w:styleId="CommentText">
    <w:name w:val="annotation text"/>
    <w:basedOn w:val="Normal"/>
    <w:link w:val="CommentTextChar"/>
    <w:rsid w:val="00680EB9"/>
  </w:style>
  <w:style w:type="character" w:customStyle="1" w:styleId="CommentTextChar">
    <w:name w:val="Comment Text Char"/>
    <w:basedOn w:val="DefaultParagraphFont"/>
    <w:link w:val="CommentText"/>
    <w:rsid w:val="00680EB9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680E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680EB9"/>
    <w:rPr>
      <w:b/>
      <w:bCs/>
      <w:lang w:val="en-GB" w:eastAsia="en-US"/>
    </w:rPr>
  </w:style>
  <w:style w:type="paragraph" w:styleId="Revision">
    <w:name w:val="Revision"/>
    <w:hidden/>
    <w:uiPriority w:val="99"/>
    <w:semiHidden/>
    <w:rsid w:val="00AE7A6F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10" Type="http://schemas.openxmlformats.org/officeDocument/2006/relationships/settings" Target="settings.xml"/><Relationship Id="rId19" Type="http://schemas.openxmlformats.org/officeDocument/2006/relationships/header" Target="head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7" ma:contentTypeDescription="EriCOLL Document Content Type" ma:contentTypeScope="" ma:versionID="739d2f636e39e9a551bf355cfcc6c808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1e35b163101ff499a3341865be97ef98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166a696-7b5b-4ccd-9f0c-ffde0cceec81">5NUHHDQN7SK2-1476151046-112877</_dlc_DocId>
    <_dlc_DocIdUrl xmlns="f166a696-7b5b-4ccd-9f0c-ffde0cceec81">
      <Url>https://ericsson.sharepoint.com/sites/star/_layouts/15/DocIdRedir.aspx?ID=5NUHHDQN7SK2-1476151046-112877</Url>
      <Description>5NUHHDQN7SK2-1476151046-112877</Description>
    </_dlc_DocIdUrl>
    <TaxCatchAll xmlns="d8762117-8292-4133-b1c7-eab5c6487cfd">
      <Value>517</Value>
      <Value>5</Value>
      <Value>4</Value>
      <Value>565</Value>
      <Value>11</Value>
    </TaxCatchAll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&lt;keyword[</TermName>
          <TermId xmlns="http://schemas.microsoft.com/office/infopath/2007/PartnerControls">11111111-1111-1111-1111-111111111111</TermId>
        </TermInfo>
        <TermInfo xmlns="http://schemas.microsoft.com/office/infopath/2007/PartnerControls">
          <TermName xmlns="http://schemas.microsoft.com/office/infopath/2007/PartnerControls">keyword</TermName>
          <TermId xmlns="http://schemas.microsoft.com/office/infopath/2007/PartnerControls">11111111-1111-1111-1111-111111111111</TermId>
        </TermInfo>
        <TermInfo xmlns="http://schemas.microsoft.com/office/infopath/2007/PartnerControls">
          <TermName xmlns="http://schemas.microsoft.com/office/infopath/2007/PartnerControls">]&gt;</TermName>
          <TermId xmlns="http://schemas.microsoft.com/office/infopath/2007/PartnerControls">11111111-1111-1111-1111-111111111111</TermId>
        </TermInfo>
      </Terms>
    </TaxKeywordTaxHTField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_dlc_DocIdPersistId xmlns="f166a696-7b5b-4ccd-9f0c-ffde0cceec81" xsi:nil="true"/>
    <Prepared. xmlns="611109f9-ed58-4498-a270-1fb2086a5321" xsi:nil="true"/>
    <_Flow_SignoffStatus xmlns="611109f9-ed58-4498-a270-1fb2086a5321" xsi:nil="true"/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C6A2B2-6196-46F5-808B-9D0F372728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E994276-E96E-4602-AB99-CC0A9AEE8F6C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9E607419-8B5E-45B5-8DFB-1FD843F3D5E5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0094FA2A-B452-4D15-9F94-B6F1E57412C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458E185-086B-4CC8-8132-CE4FB26420A8}">
  <ds:schemaRefs>
    <ds:schemaRef ds:uri="http://schemas.microsoft.com/office/2006/metadata/properties"/>
    <ds:schemaRef ds:uri="http://schemas.microsoft.com/office/infopath/2007/PartnerControls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6.xml><?xml version="1.0" encoding="utf-8"?>
<ds:datastoreItem xmlns:ds="http://schemas.openxmlformats.org/officeDocument/2006/customXml" ds:itemID="{1AD632EC-8EF4-4079-83ED-C222EF6DCF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18</TotalTime>
  <Pages>8</Pages>
  <Words>1688</Words>
  <Characters>11637</Characters>
  <Application>Microsoft Office Word</Application>
  <DocSecurity>0</DocSecurity>
  <Lines>96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13299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dc:description/>
  <cp:lastModifiedBy>Torbjörn Elfström</cp:lastModifiedBy>
  <cp:revision>19</cp:revision>
  <dcterms:created xsi:type="dcterms:W3CDTF">2019-11-07T17:09:00Z</dcterms:created>
  <dcterms:modified xsi:type="dcterms:W3CDTF">2019-11-08T13:32:00Z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riCOLLCategory">
    <vt:lpwstr>4;##Research|7f1f7aab-c784-40ec-8666-825d2ac7abef</vt:lpwstr>
  </property>
  <property fmtid="{D5CDD505-2E9C-101B-9397-08002B2CF9AE}" pid="3" name="TaxKeyword">
    <vt:lpwstr>12;#keyword|11111111-1111-1111-1111-111111111111</vt:lpwstr>
  </property>
  <property fmtid="{D5CDD505-2E9C-101B-9397-08002B2CF9AE}" pid="4" name="ContentTypeId">
    <vt:lpwstr>0x010100C5F30C9B16E14C8EACE5F2CC7B7AC7F400F5862E332FC6CE449700A00A9FC83FBA</vt:lpwstr>
  </property>
  <property fmtid="{D5CDD505-2E9C-101B-9397-08002B2CF9AE}" pid="5" name="EriCOLLOrganizationUnit">
    <vt:lpwstr>5;##GFTE ER Radio Access Technologies|692a7af5-c1f7-4d68-b1ab-a7920dfecb78</vt:lpwstr>
  </property>
  <property fmtid="{D5CDD505-2E9C-101B-9397-08002B2CF9AE}" pid="6" name="_dlc_DocIdItemGuid">
    <vt:lpwstr>bbc179c5-69cf-4ff8-abe6-c32f16b49dc3</vt:lpwstr>
  </property>
</Properties>
</file>