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8F6A2" w14:textId="09BF6926" w:rsidR="001F4B45" w:rsidRPr="00DB3907" w:rsidRDefault="001F4B45" w:rsidP="001F4B45">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#93</w:t>
      </w:r>
      <w:r w:rsidRPr="00DB3907">
        <w:rPr>
          <w:rFonts w:cs="Arial"/>
          <w:sz w:val="24"/>
          <w:szCs w:val="24"/>
          <w:lang w:val="de-DE"/>
        </w:rPr>
        <w:tab/>
        <w:t>R4-</w:t>
      </w:r>
      <w:r>
        <w:rPr>
          <w:rFonts w:cs="Arial"/>
          <w:sz w:val="24"/>
          <w:szCs w:val="24"/>
          <w:lang w:val="de-DE"/>
        </w:rPr>
        <w:t>191</w:t>
      </w:r>
      <w:r w:rsidR="00F71BF1">
        <w:rPr>
          <w:rFonts w:cs="Arial"/>
          <w:sz w:val="24"/>
          <w:szCs w:val="24"/>
          <w:lang w:val="de-DE"/>
        </w:rPr>
        <w:t>3833</w:t>
      </w:r>
    </w:p>
    <w:p w14:paraId="434A8CB4" w14:textId="77777777" w:rsidR="001F4B45" w:rsidRPr="00DB3907" w:rsidRDefault="001F4B45" w:rsidP="001F4B45">
      <w:pPr>
        <w:pStyle w:val="Header"/>
        <w:tabs>
          <w:tab w:val="left" w:pos="6521"/>
        </w:tabs>
        <w:rPr>
          <w:rFonts w:cs="Arial"/>
          <w:sz w:val="24"/>
          <w:szCs w:val="24"/>
        </w:rPr>
      </w:pPr>
      <w:r>
        <w:rPr>
          <w:rFonts w:cs="Arial"/>
          <w:sz w:val="24"/>
          <w:szCs w:val="24"/>
        </w:rPr>
        <w:t>November 18</w:t>
      </w:r>
      <w:r>
        <w:rPr>
          <w:rFonts w:cs="Arial"/>
          <w:sz w:val="24"/>
          <w:szCs w:val="24"/>
          <w:vertAlign w:val="superscript"/>
        </w:rPr>
        <w:t>th</w:t>
      </w:r>
      <w:r>
        <w:rPr>
          <w:rFonts w:cs="Arial"/>
          <w:sz w:val="24"/>
          <w:szCs w:val="24"/>
        </w:rPr>
        <w:t xml:space="preserve"> ‒ 22</w:t>
      </w:r>
      <w:r>
        <w:rPr>
          <w:rFonts w:cs="Arial"/>
          <w:sz w:val="24"/>
          <w:szCs w:val="24"/>
          <w:vertAlign w:val="superscript"/>
        </w:rPr>
        <w:t>nd</w:t>
      </w:r>
      <w:r>
        <w:rPr>
          <w:rFonts w:cs="Arial"/>
          <w:sz w:val="24"/>
          <w:szCs w:val="24"/>
        </w:rPr>
        <w:t>, 2019</w:t>
      </w:r>
    </w:p>
    <w:p w14:paraId="1E04A5CB" w14:textId="77777777" w:rsidR="001F4B45" w:rsidRPr="00DB3907" w:rsidRDefault="001F4B45" w:rsidP="001F4B45">
      <w:pPr>
        <w:pStyle w:val="Header"/>
        <w:rPr>
          <w:rFonts w:cs="Arial"/>
          <w:sz w:val="24"/>
          <w:szCs w:val="24"/>
        </w:rPr>
      </w:pPr>
      <w:r>
        <w:rPr>
          <w:rFonts w:cs="Arial"/>
          <w:sz w:val="24"/>
          <w:szCs w:val="24"/>
        </w:rPr>
        <w:t>Reno, NV, US</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F5E4744"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F71BF1">
        <w:rPr>
          <w:rFonts w:ascii="Arial" w:hAnsi="Arial"/>
          <w:sz w:val="24"/>
          <w:lang w:val="en-US"/>
        </w:rPr>
        <w:t>11.3.1</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11DAB90C"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A7D0F">
        <w:rPr>
          <w:rFonts w:ascii="Arial" w:hAnsi="Arial"/>
          <w:sz w:val="24"/>
          <w:lang w:val="en-US"/>
        </w:rPr>
        <w:t>FDD-TDD EN-DC reporting options</w:t>
      </w:r>
    </w:p>
    <w:p w14:paraId="013F978F" w14:textId="1891E628"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F0573E">
        <w:rPr>
          <w:rFonts w:ascii="Arial" w:hAnsi="Arial"/>
          <w:sz w:val="24"/>
          <w:lang w:val="en-US"/>
        </w:rPr>
        <w:t>Discussion</w:t>
      </w:r>
    </w:p>
    <w:p w14:paraId="7FA5F78D" w14:textId="77777777" w:rsidR="000A1A85" w:rsidRDefault="000E0602" w:rsidP="00453273">
      <w:pPr>
        <w:pStyle w:val="Heading1"/>
        <w:tabs>
          <w:tab w:val="clear" w:pos="432"/>
          <w:tab w:val="num" w:pos="522"/>
        </w:tabs>
        <w:ind w:left="522" w:hanging="522"/>
        <w:rPr>
          <w:lang w:val="en-US"/>
        </w:rPr>
      </w:pPr>
      <w:r>
        <w:rPr>
          <w:lang w:val="en-US"/>
        </w:rPr>
        <w:t>Introduction</w:t>
      </w:r>
    </w:p>
    <w:p w14:paraId="5BC0AA6E" w14:textId="7CC19FEA" w:rsidR="001F4B45" w:rsidRDefault="00D86600" w:rsidP="00E12531">
      <w:pPr>
        <w:rPr>
          <w:lang w:val="en-US"/>
        </w:rPr>
      </w:pPr>
      <w:r>
        <w:rPr>
          <w:lang w:val="en-US"/>
        </w:rPr>
        <w:t>Six options for reporting of FDD-TDD</w:t>
      </w:r>
      <w:r w:rsidR="00EC6C1E">
        <w:rPr>
          <w:lang w:val="en-US"/>
        </w:rPr>
        <w:t xml:space="preserve"> have been discussed.  This contribution compares options 1, 3, 5, and 6 and suggests </w:t>
      </w:r>
      <w:proofErr w:type="gramStart"/>
      <w:r w:rsidR="00EC6C1E">
        <w:rPr>
          <w:lang w:val="en-US"/>
        </w:rPr>
        <w:t>to select</w:t>
      </w:r>
      <w:proofErr w:type="gramEnd"/>
      <w:r w:rsidR="00EC6C1E">
        <w:rPr>
          <w:lang w:val="en-US"/>
        </w:rPr>
        <w:t xml:space="preserve"> option 1 at the conclusion of the study item.</w:t>
      </w:r>
    </w:p>
    <w:p w14:paraId="10F6602E" w14:textId="75AD8D33" w:rsidR="007E1E78" w:rsidRDefault="007E1E78" w:rsidP="0099327E">
      <w:pPr>
        <w:pStyle w:val="Heading1"/>
        <w:tabs>
          <w:tab w:val="clear" w:pos="432"/>
          <w:tab w:val="num" w:pos="522"/>
        </w:tabs>
        <w:ind w:left="522" w:hanging="522"/>
        <w:rPr>
          <w:lang w:val="en-US"/>
        </w:rPr>
      </w:pPr>
      <w:r>
        <w:rPr>
          <w:lang w:val="en-US"/>
        </w:rPr>
        <w:t>Discussion</w:t>
      </w:r>
    </w:p>
    <w:p w14:paraId="078FF7DD" w14:textId="170F058B" w:rsidR="00563530" w:rsidRDefault="00D86600" w:rsidP="00981ED4">
      <w:pPr>
        <w:rPr>
          <w:lang w:val="en-US"/>
        </w:rPr>
      </w:pPr>
      <w:r>
        <w:rPr>
          <w:lang w:val="en-US"/>
        </w:rPr>
        <w:t>In [1] six options for UE capability reporting with respect to transmit duty cycle were provided for down</w:t>
      </w:r>
      <w:r w:rsidR="003D6F23">
        <w:rPr>
          <w:lang w:val="en-US"/>
        </w:rPr>
        <w:t>-</w:t>
      </w:r>
      <w:r>
        <w:rPr>
          <w:lang w:val="en-US"/>
        </w:rPr>
        <w:t>selection.  During RAN4 #92bis as documented in [2], it was agreed that among options 1, 3, and 5, one of these should be further down</w:t>
      </w:r>
      <w:r w:rsidR="005B7671">
        <w:rPr>
          <w:lang w:val="en-US"/>
        </w:rPr>
        <w:t>-</w:t>
      </w:r>
      <w:r>
        <w:rPr>
          <w:lang w:val="en-US"/>
        </w:rPr>
        <w:t>selected to include in the TR.  The selection criteria should include specification impact, BS and UE implementation, and flexibility.  Furthermore, whether option 6 in addition to one of the options 1, 3, or 5</w:t>
      </w:r>
      <w:r w:rsidR="001A4C0D">
        <w:rPr>
          <w:lang w:val="en-US"/>
        </w:rPr>
        <w:t xml:space="preserve"> could be included in the TR is subject to further discussion due to open issues.</w:t>
      </w:r>
    </w:p>
    <w:p w14:paraId="6F8E051E" w14:textId="77777777" w:rsidR="001A4C0D" w:rsidRDefault="001A4C0D" w:rsidP="00981ED4">
      <w:pPr>
        <w:rPr>
          <w:lang w:val="en-US"/>
        </w:rPr>
      </w:pPr>
      <w:r>
        <w:rPr>
          <w:lang w:val="en-US"/>
        </w:rPr>
        <w:t>Firstly, the options 1 – 5 all reflect a UE reporting mechanism based on the following equation</w:t>
      </w:r>
    </w:p>
    <w:p w14:paraId="14AE74EC" w14:textId="21C1AF40" w:rsidR="001A4C0D" w:rsidRPr="001A4C0D" w:rsidRDefault="001A4C0D" w:rsidP="001A4C0D">
      <w:pPr>
        <w:ind w:firstLine="284"/>
        <w:rPr>
          <w:lang w:val="en-US"/>
        </w:rPr>
      </w:pPr>
      <w:proofErr w:type="spellStart"/>
      <w:r w:rsidRPr="001A4C0D">
        <w:rPr>
          <w:rFonts w:hint="eastAsia"/>
          <w:lang w:val="x-none"/>
        </w:rPr>
        <w:t>Duty</w:t>
      </w:r>
      <w:r w:rsidRPr="001A4C0D">
        <w:rPr>
          <w:rFonts w:hint="eastAsia"/>
          <w:vertAlign w:val="subscript"/>
          <w:lang w:val="x-none"/>
        </w:rPr>
        <w:t>LTE</w:t>
      </w:r>
      <w:proofErr w:type="spellEnd"/>
      <w:r w:rsidRPr="001A4C0D">
        <w:rPr>
          <w:rFonts w:hint="eastAsia"/>
          <w:lang w:val="en-US"/>
        </w:rPr>
        <w:t>*</w:t>
      </w:r>
      <w:r w:rsidRPr="001A4C0D">
        <w:rPr>
          <w:rFonts w:hint="eastAsia"/>
          <w:lang w:val="x-none"/>
        </w:rPr>
        <w:t>(P</w:t>
      </w:r>
      <w:r w:rsidRPr="001A4C0D">
        <w:rPr>
          <w:rFonts w:hint="eastAsia"/>
          <w:vertAlign w:val="subscript"/>
          <w:lang w:val="x-none"/>
        </w:rPr>
        <w:t>LTE</w:t>
      </w:r>
      <w:r w:rsidRPr="001A4C0D">
        <w:rPr>
          <w:rFonts w:hint="eastAsia"/>
          <w:lang w:val="x-none"/>
        </w:rPr>
        <w:t>/ P</w:t>
      </w:r>
      <w:r w:rsidRPr="001A4C0D">
        <w:rPr>
          <w:rFonts w:hint="eastAsia"/>
          <w:vertAlign w:val="subscript"/>
          <w:lang w:val="x-none"/>
        </w:rPr>
        <w:t>26</w:t>
      </w:r>
      <w:r w:rsidRPr="001A4C0D">
        <w:rPr>
          <w:rFonts w:hint="eastAsia"/>
          <w:lang w:val="x-none"/>
        </w:rPr>
        <w:t xml:space="preserve">) + </w:t>
      </w:r>
      <w:proofErr w:type="spellStart"/>
      <w:r w:rsidR="00D63FBA">
        <w:rPr>
          <w:lang w:val="en-US"/>
        </w:rPr>
        <w:t>SAR</w:t>
      </w:r>
      <w:r w:rsidR="00D63FBA" w:rsidRPr="00D63FBA">
        <w:rPr>
          <w:vertAlign w:val="subscript"/>
          <w:lang w:val="en-US"/>
        </w:rPr>
        <w:t>ratio</w:t>
      </w:r>
      <w:proofErr w:type="spellEnd"/>
      <w:r w:rsidR="00D63FBA">
        <w:rPr>
          <w:lang w:val="en-US"/>
        </w:rPr>
        <w:t>*</w:t>
      </w:r>
      <w:proofErr w:type="spellStart"/>
      <w:r w:rsidRPr="001A4C0D">
        <w:rPr>
          <w:rFonts w:hint="eastAsia"/>
          <w:lang w:val="x-none"/>
        </w:rPr>
        <w:t>Duty</w:t>
      </w:r>
      <w:r w:rsidRPr="001A4C0D">
        <w:rPr>
          <w:rFonts w:hint="eastAsia"/>
          <w:vertAlign w:val="subscript"/>
          <w:lang w:val="x-none"/>
        </w:rPr>
        <w:t>NR</w:t>
      </w:r>
      <w:proofErr w:type="spellEnd"/>
      <w:r w:rsidRPr="001A4C0D">
        <w:rPr>
          <w:rFonts w:hint="eastAsia"/>
          <w:lang w:val="en-US"/>
        </w:rPr>
        <w:t>*</w:t>
      </w:r>
      <w:r w:rsidRPr="001A4C0D">
        <w:rPr>
          <w:rFonts w:hint="eastAsia"/>
          <w:lang w:val="x-none"/>
        </w:rPr>
        <w:t>(P</w:t>
      </w:r>
      <w:r w:rsidRPr="001A4C0D">
        <w:rPr>
          <w:rFonts w:hint="eastAsia"/>
          <w:vertAlign w:val="subscript"/>
          <w:lang w:val="x-none"/>
        </w:rPr>
        <w:t>NR</w:t>
      </w:r>
      <w:r w:rsidRPr="001A4C0D">
        <w:rPr>
          <w:rFonts w:hint="eastAsia"/>
          <w:lang w:val="x-none"/>
        </w:rPr>
        <w:t>/ P</w:t>
      </w:r>
      <w:r w:rsidRPr="001A4C0D">
        <w:rPr>
          <w:rFonts w:hint="eastAsia"/>
          <w:vertAlign w:val="subscript"/>
          <w:lang w:val="x-none"/>
        </w:rPr>
        <w:t>26</w:t>
      </w:r>
      <w:r w:rsidRPr="001A4C0D">
        <w:rPr>
          <w:rFonts w:hint="eastAsia"/>
          <w:lang w:val="x-none"/>
        </w:rPr>
        <w:t>)</w:t>
      </w:r>
      <w:r w:rsidRPr="001A4C0D">
        <w:rPr>
          <w:rFonts w:hint="eastAsia"/>
          <w:lang w:val="en-US"/>
        </w:rPr>
        <w:t xml:space="preserve"> </w:t>
      </w:r>
      <w:r w:rsidRPr="001A4C0D">
        <w:rPr>
          <w:rFonts w:hint="eastAsia"/>
          <w:lang w:val="x-none"/>
        </w:rPr>
        <w:t xml:space="preserve">≤ </w:t>
      </w:r>
      <w:r w:rsidRPr="001A4C0D">
        <w:rPr>
          <w:rFonts w:hint="eastAsia"/>
          <w:i/>
          <w:iCs/>
          <w:lang w:val="en-US"/>
        </w:rPr>
        <w:t>Duty threshold</w:t>
      </w:r>
      <w:r w:rsidRPr="001A4C0D">
        <w:rPr>
          <w:rFonts w:hint="eastAsia"/>
          <w:i/>
          <w:iCs/>
          <w:lang w:val="x-none"/>
        </w:rPr>
        <w:t>…</w:t>
      </w:r>
    </w:p>
    <w:p w14:paraId="57A59CD8" w14:textId="5E61890E" w:rsidR="001A4C0D" w:rsidRDefault="005B7671" w:rsidP="00981ED4">
      <w:pPr>
        <w:rPr>
          <w:lang w:val="en-US"/>
        </w:rPr>
      </w:pPr>
      <w:r>
        <w:rPr>
          <w:lang w:val="en-US"/>
        </w:rPr>
        <w:t>w</w:t>
      </w:r>
      <w:r w:rsidR="001A4C0D">
        <w:rPr>
          <w:lang w:val="en-US"/>
        </w:rPr>
        <w:t xml:space="preserve">here </w:t>
      </w:r>
      <w:r w:rsidR="001A4C0D" w:rsidRPr="001A4C0D">
        <w:rPr>
          <w:lang w:val="en-US"/>
        </w:rPr>
        <w:t>P</w:t>
      </w:r>
      <w:r w:rsidR="001A4C0D" w:rsidRPr="001A4C0D">
        <w:rPr>
          <w:vertAlign w:val="subscript"/>
          <w:lang w:val="en-US"/>
        </w:rPr>
        <w:t>LTE</w:t>
      </w:r>
      <w:r w:rsidR="001A4C0D" w:rsidRPr="001A4C0D">
        <w:rPr>
          <w:lang w:val="en-US"/>
        </w:rPr>
        <w:t>, P</w:t>
      </w:r>
      <w:r w:rsidR="001A4C0D" w:rsidRPr="001A4C0D">
        <w:rPr>
          <w:vertAlign w:val="subscript"/>
          <w:lang w:val="en-US"/>
        </w:rPr>
        <w:t>NR</w:t>
      </w:r>
      <w:r w:rsidR="001A4C0D" w:rsidRPr="001A4C0D">
        <w:rPr>
          <w:lang w:val="en-US"/>
        </w:rPr>
        <w:t>, P</w:t>
      </w:r>
      <w:r w:rsidR="001A4C0D" w:rsidRPr="001A4C0D">
        <w:rPr>
          <w:vertAlign w:val="subscript"/>
          <w:lang w:val="en-US"/>
        </w:rPr>
        <w:t>26</w:t>
      </w:r>
      <w:r w:rsidR="001A4C0D" w:rsidRPr="001A4C0D">
        <w:rPr>
          <w:lang w:val="en-US"/>
        </w:rPr>
        <w:t xml:space="preserve"> represent the maximum linear power (</w:t>
      </w:r>
      <w:proofErr w:type="spellStart"/>
      <w:r w:rsidR="001A4C0D" w:rsidRPr="001A4C0D">
        <w:rPr>
          <w:lang w:val="en-US"/>
        </w:rPr>
        <w:t>mW</w:t>
      </w:r>
      <w:proofErr w:type="spellEnd"/>
      <w:r w:rsidR="001A4C0D" w:rsidRPr="001A4C0D">
        <w:rPr>
          <w:lang w:val="en-US"/>
        </w:rPr>
        <w:t xml:space="preserve">) of LTE, NR, and EN-DC power class 2 respectively; </w:t>
      </w:r>
      <w:proofErr w:type="spellStart"/>
      <w:r w:rsidR="001A4C0D" w:rsidRPr="001A4C0D">
        <w:rPr>
          <w:lang w:val="en-US"/>
        </w:rPr>
        <w:t>Duty</w:t>
      </w:r>
      <w:r w:rsidR="001A4C0D" w:rsidRPr="001A4C0D">
        <w:rPr>
          <w:vertAlign w:val="subscript"/>
          <w:lang w:val="en-US"/>
        </w:rPr>
        <w:t>LTE</w:t>
      </w:r>
      <w:proofErr w:type="spellEnd"/>
      <w:r w:rsidR="001A4C0D" w:rsidRPr="001A4C0D">
        <w:rPr>
          <w:lang w:val="en-US"/>
        </w:rPr>
        <w:t xml:space="preserve">, </w:t>
      </w:r>
      <w:proofErr w:type="spellStart"/>
      <w:r w:rsidR="001A4C0D" w:rsidRPr="001A4C0D">
        <w:rPr>
          <w:lang w:val="en-US"/>
        </w:rPr>
        <w:t>Duty</w:t>
      </w:r>
      <w:r w:rsidR="001A4C0D" w:rsidRPr="001A4C0D">
        <w:rPr>
          <w:vertAlign w:val="subscript"/>
          <w:lang w:val="en-US"/>
        </w:rPr>
        <w:t>NR</w:t>
      </w:r>
      <w:proofErr w:type="spellEnd"/>
      <w:r w:rsidR="001A4C0D" w:rsidRPr="001A4C0D">
        <w:rPr>
          <w:lang w:val="en-US"/>
        </w:rPr>
        <w:t xml:space="preserve"> represent the normalized uplink duty cycle of LTE and NR respectively</w:t>
      </w:r>
      <w:r w:rsidR="00375B53">
        <w:rPr>
          <w:lang w:val="en-US"/>
        </w:rPr>
        <w:t xml:space="preserve">, and </w:t>
      </w:r>
      <w:proofErr w:type="spellStart"/>
      <w:r w:rsidR="00375B53">
        <w:rPr>
          <w:lang w:val="en-US"/>
        </w:rPr>
        <w:t>SAR</w:t>
      </w:r>
      <w:r w:rsidR="00375B53" w:rsidRPr="00375B53">
        <w:rPr>
          <w:vertAlign w:val="subscript"/>
          <w:lang w:val="en-US"/>
        </w:rPr>
        <w:t>ratio</w:t>
      </w:r>
      <w:proofErr w:type="spellEnd"/>
      <w:r w:rsidR="00375B53">
        <w:rPr>
          <w:lang w:val="en-US"/>
        </w:rPr>
        <w:t xml:space="preserve"> represents the contribution of the TDD cell group towards composite SAR compared to the FDD cell group.</w:t>
      </w:r>
    </w:p>
    <w:p w14:paraId="696C9FBC" w14:textId="5B865B59" w:rsidR="001A4C0D" w:rsidRDefault="001A4C0D" w:rsidP="00981ED4">
      <w:pPr>
        <w:rPr>
          <w:lang w:val="en-US"/>
        </w:rPr>
      </w:pPr>
      <w:r>
        <w:rPr>
          <w:lang w:val="en-US"/>
        </w:rPr>
        <w:t>Option 1 reports Duty threshold as the UE capability</w:t>
      </w:r>
      <w:r w:rsidR="00375B53">
        <w:rPr>
          <w:lang w:val="en-US"/>
        </w:rPr>
        <w:t xml:space="preserve">, while Option 3 reports the </w:t>
      </w:r>
      <w:proofErr w:type="spellStart"/>
      <w:r w:rsidR="00375B53">
        <w:rPr>
          <w:lang w:val="en-US"/>
        </w:rPr>
        <w:t>Duty</w:t>
      </w:r>
      <w:r w:rsidR="00375B53" w:rsidRPr="00375B53">
        <w:rPr>
          <w:vertAlign w:val="subscript"/>
          <w:lang w:val="en-US"/>
        </w:rPr>
        <w:t>NR</w:t>
      </w:r>
      <w:proofErr w:type="spellEnd"/>
      <w:r w:rsidR="00375B53">
        <w:rPr>
          <w:lang w:val="en-US"/>
        </w:rPr>
        <w:t xml:space="preserve"> for one or more fixed values of </w:t>
      </w:r>
      <w:proofErr w:type="spellStart"/>
      <w:r w:rsidR="00375B53">
        <w:rPr>
          <w:lang w:val="en-US"/>
        </w:rPr>
        <w:t>Duty</w:t>
      </w:r>
      <w:r w:rsidR="00375B53" w:rsidRPr="00375B53">
        <w:rPr>
          <w:vertAlign w:val="subscript"/>
          <w:lang w:val="en-US"/>
        </w:rPr>
        <w:t>LTE</w:t>
      </w:r>
      <w:proofErr w:type="spellEnd"/>
      <w:r w:rsidR="00375B53">
        <w:rPr>
          <w:lang w:val="en-US"/>
        </w:rPr>
        <w:t xml:space="preserve">, and Option 5 reports </w:t>
      </w:r>
      <w:proofErr w:type="spellStart"/>
      <w:r w:rsidR="00375B53">
        <w:rPr>
          <w:lang w:val="en-US"/>
        </w:rPr>
        <w:t>SAR</w:t>
      </w:r>
      <w:r w:rsidR="00375B53" w:rsidRPr="00375B53">
        <w:rPr>
          <w:vertAlign w:val="subscript"/>
          <w:lang w:val="en-US"/>
        </w:rPr>
        <w:t>ratio</w:t>
      </w:r>
      <w:proofErr w:type="spellEnd"/>
      <w:r w:rsidR="00375B53">
        <w:rPr>
          <w:lang w:val="en-US"/>
        </w:rPr>
        <w:t xml:space="preserve"> and Duty threshold independently. </w:t>
      </w:r>
    </w:p>
    <w:p w14:paraId="4C6B4E02" w14:textId="354489FC" w:rsidR="00375B53" w:rsidRDefault="00C32A4A" w:rsidP="00981ED4">
      <w:pPr>
        <w:rPr>
          <w:lang w:val="en-US"/>
        </w:rPr>
      </w:pPr>
      <w:r>
        <w:rPr>
          <w:lang w:val="en-US"/>
        </w:rPr>
        <w:t>These three options are compared below</w:t>
      </w:r>
      <w:r w:rsidR="00375B53">
        <w:rPr>
          <w:lang w:val="en-US"/>
        </w:rPr>
        <w:t xml:space="preserve">.  </w:t>
      </w:r>
    </w:p>
    <w:p w14:paraId="6651250F" w14:textId="07684BC3" w:rsidR="00375B53" w:rsidRDefault="00375B53" w:rsidP="00981ED4">
      <w:pPr>
        <w:rPr>
          <w:lang w:val="en-US"/>
        </w:rPr>
      </w:pPr>
      <w:r w:rsidRPr="005B7671">
        <w:rPr>
          <w:u w:val="single"/>
          <w:lang w:val="en-US"/>
        </w:rPr>
        <w:t>Option 1</w:t>
      </w:r>
      <w:r>
        <w:rPr>
          <w:lang w:val="en-US"/>
        </w:rPr>
        <w:t xml:space="preserve">.  From the network perspective, </w:t>
      </w:r>
      <w:proofErr w:type="spellStart"/>
      <w:r>
        <w:rPr>
          <w:lang w:val="en-US"/>
        </w:rPr>
        <w:t>SAR</w:t>
      </w:r>
      <w:r w:rsidRPr="005B7671">
        <w:rPr>
          <w:vertAlign w:val="subscript"/>
          <w:lang w:val="en-US"/>
        </w:rPr>
        <w:t>ratio</w:t>
      </w:r>
      <w:proofErr w:type="spellEnd"/>
      <w:r w:rsidRPr="005B7671">
        <w:rPr>
          <w:lang w:val="en-US"/>
        </w:rPr>
        <w:t xml:space="preserve"> </w:t>
      </w:r>
      <w:r>
        <w:rPr>
          <w:lang w:val="en-US"/>
        </w:rPr>
        <w:t xml:space="preserve">is assumed to be 1.  </w:t>
      </w:r>
      <w:proofErr w:type="spellStart"/>
      <w:r>
        <w:rPr>
          <w:lang w:val="en-US"/>
        </w:rPr>
        <w:t>Duty</w:t>
      </w:r>
      <w:r w:rsidRPr="005B7671">
        <w:rPr>
          <w:vertAlign w:val="subscript"/>
          <w:lang w:val="en-US"/>
        </w:rPr>
        <w:t>LTE</w:t>
      </w:r>
      <w:proofErr w:type="spellEnd"/>
      <w:r>
        <w:rPr>
          <w:lang w:val="en-US"/>
        </w:rPr>
        <w:t xml:space="preserve"> and </w:t>
      </w:r>
      <w:proofErr w:type="spellStart"/>
      <w:r>
        <w:rPr>
          <w:lang w:val="en-US"/>
        </w:rPr>
        <w:t>Duty</w:t>
      </w:r>
      <w:r w:rsidRPr="005B7671">
        <w:rPr>
          <w:vertAlign w:val="subscript"/>
          <w:lang w:val="en-US"/>
        </w:rPr>
        <w:t>NR</w:t>
      </w:r>
      <w:proofErr w:type="spellEnd"/>
      <w:r>
        <w:rPr>
          <w:lang w:val="en-US"/>
        </w:rPr>
        <w:t xml:space="preserve"> are as configured</w:t>
      </w:r>
      <w:r w:rsidR="005B7671">
        <w:rPr>
          <w:lang w:val="en-US"/>
        </w:rPr>
        <w:t xml:space="preserve"> or </w:t>
      </w:r>
      <w:r>
        <w:rPr>
          <w:lang w:val="en-US"/>
        </w:rPr>
        <w:t xml:space="preserve">scheduled by the network under the constraint that activity is less than the reported duty threshold.  From the UE perspective, the reported duty threshold is increased or decreased from a nominal value to account for </w:t>
      </w:r>
      <w:proofErr w:type="spellStart"/>
      <w:r w:rsidR="00E31689">
        <w:rPr>
          <w:lang w:val="en-US"/>
        </w:rPr>
        <w:t>SAR</w:t>
      </w:r>
      <w:r w:rsidR="00E31689" w:rsidRPr="005B7671">
        <w:rPr>
          <w:vertAlign w:val="subscript"/>
          <w:lang w:val="en-US"/>
        </w:rPr>
        <w:t>ratio</w:t>
      </w:r>
      <w:proofErr w:type="spellEnd"/>
      <w:r w:rsidR="00E31689">
        <w:rPr>
          <w:lang w:val="en-US"/>
        </w:rPr>
        <w:t xml:space="preserve"> different from one.</w:t>
      </w:r>
    </w:p>
    <w:p w14:paraId="4B5BE7F7" w14:textId="6BB3C750" w:rsidR="00E31689" w:rsidRDefault="00E31689" w:rsidP="00981ED4">
      <w:pPr>
        <w:rPr>
          <w:lang w:val="en-US"/>
        </w:rPr>
      </w:pPr>
      <w:r w:rsidRPr="005B7671">
        <w:rPr>
          <w:u w:val="single"/>
          <w:lang w:val="en-US"/>
        </w:rPr>
        <w:t>Option 3</w:t>
      </w:r>
      <w:r>
        <w:rPr>
          <w:lang w:val="en-US"/>
        </w:rPr>
        <w:t xml:space="preserve">:  From the network perspective, </w:t>
      </w:r>
      <w:proofErr w:type="spellStart"/>
      <w:r>
        <w:rPr>
          <w:lang w:val="en-US"/>
        </w:rPr>
        <w:t>Duty</w:t>
      </w:r>
      <w:r w:rsidRPr="005B7671">
        <w:rPr>
          <w:vertAlign w:val="subscript"/>
          <w:lang w:val="en-US"/>
        </w:rPr>
        <w:t>LTE</w:t>
      </w:r>
      <w:proofErr w:type="spellEnd"/>
      <w:r>
        <w:rPr>
          <w:lang w:val="en-US"/>
        </w:rPr>
        <w:t xml:space="preserve"> is known based on</w:t>
      </w:r>
      <w:r w:rsidR="005B7671">
        <w:rPr>
          <w:lang w:val="en-US"/>
        </w:rPr>
        <w:t xml:space="preserve"> the</w:t>
      </w:r>
      <w:r>
        <w:rPr>
          <w:lang w:val="en-US"/>
        </w:rPr>
        <w:t xml:space="preserve"> LTE </w:t>
      </w:r>
      <w:r w:rsidR="005B7671">
        <w:rPr>
          <w:lang w:val="en-US"/>
        </w:rPr>
        <w:t xml:space="preserve">CG’s </w:t>
      </w:r>
      <w:r>
        <w:rPr>
          <w:lang w:val="en-US"/>
        </w:rPr>
        <w:t xml:space="preserve">UL/DL configuration </w:t>
      </w:r>
      <w:r w:rsidR="005B7671">
        <w:rPr>
          <w:lang w:val="en-US"/>
        </w:rPr>
        <w:t xml:space="preserve">if a </w:t>
      </w:r>
      <w:proofErr w:type="spellStart"/>
      <w:r w:rsidR="005B7671">
        <w:rPr>
          <w:lang w:val="en-US"/>
        </w:rPr>
        <w:t>TDMpattern</w:t>
      </w:r>
      <w:proofErr w:type="spellEnd"/>
      <w:r w:rsidR="005B7671">
        <w:rPr>
          <w:lang w:val="en-US"/>
        </w:rPr>
        <w:t xml:space="preserve"> is configured or by scheduling if </w:t>
      </w:r>
      <w:proofErr w:type="spellStart"/>
      <w:r w:rsidR="005B7671">
        <w:rPr>
          <w:lang w:val="en-US"/>
        </w:rPr>
        <w:t>TDMpattern</w:t>
      </w:r>
      <w:proofErr w:type="spellEnd"/>
      <w:r w:rsidR="005B7671">
        <w:rPr>
          <w:lang w:val="en-US"/>
        </w:rPr>
        <w:t xml:space="preserve"> is not configured, </w:t>
      </w:r>
      <w:r>
        <w:rPr>
          <w:lang w:val="en-US"/>
        </w:rPr>
        <w:t xml:space="preserve">while </w:t>
      </w:r>
      <w:proofErr w:type="spellStart"/>
      <w:r>
        <w:rPr>
          <w:lang w:val="en-US"/>
        </w:rPr>
        <w:t>Duty</w:t>
      </w:r>
      <w:r w:rsidRPr="005B7671">
        <w:rPr>
          <w:vertAlign w:val="subscript"/>
          <w:lang w:val="en-US"/>
        </w:rPr>
        <w:t>NR</w:t>
      </w:r>
      <w:proofErr w:type="spellEnd"/>
      <w:r>
        <w:rPr>
          <w:lang w:val="en-US"/>
        </w:rPr>
        <w:t xml:space="preserve"> is reported.  The scheduler should abide by the </w:t>
      </w:r>
      <w:proofErr w:type="spellStart"/>
      <w:r>
        <w:rPr>
          <w:lang w:val="en-US"/>
        </w:rPr>
        <w:t>Duty</w:t>
      </w:r>
      <w:r w:rsidRPr="005B7671">
        <w:rPr>
          <w:vertAlign w:val="subscript"/>
          <w:lang w:val="en-US"/>
        </w:rPr>
        <w:t>NR</w:t>
      </w:r>
      <w:proofErr w:type="spellEnd"/>
      <w:r>
        <w:rPr>
          <w:lang w:val="en-US"/>
        </w:rPr>
        <w:t xml:space="preserve"> constraint</w:t>
      </w:r>
      <w:r w:rsidR="005B7671">
        <w:rPr>
          <w:lang w:val="en-US"/>
        </w:rPr>
        <w:t xml:space="preserve">; in other words, if the UE reports a maximum </w:t>
      </w:r>
      <w:proofErr w:type="spellStart"/>
      <w:r w:rsidR="005B7671">
        <w:rPr>
          <w:lang w:val="en-US"/>
        </w:rPr>
        <w:t>Duty</w:t>
      </w:r>
      <w:r w:rsidR="005B7671" w:rsidRPr="005B7671">
        <w:rPr>
          <w:vertAlign w:val="subscript"/>
          <w:lang w:val="en-US"/>
        </w:rPr>
        <w:t>NR</w:t>
      </w:r>
      <w:proofErr w:type="spellEnd"/>
      <w:r w:rsidR="005B7671">
        <w:rPr>
          <w:lang w:val="en-US"/>
        </w:rPr>
        <w:t>, the network should at minimum configure or schedule the UE UL symbols in the NR CG to be below the reported capability</w:t>
      </w:r>
      <w:r>
        <w:rPr>
          <w:lang w:val="en-US"/>
        </w:rPr>
        <w:t xml:space="preserve">.  If the </w:t>
      </w:r>
      <w:proofErr w:type="spellStart"/>
      <w:r>
        <w:rPr>
          <w:lang w:val="en-US"/>
        </w:rPr>
        <w:t>Duty</w:t>
      </w:r>
      <w:r w:rsidRPr="005B7671">
        <w:rPr>
          <w:vertAlign w:val="subscript"/>
          <w:lang w:val="en-US"/>
        </w:rPr>
        <w:t>LTE</w:t>
      </w:r>
      <w:proofErr w:type="spellEnd"/>
      <w:r>
        <w:rPr>
          <w:lang w:val="en-US"/>
        </w:rPr>
        <w:t xml:space="preserve"> is configured for a different value, </w:t>
      </w:r>
      <w:r w:rsidR="0007010A">
        <w:rPr>
          <w:lang w:val="en-US"/>
        </w:rPr>
        <w:t xml:space="preserve">then either a different </w:t>
      </w:r>
      <w:proofErr w:type="spellStart"/>
      <w:r w:rsidR="0007010A">
        <w:rPr>
          <w:lang w:val="en-US"/>
        </w:rPr>
        <w:t>Duty</w:t>
      </w:r>
      <w:r w:rsidR="0007010A" w:rsidRPr="005B7671">
        <w:rPr>
          <w:vertAlign w:val="subscript"/>
          <w:lang w:val="en-US"/>
        </w:rPr>
        <w:t>NR</w:t>
      </w:r>
      <w:proofErr w:type="spellEnd"/>
      <w:r w:rsidR="0007010A">
        <w:rPr>
          <w:lang w:val="en-US"/>
        </w:rPr>
        <w:t xml:space="preserve"> is reported in case multiple values are reported or the </w:t>
      </w:r>
      <w:r w:rsidR="009B047D">
        <w:rPr>
          <w:lang w:val="en-US"/>
        </w:rPr>
        <w:t>network</w:t>
      </w:r>
      <w:r w:rsidR="004836EE">
        <w:rPr>
          <w:lang w:val="en-US"/>
        </w:rPr>
        <w:t xml:space="preserve"> should apply the same reported </w:t>
      </w:r>
      <w:proofErr w:type="spellStart"/>
      <w:r w:rsidR="004836EE">
        <w:rPr>
          <w:lang w:val="en-US"/>
        </w:rPr>
        <w:t>Duty</w:t>
      </w:r>
      <w:r w:rsidR="004836EE" w:rsidRPr="005B7671">
        <w:rPr>
          <w:vertAlign w:val="subscript"/>
          <w:lang w:val="en-US"/>
        </w:rPr>
        <w:t>NR</w:t>
      </w:r>
      <w:proofErr w:type="spellEnd"/>
      <w:r w:rsidR="004836EE">
        <w:rPr>
          <w:lang w:val="en-US"/>
        </w:rPr>
        <w:t xml:space="preserve"> constraint </w:t>
      </w:r>
      <w:proofErr w:type="gramStart"/>
      <w:r w:rsidR="004836EE">
        <w:rPr>
          <w:lang w:val="en-US"/>
        </w:rPr>
        <w:t>in spite of</w:t>
      </w:r>
      <w:proofErr w:type="gramEnd"/>
      <w:r w:rsidR="004836EE">
        <w:rPr>
          <w:lang w:val="en-US"/>
        </w:rPr>
        <w:t xml:space="preserve"> </w:t>
      </w:r>
      <w:proofErr w:type="spellStart"/>
      <w:r w:rsidR="004836EE">
        <w:rPr>
          <w:lang w:val="en-US"/>
        </w:rPr>
        <w:t>Duty</w:t>
      </w:r>
      <w:r w:rsidR="004836EE" w:rsidRPr="005B7671">
        <w:rPr>
          <w:vertAlign w:val="subscript"/>
          <w:lang w:val="en-US"/>
        </w:rPr>
        <w:t>LTE</w:t>
      </w:r>
      <w:proofErr w:type="spellEnd"/>
      <w:r w:rsidR="004836EE">
        <w:rPr>
          <w:lang w:val="en-US"/>
        </w:rPr>
        <w:t xml:space="preserve"> being different from that assumed in the capability report.  From the UE perspective, the reported value(s) of </w:t>
      </w:r>
      <w:proofErr w:type="spellStart"/>
      <w:r w:rsidR="004836EE">
        <w:rPr>
          <w:lang w:val="en-US"/>
        </w:rPr>
        <w:t>Duty</w:t>
      </w:r>
      <w:r w:rsidR="004836EE" w:rsidRPr="005B7671">
        <w:rPr>
          <w:vertAlign w:val="subscript"/>
          <w:lang w:val="en-US"/>
        </w:rPr>
        <w:t>NR</w:t>
      </w:r>
      <w:proofErr w:type="spellEnd"/>
      <w:r w:rsidR="004836EE">
        <w:rPr>
          <w:lang w:val="en-US"/>
        </w:rPr>
        <w:t xml:space="preserve"> can be increased or decreased from nominal value to account for </w:t>
      </w:r>
      <w:proofErr w:type="spellStart"/>
      <w:r w:rsidR="004836EE">
        <w:rPr>
          <w:lang w:val="en-US"/>
        </w:rPr>
        <w:t>SAR</w:t>
      </w:r>
      <w:r w:rsidR="004836EE" w:rsidRPr="005B7671">
        <w:rPr>
          <w:vertAlign w:val="subscript"/>
          <w:lang w:val="en-US"/>
        </w:rPr>
        <w:t>ratio</w:t>
      </w:r>
      <w:proofErr w:type="spellEnd"/>
      <w:r w:rsidR="004836EE">
        <w:rPr>
          <w:lang w:val="en-US"/>
        </w:rPr>
        <w:t>.</w:t>
      </w:r>
    </w:p>
    <w:p w14:paraId="6AF24929" w14:textId="2F842B3D" w:rsidR="002D3BBD" w:rsidRDefault="002D3BBD" w:rsidP="00981ED4">
      <w:pPr>
        <w:rPr>
          <w:lang w:val="en-US"/>
        </w:rPr>
      </w:pPr>
      <w:r>
        <w:rPr>
          <w:lang w:val="en-US"/>
        </w:rPr>
        <w:t xml:space="preserve">Option 3 is potentially the simplest </w:t>
      </w:r>
      <w:proofErr w:type="gramStart"/>
      <w:r>
        <w:rPr>
          <w:lang w:val="en-US"/>
        </w:rPr>
        <w:t>in the event that</w:t>
      </w:r>
      <w:proofErr w:type="gramEnd"/>
      <w:r>
        <w:rPr>
          <w:lang w:val="en-US"/>
        </w:rPr>
        <w:t xml:space="preserve"> only one or small number of fixed values for </w:t>
      </w:r>
      <w:proofErr w:type="spellStart"/>
      <w:r>
        <w:rPr>
          <w:lang w:val="en-US"/>
        </w:rPr>
        <w:t>DutyLTE</w:t>
      </w:r>
      <w:proofErr w:type="spellEnd"/>
      <w:r>
        <w:rPr>
          <w:lang w:val="en-US"/>
        </w:rPr>
        <w:t xml:space="preserve"> are allowed.  However, since LTE duty cycle can be based either on </w:t>
      </w:r>
      <w:proofErr w:type="spellStart"/>
      <w:r>
        <w:rPr>
          <w:lang w:val="en-US"/>
        </w:rPr>
        <w:t>TDMpattern</w:t>
      </w:r>
      <w:proofErr w:type="spellEnd"/>
      <w:r>
        <w:rPr>
          <w:lang w:val="en-US"/>
        </w:rPr>
        <w:t xml:space="preserve"> configuration or by scheduling, the possibility that </w:t>
      </w:r>
      <w:proofErr w:type="spellStart"/>
      <w:r>
        <w:rPr>
          <w:lang w:val="en-US"/>
        </w:rPr>
        <w:t>Duty</w:t>
      </w:r>
      <w:r w:rsidRPr="002D3BBD">
        <w:rPr>
          <w:vertAlign w:val="subscript"/>
          <w:lang w:val="en-US"/>
        </w:rPr>
        <w:t>LTE</w:t>
      </w:r>
      <w:proofErr w:type="spellEnd"/>
      <w:r>
        <w:rPr>
          <w:lang w:val="en-US"/>
        </w:rPr>
        <w:t xml:space="preserve"> is restricted to a small number of </w:t>
      </w:r>
      <w:proofErr w:type="gramStart"/>
      <w:r>
        <w:rPr>
          <w:lang w:val="en-US"/>
        </w:rPr>
        <w:t>value</w:t>
      </w:r>
      <w:proofErr w:type="gramEnd"/>
      <w:r>
        <w:rPr>
          <w:lang w:val="en-US"/>
        </w:rPr>
        <w:t xml:space="preserve"> is unlikely.  Therefore, performance is expected to suffer when </w:t>
      </w:r>
      <w:proofErr w:type="spellStart"/>
      <w:r>
        <w:rPr>
          <w:lang w:val="en-US"/>
        </w:rPr>
        <w:t>Duty</w:t>
      </w:r>
      <w:r w:rsidRPr="002D3BBD">
        <w:rPr>
          <w:vertAlign w:val="subscript"/>
          <w:lang w:val="en-US"/>
        </w:rPr>
        <w:t>NR</w:t>
      </w:r>
      <w:proofErr w:type="spellEnd"/>
      <w:r>
        <w:rPr>
          <w:lang w:val="en-US"/>
        </w:rPr>
        <w:t xml:space="preserve"> is reported against an assumed </w:t>
      </w:r>
      <w:proofErr w:type="spellStart"/>
      <w:r>
        <w:rPr>
          <w:lang w:val="en-US"/>
        </w:rPr>
        <w:t>Duty</w:t>
      </w:r>
      <w:r w:rsidRPr="002D3BBD">
        <w:rPr>
          <w:vertAlign w:val="subscript"/>
          <w:lang w:val="en-US"/>
        </w:rPr>
        <w:t>LTE</w:t>
      </w:r>
      <w:proofErr w:type="spellEnd"/>
      <w:r>
        <w:rPr>
          <w:lang w:val="en-US"/>
        </w:rPr>
        <w:t xml:space="preserve"> that is incorrect.  In the event that multiple </w:t>
      </w:r>
      <w:proofErr w:type="spellStart"/>
      <w:r>
        <w:rPr>
          <w:lang w:val="en-US"/>
        </w:rPr>
        <w:t>Duty</w:t>
      </w:r>
      <w:r w:rsidRPr="00182079">
        <w:rPr>
          <w:vertAlign w:val="subscript"/>
          <w:lang w:val="en-US"/>
        </w:rPr>
        <w:t>NR</w:t>
      </w:r>
      <w:proofErr w:type="spellEnd"/>
      <w:r>
        <w:rPr>
          <w:lang w:val="en-US"/>
        </w:rPr>
        <w:t xml:space="preserve"> values are reported for a larger range of </w:t>
      </w:r>
      <w:proofErr w:type="spellStart"/>
      <w:r>
        <w:rPr>
          <w:lang w:val="en-US"/>
        </w:rPr>
        <w:t>Duty</w:t>
      </w:r>
      <w:r w:rsidRPr="00182079">
        <w:rPr>
          <w:vertAlign w:val="subscript"/>
          <w:lang w:val="en-US"/>
        </w:rPr>
        <w:t>LTE</w:t>
      </w:r>
      <w:proofErr w:type="spellEnd"/>
      <w:r>
        <w:rPr>
          <w:lang w:val="en-US"/>
        </w:rPr>
        <w:t xml:space="preserve">, then the complexity of this approach </w:t>
      </w:r>
      <w:proofErr w:type="gramStart"/>
      <w:r>
        <w:rPr>
          <w:lang w:val="en-US"/>
        </w:rPr>
        <w:t>increases</w:t>
      </w:r>
      <w:proofErr w:type="gramEnd"/>
      <w:r>
        <w:rPr>
          <w:lang w:val="en-US"/>
        </w:rPr>
        <w:t xml:space="preserve"> and its simplicity advantage is lost.</w:t>
      </w:r>
    </w:p>
    <w:p w14:paraId="5A64EE0C" w14:textId="7E12D99E" w:rsidR="004836EE" w:rsidRDefault="004836EE" w:rsidP="00981ED4">
      <w:pPr>
        <w:rPr>
          <w:lang w:val="en-US"/>
        </w:rPr>
      </w:pPr>
      <w:r w:rsidRPr="005B7671">
        <w:rPr>
          <w:u w:val="single"/>
          <w:lang w:val="en-US"/>
        </w:rPr>
        <w:t>Option 5</w:t>
      </w:r>
      <w:r>
        <w:rPr>
          <w:lang w:val="en-US"/>
        </w:rPr>
        <w:t xml:space="preserve">:  </w:t>
      </w:r>
      <w:r w:rsidR="002C411A">
        <w:rPr>
          <w:lang w:val="en-US"/>
        </w:rPr>
        <w:t xml:space="preserve">Option 5 includes </w:t>
      </w:r>
      <w:r w:rsidR="00DA7BBB">
        <w:rPr>
          <w:lang w:val="en-US"/>
        </w:rPr>
        <w:t>direct reporting</w:t>
      </w:r>
      <w:r w:rsidR="00C32A4A">
        <w:rPr>
          <w:lang w:val="en-US"/>
        </w:rPr>
        <w:t xml:space="preserve"> </w:t>
      </w:r>
      <w:r w:rsidR="00DA7BBB">
        <w:rPr>
          <w:lang w:val="en-US"/>
        </w:rPr>
        <w:t xml:space="preserve">rather than incorporating </w:t>
      </w:r>
      <w:proofErr w:type="spellStart"/>
      <w:r w:rsidR="00C32A4A">
        <w:rPr>
          <w:lang w:val="en-US"/>
        </w:rPr>
        <w:t>SAR</w:t>
      </w:r>
      <w:r w:rsidR="00C32A4A" w:rsidRPr="005B7671">
        <w:rPr>
          <w:vertAlign w:val="subscript"/>
          <w:lang w:val="en-US"/>
        </w:rPr>
        <w:t>ratio</w:t>
      </w:r>
      <w:proofErr w:type="spellEnd"/>
      <w:r w:rsidR="00DA7BBB">
        <w:rPr>
          <w:lang w:val="en-US"/>
        </w:rPr>
        <w:t xml:space="preserve"> into </w:t>
      </w:r>
      <w:proofErr w:type="spellStart"/>
      <w:r w:rsidR="00DA7BBB">
        <w:rPr>
          <w:lang w:val="en-US"/>
        </w:rPr>
        <w:t>Duty</w:t>
      </w:r>
      <w:r w:rsidR="00DA7BBB" w:rsidRPr="005B7671">
        <w:rPr>
          <w:vertAlign w:val="subscript"/>
          <w:lang w:val="en-US"/>
        </w:rPr>
        <w:t>NR</w:t>
      </w:r>
      <w:proofErr w:type="spellEnd"/>
      <w:r w:rsidR="00DA7BBB">
        <w:rPr>
          <w:lang w:val="en-US"/>
        </w:rPr>
        <w:t xml:space="preserve"> so </w:t>
      </w:r>
      <w:r w:rsidR="005B7671">
        <w:rPr>
          <w:lang w:val="en-US"/>
        </w:rPr>
        <w:t>potentially</w:t>
      </w:r>
      <w:r w:rsidR="00DA7BBB">
        <w:rPr>
          <w:lang w:val="en-US"/>
        </w:rPr>
        <w:t xml:space="preserve"> provides</w:t>
      </w:r>
      <w:r w:rsidR="00C32A4A">
        <w:rPr>
          <w:lang w:val="en-US"/>
        </w:rPr>
        <w:t xml:space="preserve"> a more accurate view since the two can be reported independently.  From the network perspective, in theory it is possible </w:t>
      </w:r>
      <w:r w:rsidR="00C32A4A">
        <w:rPr>
          <w:lang w:val="en-US"/>
        </w:rPr>
        <w:lastRenderedPageBreak/>
        <w:t xml:space="preserve">to take </w:t>
      </w:r>
      <w:proofErr w:type="spellStart"/>
      <w:r w:rsidR="00C32A4A">
        <w:rPr>
          <w:lang w:val="en-US"/>
        </w:rPr>
        <w:t>SAR</w:t>
      </w:r>
      <w:r w:rsidR="00C32A4A" w:rsidRPr="005B7671">
        <w:rPr>
          <w:vertAlign w:val="subscript"/>
          <w:lang w:val="en-US"/>
        </w:rPr>
        <w:t>ratio</w:t>
      </w:r>
      <w:proofErr w:type="spellEnd"/>
      <w:r w:rsidR="00C32A4A">
        <w:rPr>
          <w:lang w:val="en-US"/>
        </w:rPr>
        <w:t xml:space="preserve"> into consideration as it provides information on the relative contribution to SAR from each cell group.  This provides additional information to the network in scheduling of LTE duty cycle compared to NR duty cycle to meet the overall reported Duty threshold.</w:t>
      </w:r>
    </w:p>
    <w:p w14:paraId="34337244" w14:textId="59C11869" w:rsidR="00182079" w:rsidRDefault="00182079" w:rsidP="00981ED4">
      <w:pPr>
        <w:rPr>
          <w:lang w:val="en-US"/>
        </w:rPr>
      </w:pPr>
      <w:r>
        <w:rPr>
          <w:lang w:val="en-US"/>
        </w:rPr>
        <w:t xml:space="preserve">Option 5 has the potential to provide more information to the network about the UE capability since two parameters are independently signaled.  However, </w:t>
      </w:r>
      <w:r w:rsidR="00D322ED">
        <w:rPr>
          <w:lang w:val="en-US"/>
        </w:rPr>
        <w:t xml:space="preserve">the additional information is only helpful if </w:t>
      </w:r>
      <w:r w:rsidR="001D0D88">
        <w:rPr>
          <w:lang w:val="en-US"/>
        </w:rPr>
        <w:t>it is accurate.  Specifically, it has already been stated in [</w:t>
      </w:r>
      <w:r w:rsidR="009A08F5">
        <w:rPr>
          <w:lang w:val="en-US"/>
        </w:rPr>
        <w:t>3</w:t>
      </w:r>
      <w:r w:rsidR="001D0D88">
        <w:rPr>
          <w:lang w:val="en-US"/>
        </w:rPr>
        <w:t xml:space="preserve">] that </w:t>
      </w:r>
      <w:r w:rsidR="00BC2C80">
        <w:rPr>
          <w:lang w:val="en-US"/>
        </w:rPr>
        <w:t>estimation</w:t>
      </w:r>
      <w:r w:rsidR="001D0D88">
        <w:rPr>
          <w:lang w:val="en-US"/>
        </w:rPr>
        <w:t xml:space="preserve"> of </w:t>
      </w:r>
      <w:proofErr w:type="spellStart"/>
      <w:r w:rsidR="001D0D88">
        <w:rPr>
          <w:lang w:val="en-US"/>
        </w:rPr>
        <w:t>SAR</w:t>
      </w:r>
      <w:r w:rsidR="001D0D88" w:rsidRPr="00EC6C1E">
        <w:rPr>
          <w:vertAlign w:val="subscript"/>
          <w:lang w:val="en-US"/>
        </w:rPr>
        <w:t>ratio</w:t>
      </w:r>
      <w:proofErr w:type="spellEnd"/>
      <w:r w:rsidR="00BC2C80">
        <w:rPr>
          <w:lang w:val="en-US"/>
        </w:rPr>
        <w:t xml:space="preserve"> is </w:t>
      </w:r>
      <w:r w:rsidR="00EC6C1E">
        <w:rPr>
          <w:lang w:val="en-US"/>
        </w:rPr>
        <w:t xml:space="preserve">difficult to assess and subject to </w:t>
      </w:r>
      <w:r w:rsidR="00BC2C80">
        <w:rPr>
          <w:lang w:val="en-US"/>
        </w:rPr>
        <w:t>unreli</w:t>
      </w:r>
      <w:r w:rsidR="00EC6C1E">
        <w:rPr>
          <w:lang w:val="en-US"/>
        </w:rPr>
        <w:t>ability</w:t>
      </w:r>
      <w:r w:rsidR="00BC2C80">
        <w:rPr>
          <w:lang w:val="en-US"/>
        </w:rPr>
        <w:t xml:space="preserve">.  </w:t>
      </w:r>
      <w:r w:rsidR="00EC6C1E">
        <w:rPr>
          <w:lang w:val="en-US"/>
        </w:rPr>
        <w:t xml:space="preserve">Given that the information is unreliable, reporting it does not provide any advantage and in fact, may be detrimental.  </w:t>
      </w:r>
    </w:p>
    <w:p w14:paraId="29D3DB6A" w14:textId="574847FD" w:rsidR="00C32A4A" w:rsidRDefault="005B7671" w:rsidP="00981ED4">
      <w:pPr>
        <w:rPr>
          <w:lang w:val="en-US"/>
        </w:rPr>
      </w:pPr>
      <w:r w:rsidRPr="005B7671">
        <w:rPr>
          <w:u w:val="single"/>
          <w:lang w:val="en-US"/>
        </w:rPr>
        <w:t>Option 6</w:t>
      </w:r>
      <w:r>
        <w:rPr>
          <w:lang w:val="en-US"/>
        </w:rPr>
        <w:t xml:space="preserve">:  </w:t>
      </w:r>
      <w:r w:rsidR="00C32A4A">
        <w:rPr>
          <w:lang w:val="en-US"/>
        </w:rPr>
        <w:t xml:space="preserve">For option 6, it is proposed that </w:t>
      </w:r>
      <w:r w:rsidR="004440F3">
        <w:rPr>
          <w:lang w:val="en-US"/>
        </w:rPr>
        <w:t>the FDD cell group duty cycle is maintained at 100%</w:t>
      </w:r>
      <w:r>
        <w:rPr>
          <w:lang w:val="en-US"/>
        </w:rPr>
        <w:t xml:space="preserve"> so no </w:t>
      </w:r>
      <w:proofErr w:type="spellStart"/>
      <w:r>
        <w:rPr>
          <w:lang w:val="en-US"/>
        </w:rPr>
        <w:t>TDMpattern</w:t>
      </w:r>
      <w:proofErr w:type="spellEnd"/>
      <w:r>
        <w:rPr>
          <w:lang w:val="en-US"/>
        </w:rPr>
        <w:t xml:space="preserve"> configuration</w:t>
      </w:r>
      <w:r w:rsidR="004440F3">
        <w:rPr>
          <w:lang w:val="en-US"/>
        </w:rPr>
        <w:t xml:space="preserve">, but that </w:t>
      </w:r>
      <w:r>
        <w:rPr>
          <w:lang w:val="en-US"/>
        </w:rPr>
        <w:t xml:space="preserve">instead </w:t>
      </w:r>
      <w:r w:rsidR="004440F3">
        <w:rPr>
          <w:lang w:val="en-US"/>
        </w:rPr>
        <w:t xml:space="preserve">its maximum power is permanently reduced </w:t>
      </w:r>
      <w:r>
        <w:rPr>
          <w:lang w:val="en-US"/>
        </w:rPr>
        <w:t xml:space="preserve">from its power class </w:t>
      </w:r>
      <w:r w:rsidR="004440F3">
        <w:rPr>
          <w:lang w:val="en-US"/>
        </w:rPr>
        <w:t>by signaling of P</w:t>
      </w:r>
      <w:r w:rsidR="004440F3" w:rsidRPr="004440F3">
        <w:rPr>
          <w:vertAlign w:val="subscript"/>
          <w:lang w:val="en-US"/>
        </w:rPr>
        <w:t>LTE</w:t>
      </w:r>
      <w:r w:rsidR="009645B3">
        <w:rPr>
          <w:lang w:val="en-US"/>
        </w:rPr>
        <w:t xml:space="preserve">.  However, </w:t>
      </w:r>
      <w:r w:rsidR="009645B3" w:rsidRPr="0052783C">
        <w:rPr>
          <w:u w:val="single"/>
          <w:lang w:val="en-US"/>
        </w:rPr>
        <w:t>option 6 does not include any UE capability reporting</w:t>
      </w:r>
      <w:r w:rsidR="009645B3">
        <w:rPr>
          <w:lang w:val="en-US"/>
        </w:rPr>
        <w:t xml:space="preserve">.  Therefore, there is no information that is possible to be conveyed from the UE to the network on the UE’s capability </w:t>
      </w:r>
      <w:r w:rsidR="00D860FD">
        <w:rPr>
          <w:lang w:val="en-US"/>
        </w:rPr>
        <w:t>to meet</w:t>
      </w:r>
      <w:r w:rsidR="009645B3">
        <w:rPr>
          <w:lang w:val="en-US"/>
        </w:rPr>
        <w:t xml:space="preserve"> SAR.  Instead, the network must </w:t>
      </w:r>
      <w:proofErr w:type="gramStart"/>
      <w:r w:rsidR="009645B3">
        <w:rPr>
          <w:lang w:val="en-US"/>
        </w:rPr>
        <w:t>make an assumption</w:t>
      </w:r>
      <w:proofErr w:type="gramEnd"/>
      <w:r w:rsidR="009645B3">
        <w:rPr>
          <w:lang w:val="en-US"/>
        </w:rPr>
        <w:t xml:space="preserve"> that applies to all UE’s in the cell in its scheduling</w:t>
      </w:r>
      <w:r w:rsidR="002D3BBD">
        <w:rPr>
          <w:lang w:val="en-US"/>
        </w:rPr>
        <w:t>, perhaps a lowest common denominator type assumption</w:t>
      </w:r>
      <w:r w:rsidR="009645B3">
        <w:rPr>
          <w:lang w:val="en-US"/>
        </w:rPr>
        <w:t>.  For example, it is described in [</w:t>
      </w:r>
      <w:r w:rsidR="00073D74">
        <w:rPr>
          <w:lang w:val="en-US"/>
        </w:rPr>
        <w:t>4</w:t>
      </w:r>
      <w:r w:rsidR="009645B3">
        <w:rPr>
          <w:lang w:val="en-US"/>
        </w:rPr>
        <w:t xml:space="preserve">] that the </w:t>
      </w:r>
      <w:r w:rsidR="00A3721B">
        <w:rPr>
          <w:lang w:val="en-US"/>
        </w:rPr>
        <w:t xml:space="preserve">EN-DC maximum transmit power can be scaled to a generic value of the EN-DC power class without taking into consideration the UE SAR design, following a similar approach that a generic 50% duty cycle can apply to PC2 regardless of the actual UE design.  Since it is only the UE that has knowledge of its SAR design, the UE must report this capability to the network to be able to achieve better system performance than least common denominator driven performance. </w:t>
      </w:r>
      <w:r w:rsidR="007256B9">
        <w:rPr>
          <w:lang w:val="en-US"/>
        </w:rPr>
        <w:t>Following this generic approach does not allow for improved performance (P</w:t>
      </w:r>
      <w:r w:rsidR="007256B9" w:rsidRPr="002D3BBD">
        <w:rPr>
          <w:vertAlign w:val="subscript"/>
          <w:lang w:val="en-US"/>
        </w:rPr>
        <w:t>LTE</w:t>
      </w:r>
      <w:r w:rsidR="007256B9">
        <w:rPr>
          <w:lang w:val="en-US"/>
        </w:rPr>
        <w:t xml:space="preserve"> will be limited </w:t>
      </w:r>
      <w:r w:rsidR="002D3BBD">
        <w:rPr>
          <w:lang w:val="en-US"/>
        </w:rPr>
        <w:t xml:space="preserve">in the LTE CG </w:t>
      </w:r>
      <w:r w:rsidR="007256B9">
        <w:rPr>
          <w:lang w:val="en-US"/>
        </w:rPr>
        <w:t>and UL duty cycle configured</w:t>
      </w:r>
      <w:r w:rsidR="002D3BBD">
        <w:rPr>
          <w:lang w:val="en-US"/>
        </w:rPr>
        <w:t xml:space="preserve"> in the NR CG</w:t>
      </w:r>
      <w:r w:rsidR="007256B9">
        <w:rPr>
          <w:lang w:val="en-US"/>
        </w:rPr>
        <w:t>) since the only possible measure of improvement is power transmitted on the NR TDD CG when time averaged</w:t>
      </w:r>
      <w:r w:rsidR="00F32297">
        <w:rPr>
          <w:lang w:val="en-US"/>
        </w:rPr>
        <w:t xml:space="preserve"> over the duty cycle</w:t>
      </w:r>
      <w:r w:rsidR="007256B9">
        <w:rPr>
          <w:lang w:val="en-US"/>
        </w:rPr>
        <w:t>.  However, since the NR CG is the SCG, sacrificing power in a permanent manner on the PCG to enable potentially higher transmit power in the SCG will not improve overall EN-DC performance</w:t>
      </w:r>
      <w:r w:rsidR="00F32297">
        <w:rPr>
          <w:lang w:val="en-US"/>
        </w:rPr>
        <w:t xml:space="preserve"> especially for the majority of UE’s away from the cell center.  On the other hand, options 1 – 5 with capability signaling enable scheduling in both CG’s without restricting power and range while staying within the UE’s SAR design envelope.</w:t>
      </w:r>
    </w:p>
    <w:p w14:paraId="7B4FF363" w14:textId="32F82015" w:rsidR="00D8054B" w:rsidRDefault="00D8054B" w:rsidP="00981ED4">
      <w:pPr>
        <w:rPr>
          <w:lang w:val="en-US"/>
        </w:rPr>
      </w:pPr>
      <w:r>
        <w:rPr>
          <w:lang w:val="en-US"/>
        </w:rPr>
        <w:t xml:space="preserve">Another aspect of option 6 is to redefine the TDD maximum output power by averaging over multiple duty cycles to enable a higher instantaneous transmission power.  As indicated </w:t>
      </w:r>
      <w:r w:rsidRPr="00073D74">
        <w:rPr>
          <w:lang w:val="en-US"/>
        </w:rPr>
        <w:t>in [</w:t>
      </w:r>
      <w:r w:rsidR="00073D74" w:rsidRPr="00073D74">
        <w:rPr>
          <w:lang w:val="en-US"/>
        </w:rPr>
        <w:t>5</w:t>
      </w:r>
      <w:r w:rsidRPr="00073D74">
        <w:rPr>
          <w:lang w:val="en-US"/>
        </w:rPr>
        <w:t>],</w:t>
      </w:r>
      <w:r>
        <w:rPr>
          <w:lang w:val="en-US"/>
        </w:rPr>
        <w:t xml:space="preserve"> </w:t>
      </w:r>
      <w:r w:rsidR="00502946">
        <w:rPr>
          <w:lang w:val="en-US"/>
        </w:rPr>
        <w:t>this represents a reinterpretation of maximum output power for a non-contiguous transmission with potentially implications beyond FDD-TDD EN-DC.</w:t>
      </w:r>
      <w:r w:rsidR="002D3BBD">
        <w:rPr>
          <w:lang w:val="en-US"/>
        </w:rPr>
        <w:t xml:space="preserve">  Maximum output power has never been conceived of as an average over a period with transmission duty cycle.  If this definition were to be adopted here, it could be reasoned to follow a similar approach to all maximum output power measurements including SA FDD and TDD.  But this is not the approach that has been followed by the specifications so far.</w:t>
      </w:r>
    </w:p>
    <w:p w14:paraId="1799A0A4" w14:textId="266B8213" w:rsidR="00A3721B" w:rsidRPr="009645B3" w:rsidRDefault="00A3721B" w:rsidP="00981ED4">
      <w:pPr>
        <w:rPr>
          <w:lang w:val="en-US"/>
        </w:rPr>
      </w:pPr>
      <w:r>
        <w:rPr>
          <w:lang w:val="en-US"/>
        </w:rPr>
        <w:t xml:space="preserve">However, it is </w:t>
      </w:r>
      <w:r w:rsidR="00502946">
        <w:rPr>
          <w:lang w:val="en-US"/>
        </w:rPr>
        <w:t xml:space="preserve">still </w:t>
      </w:r>
      <w:r>
        <w:rPr>
          <w:lang w:val="en-US"/>
        </w:rPr>
        <w:t xml:space="preserve">possible to </w:t>
      </w:r>
      <w:r w:rsidR="00502946">
        <w:rPr>
          <w:lang w:val="en-US"/>
        </w:rPr>
        <w:t xml:space="preserve">remove the time averaged power definition and </w:t>
      </w:r>
      <w:r>
        <w:rPr>
          <w:lang w:val="en-US"/>
        </w:rPr>
        <w:t xml:space="preserve">insert the aspect of UE capability reporting into Option 6 to make it more directly comparable to Options 1 – 5. </w:t>
      </w:r>
      <w:r w:rsidR="00F241D9">
        <w:rPr>
          <w:lang w:val="en-US"/>
        </w:rPr>
        <w:t xml:space="preserve"> With the general equation</w:t>
      </w:r>
    </w:p>
    <w:p w14:paraId="69F7CC02" w14:textId="261B500E" w:rsidR="00F241D9" w:rsidRPr="001A4C0D" w:rsidRDefault="00F241D9" w:rsidP="00F241D9">
      <w:pPr>
        <w:ind w:firstLine="284"/>
        <w:rPr>
          <w:lang w:val="en-US"/>
        </w:rPr>
      </w:pPr>
      <w:proofErr w:type="spellStart"/>
      <w:r w:rsidRPr="001A4C0D">
        <w:rPr>
          <w:rFonts w:hint="eastAsia"/>
          <w:lang w:val="x-none"/>
        </w:rPr>
        <w:t>Duty</w:t>
      </w:r>
      <w:r w:rsidRPr="001A4C0D">
        <w:rPr>
          <w:rFonts w:hint="eastAsia"/>
          <w:vertAlign w:val="subscript"/>
          <w:lang w:val="x-none"/>
        </w:rPr>
        <w:t>LTE</w:t>
      </w:r>
      <w:proofErr w:type="spellEnd"/>
      <w:r w:rsidRPr="001A4C0D">
        <w:rPr>
          <w:rFonts w:hint="eastAsia"/>
          <w:lang w:val="en-US"/>
        </w:rPr>
        <w:t>*</w:t>
      </w:r>
      <w:r w:rsidRPr="001A4C0D">
        <w:rPr>
          <w:rFonts w:hint="eastAsia"/>
          <w:lang w:val="x-none"/>
        </w:rPr>
        <w:t>(P</w:t>
      </w:r>
      <w:r w:rsidRPr="001A4C0D">
        <w:rPr>
          <w:rFonts w:hint="eastAsia"/>
          <w:vertAlign w:val="subscript"/>
          <w:lang w:val="x-none"/>
        </w:rPr>
        <w:t>LTE</w:t>
      </w:r>
      <w:r w:rsidRPr="001A4C0D">
        <w:rPr>
          <w:rFonts w:hint="eastAsia"/>
          <w:lang w:val="x-none"/>
        </w:rPr>
        <w:t>/ P</w:t>
      </w:r>
      <w:r w:rsidRPr="001A4C0D">
        <w:rPr>
          <w:rFonts w:hint="eastAsia"/>
          <w:vertAlign w:val="subscript"/>
          <w:lang w:val="x-none"/>
        </w:rPr>
        <w:t>26</w:t>
      </w:r>
      <w:r w:rsidRPr="001A4C0D">
        <w:rPr>
          <w:rFonts w:hint="eastAsia"/>
          <w:lang w:val="x-none"/>
        </w:rPr>
        <w:t xml:space="preserve">) + </w:t>
      </w:r>
      <w:proofErr w:type="spellStart"/>
      <w:r>
        <w:rPr>
          <w:lang w:val="en-US"/>
        </w:rPr>
        <w:t>SAR</w:t>
      </w:r>
      <w:r w:rsidRPr="00D63FBA">
        <w:rPr>
          <w:vertAlign w:val="subscript"/>
          <w:lang w:val="en-US"/>
        </w:rPr>
        <w:t>ratio</w:t>
      </w:r>
      <w:proofErr w:type="spellEnd"/>
      <w:r>
        <w:rPr>
          <w:lang w:val="en-US"/>
        </w:rPr>
        <w:t>*</w:t>
      </w:r>
      <w:proofErr w:type="spellStart"/>
      <w:r w:rsidRPr="001A4C0D">
        <w:rPr>
          <w:rFonts w:hint="eastAsia"/>
          <w:lang w:val="x-none"/>
        </w:rPr>
        <w:t>Duty</w:t>
      </w:r>
      <w:r w:rsidRPr="001A4C0D">
        <w:rPr>
          <w:rFonts w:hint="eastAsia"/>
          <w:vertAlign w:val="subscript"/>
          <w:lang w:val="x-none"/>
        </w:rPr>
        <w:t>NR</w:t>
      </w:r>
      <w:proofErr w:type="spellEnd"/>
      <w:r w:rsidRPr="001A4C0D">
        <w:rPr>
          <w:rFonts w:hint="eastAsia"/>
          <w:lang w:val="en-US"/>
        </w:rPr>
        <w:t>*</w:t>
      </w:r>
      <w:r w:rsidRPr="001A4C0D">
        <w:rPr>
          <w:rFonts w:hint="eastAsia"/>
          <w:lang w:val="x-none"/>
        </w:rPr>
        <w:t>(P</w:t>
      </w:r>
      <w:r w:rsidRPr="001A4C0D">
        <w:rPr>
          <w:rFonts w:hint="eastAsia"/>
          <w:vertAlign w:val="subscript"/>
          <w:lang w:val="x-none"/>
        </w:rPr>
        <w:t>NR</w:t>
      </w:r>
      <w:r w:rsidRPr="001A4C0D">
        <w:rPr>
          <w:rFonts w:hint="eastAsia"/>
          <w:lang w:val="x-none"/>
        </w:rPr>
        <w:t>/ P</w:t>
      </w:r>
      <w:r w:rsidRPr="001A4C0D">
        <w:rPr>
          <w:rFonts w:hint="eastAsia"/>
          <w:vertAlign w:val="subscript"/>
          <w:lang w:val="x-none"/>
        </w:rPr>
        <w:t>26</w:t>
      </w:r>
      <w:r w:rsidRPr="001A4C0D">
        <w:rPr>
          <w:rFonts w:hint="eastAsia"/>
          <w:lang w:val="x-none"/>
        </w:rPr>
        <w:t>)</w:t>
      </w:r>
      <w:r w:rsidRPr="001A4C0D">
        <w:rPr>
          <w:rFonts w:hint="eastAsia"/>
          <w:lang w:val="en-US"/>
        </w:rPr>
        <w:t xml:space="preserve"> </w:t>
      </w:r>
      <w:r w:rsidRPr="001A4C0D">
        <w:rPr>
          <w:rFonts w:hint="eastAsia"/>
          <w:lang w:val="x-none"/>
        </w:rPr>
        <w:t xml:space="preserve">≤ </w:t>
      </w:r>
      <w:r w:rsidRPr="001A4C0D">
        <w:rPr>
          <w:rFonts w:hint="eastAsia"/>
          <w:i/>
          <w:iCs/>
          <w:lang w:val="en-US"/>
        </w:rPr>
        <w:t>Duty threshold</w:t>
      </w:r>
    </w:p>
    <w:p w14:paraId="199047F8" w14:textId="487C9A48" w:rsidR="00C32A4A" w:rsidRDefault="00F241D9" w:rsidP="00981ED4">
      <w:pPr>
        <w:rPr>
          <w:lang w:val="en-US"/>
        </w:rPr>
      </w:pPr>
      <w:r>
        <w:rPr>
          <w:lang w:val="en-US"/>
        </w:rPr>
        <w:t xml:space="preserve">Option 6 can be represented by </w:t>
      </w:r>
      <w:proofErr w:type="spellStart"/>
      <w:r>
        <w:rPr>
          <w:lang w:val="en-US"/>
        </w:rPr>
        <w:t>Duty</w:t>
      </w:r>
      <w:r w:rsidRPr="00F241D9">
        <w:rPr>
          <w:vertAlign w:val="subscript"/>
          <w:lang w:val="en-US"/>
        </w:rPr>
        <w:t>LTE</w:t>
      </w:r>
      <w:proofErr w:type="spellEnd"/>
      <w:r>
        <w:rPr>
          <w:lang w:val="en-US"/>
        </w:rPr>
        <w:t xml:space="preserve"> = 100% and P</w:t>
      </w:r>
      <w:r w:rsidRPr="00F241D9">
        <w:rPr>
          <w:vertAlign w:val="subscript"/>
          <w:lang w:val="en-US"/>
        </w:rPr>
        <w:t>LTE</w:t>
      </w:r>
      <w:r>
        <w:rPr>
          <w:lang w:val="en-US"/>
        </w:rPr>
        <w:t xml:space="preserve"> according to the permanently reduced value signaled by the network.  </w:t>
      </w:r>
      <w:proofErr w:type="gramStart"/>
      <w:r>
        <w:rPr>
          <w:lang w:val="en-US"/>
        </w:rPr>
        <w:t>Both of these</w:t>
      </w:r>
      <w:proofErr w:type="gramEnd"/>
      <w:r>
        <w:rPr>
          <w:lang w:val="en-US"/>
        </w:rPr>
        <w:t xml:space="preserve"> are known to both the UE and the network.  The UE can then signal either </w:t>
      </w:r>
      <w:proofErr w:type="spellStart"/>
      <w:r>
        <w:rPr>
          <w:lang w:val="en-US"/>
        </w:rPr>
        <w:t>Duty</w:t>
      </w:r>
      <w:r w:rsidRPr="002D3BBD">
        <w:rPr>
          <w:vertAlign w:val="subscript"/>
          <w:lang w:val="en-US"/>
        </w:rPr>
        <w:t>NR</w:t>
      </w:r>
      <w:proofErr w:type="spellEnd"/>
      <w:r>
        <w:rPr>
          <w:lang w:val="en-US"/>
        </w:rPr>
        <w:t xml:space="preserve"> (</w:t>
      </w:r>
      <w:proofErr w:type="gramStart"/>
      <w:r>
        <w:rPr>
          <w:lang w:val="en-US"/>
        </w:rPr>
        <w:t>similar to</w:t>
      </w:r>
      <w:proofErr w:type="gramEnd"/>
      <w:r>
        <w:rPr>
          <w:lang w:val="en-US"/>
        </w:rPr>
        <w:t xml:space="preserve"> option 3) or Duty threshold (similar to option 1).  </w:t>
      </w:r>
      <w:r w:rsidR="00502946">
        <w:rPr>
          <w:lang w:val="en-US"/>
        </w:rPr>
        <w:t>The disadvantage of this approach, relative to options 1 and 3, are that the FDD power is permanently reduced, leaving more power as intended for NR TDD, but at the cost of degrading the PCG uplink link budget</w:t>
      </w:r>
      <w:r w:rsidR="002D3BBD">
        <w:rPr>
          <w:lang w:val="en-US"/>
        </w:rPr>
        <w:t xml:space="preserve"> which is an undesirable tradeoff for EN-DC.</w:t>
      </w:r>
    </w:p>
    <w:p w14:paraId="6F37A487" w14:textId="02D8D557" w:rsidR="00EC6C1E" w:rsidRDefault="00EC6C1E" w:rsidP="00981ED4">
      <w:pPr>
        <w:rPr>
          <w:lang w:val="en-US"/>
        </w:rPr>
      </w:pPr>
      <w:r>
        <w:rPr>
          <w:lang w:val="en-US"/>
        </w:rPr>
        <w:t>Comparing all options 1, 3, 5, and 6, it is suggested to adopt Option 1 at the conclusion of the study item.</w:t>
      </w:r>
      <w:r w:rsidR="00F71BF1">
        <w:rPr>
          <w:lang w:val="en-US"/>
        </w:rPr>
        <w:t xml:space="preserve">  Option 3 can also be further considered, but options 5 and 6 should be disregarded.</w:t>
      </w:r>
      <w:bookmarkStart w:id="0" w:name="_GoBack"/>
      <w:bookmarkEnd w:id="0"/>
    </w:p>
    <w:p w14:paraId="33211D76" w14:textId="3E54C488" w:rsidR="001748B7" w:rsidRDefault="001748B7" w:rsidP="001748B7">
      <w:pPr>
        <w:pStyle w:val="Heading1"/>
        <w:tabs>
          <w:tab w:val="clear" w:pos="432"/>
          <w:tab w:val="num" w:pos="522"/>
        </w:tabs>
        <w:ind w:left="522" w:hanging="522"/>
        <w:rPr>
          <w:lang w:val="en-US"/>
        </w:rPr>
      </w:pPr>
      <w:r>
        <w:rPr>
          <w:lang w:val="en-US"/>
        </w:rPr>
        <w:t>Conclusion</w:t>
      </w:r>
    </w:p>
    <w:p w14:paraId="6DFC5C1D" w14:textId="60FF9911" w:rsidR="00A16631" w:rsidRPr="003B0D36" w:rsidRDefault="00073D74" w:rsidP="003B0D36">
      <w:pPr>
        <w:rPr>
          <w:lang w:val="en-US"/>
        </w:rPr>
      </w:pPr>
      <w:r>
        <w:rPr>
          <w:lang w:val="en-US"/>
        </w:rPr>
        <w:t xml:space="preserve">Options 1 – 5 are based on the same general equation that relates uplink activity to an overall duty cycle threshold.  Between options 1, 3, and 5, the difference is what is reported to the network as the UE capability in meeting SAR.  The most general form is option 1 where the duty threshold is reported and may be increased or decreased to account for a </w:t>
      </w:r>
      <w:proofErr w:type="spellStart"/>
      <w:r>
        <w:rPr>
          <w:lang w:val="en-US"/>
        </w:rPr>
        <w:t>SAR</w:t>
      </w:r>
      <w:r w:rsidRPr="00073D74">
        <w:rPr>
          <w:vertAlign w:val="subscript"/>
          <w:lang w:val="en-US"/>
        </w:rPr>
        <w:t>ratio</w:t>
      </w:r>
      <w:proofErr w:type="spellEnd"/>
      <w:r>
        <w:rPr>
          <w:lang w:val="en-US"/>
        </w:rPr>
        <w:t xml:space="preserve"> between CG’s if such information is available.  Option 3 is simplest since it relies on a fixed LTE Tx duty cycle and reports a corresponding NR duty capability.  However, the simplicity in option 3 is lost when multiple LTE Tx duty cycles need to be accounted for.  Option 5 reports both </w:t>
      </w:r>
      <w:proofErr w:type="spellStart"/>
      <w:r>
        <w:rPr>
          <w:lang w:val="en-US"/>
        </w:rPr>
        <w:t>SARratio</w:t>
      </w:r>
      <w:proofErr w:type="spellEnd"/>
      <w:r>
        <w:rPr>
          <w:lang w:val="en-US"/>
        </w:rPr>
        <w:t xml:space="preserve"> and Duty threshold and therefore has potential to provide the most information to the network about the UE capability.  However, given that </w:t>
      </w:r>
      <w:proofErr w:type="spellStart"/>
      <w:r>
        <w:rPr>
          <w:lang w:val="en-US"/>
        </w:rPr>
        <w:t>SARratio</w:t>
      </w:r>
      <w:proofErr w:type="spellEnd"/>
      <w:r>
        <w:rPr>
          <w:lang w:val="en-US"/>
        </w:rPr>
        <w:t xml:space="preserve"> is difficult to accurately estimate, there may </w:t>
      </w:r>
      <w:proofErr w:type="gramStart"/>
      <w:r>
        <w:rPr>
          <w:lang w:val="en-US"/>
        </w:rPr>
        <w:t>actually be</w:t>
      </w:r>
      <w:proofErr w:type="gramEnd"/>
      <w:r>
        <w:rPr>
          <w:lang w:val="en-US"/>
        </w:rPr>
        <w:t xml:space="preserve"> more harm in reporting it incorrectly than not reporting it at all.  Finally, Option 6 permanently reduces uplink power the PCG to reserve uplink power for the SCG.  Unfortunately, by doing this, the uplink coverage on the PCG is sacrificed even if there is no transmission on the SCG.  The reserved power is simply lost.  Moreover, there is no UE capability signaling for Option 6 so the network cannot take into consideration the UE’s design and SAR capability.  Since it is only the UE that can be aware of its SAR capability, not allowing for </w:t>
      </w:r>
      <w:r>
        <w:rPr>
          <w:lang w:val="en-US"/>
        </w:rPr>
        <w:lastRenderedPageBreak/>
        <w:t>feedback from the UE necessarily leads to an inferior solution.  In the end after evaluating all options, it is proposed that Option 1 is selected at the conclusion of the SI.</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50E84D91" w14:textId="69B61823" w:rsidR="00D86600" w:rsidRDefault="00D86600" w:rsidP="001219FC">
      <w:pPr>
        <w:numPr>
          <w:ilvl w:val="0"/>
          <w:numId w:val="2"/>
        </w:numPr>
        <w:tabs>
          <w:tab w:val="left" w:pos="1080"/>
        </w:tabs>
        <w:rPr>
          <w:lang w:val="en-US" w:eastAsia="x-none"/>
        </w:rPr>
      </w:pPr>
      <w:bookmarkStart w:id="1" w:name="_Hlk859252"/>
      <w:r>
        <w:rPr>
          <w:lang w:val="en-US" w:eastAsia="x-none"/>
        </w:rPr>
        <w:t>R4-1910338, “</w:t>
      </w:r>
      <w:r w:rsidRPr="00D86600">
        <w:rPr>
          <w:lang w:val="en-US" w:eastAsia="x-none"/>
        </w:rPr>
        <w:t>WF on EN-DC HPUE FDD+TDD</w:t>
      </w:r>
      <w:r>
        <w:rPr>
          <w:lang w:val="en-US" w:eastAsia="x-none"/>
        </w:rPr>
        <w:t xml:space="preserve">,” </w:t>
      </w:r>
      <w:r w:rsidRPr="00D86600">
        <w:rPr>
          <w:lang w:val="en-US" w:eastAsia="x-none"/>
        </w:rPr>
        <w:t>China Unicom, CHTTL, China Telecom</w:t>
      </w:r>
    </w:p>
    <w:p w14:paraId="1B145901" w14:textId="6626D7D7" w:rsidR="00FA7D0F" w:rsidRDefault="00FA7D0F" w:rsidP="001219FC">
      <w:pPr>
        <w:numPr>
          <w:ilvl w:val="0"/>
          <w:numId w:val="2"/>
        </w:numPr>
        <w:tabs>
          <w:tab w:val="left" w:pos="1080"/>
        </w:tabs>
        <w:rPr>
          <w:lang w:val="en-US" w:eastAsia="x-none"/>
        </w:rPr>
      </w:pPr>
      <w:r>
        <w:rPr>
          <w:lang w:val="en-US" w:eastAsia="x-none"/>
        </w:rPr>
        <w:t xml:space="preserve">R4-1913077, “WF on EN-DC HPUE FDD+TDD,” China Unicom, CHTTL, OPPO, China Telecom, Huawei, </w:t>
      </w:r>
      <w:proofErr w:type="spellStart"/>
      <w:r>
        <w:rPr>
          <w:lang w:val="en-US" w:eastAsia="x-none"/>
        </w:rPr>
        <w:t>HiSilicon</w:t>
      </w:r>
      <w:proofErr w:type="spellEnd"/>
    </w:p>
    <w:p w14:paraId="03F3E76A" w14:textId="77777777" w:rsidR="009A08F5" w:rsidRDefault="009A08F5" w:rsidP="009A08F5">
      <w:pPr>
        <w:numPr>
          <w:ilvl w:val="0"/>
          <w:numId w:val="2"/>
        </w:numPr>
        <w:tabs>
          <w:tab w:val="left" w:pos="1080"/>
        </w:tabs>
        <w:rPr>
          <w:lang w:val="en-US" w:eastAsia="x-none"/>
        </w:rPr>
      </w:pPr>
      <w:r>
        <w:rPr>
          <w:lang w:val="en-US" w:eastAsia="x-none"/>
        </w:rPr>
        <w:t>R4-1908568, “Discussion on NSA FDD-TDD high power UE,” ZTE Corporation</w:t>
      </w:r>
    </w:p>
    <w:p w14:paraId="7B333389" w14:textId="5C448E45" w:rsidR="009A08F5" w:rsidRDefault="00073D74" w:rsidP="001219FC">
      <w:pPr>
        <w:numPr>
          <w:ilvl w:val="0"/>
          <w:numId w:val="2"/>
        </w:numPr>
        <w:tabs>
          <w:tab w:val="left" w:pos="1080"/>
        </w:tabs>
        <w:rPr>
          <w:lang w:val="en-US" w:eastAsia="x-none"/>
        </w:rPr>
      </w:pPr>
      <w:r>
        <w:rPr>
          <w:lang w:val="en-US" w:eastAsia="x-none"/>
        </w:rPr>
        <w:t>R4-1911552, “</w:t>
      </w:r>
      <w:r w:rsidRPr="00073D74">
        <w:rPr>
          <w:lang w:val="en-US" w:eastAsia="x-none"/>
        </w:rPr>
        <w:t>TP for 37.815: FDD-TDD PC2 Option 2</w:t>
      </w:r>
      <w:r>
        <w:rPr>
          <w:lang w:val="en-US" w:eastAsia="x-none"/>
        </w:rPr>
        <w:t>,” Ericsson</w:t>
      </w:r>
    </w:p>
    <w:p w14:paraId="4D12D750" w14:textId="67E489DB" w:rsidR="00073D74" w:rsidRDefault="00073D74" w:rsidP="001219FC">
      <w:pPr>
        <w:numPr>
          <w:ilvl w:val="0"/>
          <w:numId w:val="2"/>
        </w:numPr>
        <w:tabs>
          <w:tab w:val="left" w:pos="1080"/>
        </w:tabs>
        <w:rPr>
          <w:lang w:val="en-US" w:eastAsia="x-none"/>
        </w:rPr>
      </w:pPr>
      <w:r>
        <w:rPr>
          <w:lang w:val="en-US" w:eastAsia="x-none"/>
        </w:rPr>
        <w:t>R4-1912484, “Comparison of options for FDD-TDD PC2 duty cycle capability signaling,” Qualcomm Incorporated</w:t>
      </w:r>
      <w:bookmarkEnd w:id="1"/>
    </w:p>
    <w:sectPr w:rsidR="00073D74"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96D38" w14:textId="77777777" w:rsidR="00973C65" w:rsidRDefault="00973C65">
      <w:r>
        <w:separator/>
      </w:r>
    </w:p>
  </w:endnote>
  <w:endnote w:type="continuationSeparator" w:id="0">
    <w:p w14:paraId="0E177C68" w14:textId="77777777" w:rsidR="00973C65" w:rsidRDefault="00973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F645DF" w:rsidRDefault="00F645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F645DF" w:rsidRDefault="00F645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F645DF" w:rsidRDefault="00F645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F645DF" w:rsidRDefault="00F645D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D6396" w14:textId="77777777" w:rsidR="00973C65" w:rsidRDefault="00973C65">
      <w:r>
        <w:separator/>
      </w:r>
    </w:p>
  </w:footnote>
  <w:footnote w:type="continuationSeparator" w:id="0">
    <w:p w14:paraId="0CA5EB8F" w14:textId="77777777" w:rsidR="00973C65" w:rsidRDefault="00973C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3"/>
  </w:num>
  <w:num w:numId="4">
    <w:abstractNumId w:val="14"/>
  </w:num>
  <w:num w:numId="5">
    <w:abstractNumId w:val="10"/>
  </w:num>
  <w:num w:numId="6">
    <w:abstractNumId w:val="4"/>
  </w:num>
  <w:num w:numId="7">
    <w:abstractNumId w:val="1"/>
  </w:num>
  <w:num w:numId="8">
    <w:abstractNumId w:val="12"/>
  </w:num>
  <w:num w:numId="9">
    <w:abstractNumId w:val="5"/>
  </w:num>
  <w:num w:numId="10">
    <w:abstractNumId w:val="9"/>
  </w:num>
  <w:num w:numId="11">
    <w:abstractNumId w:val="16"/>
  </w:num>
  <w:num w:numId="12">
    <w:abstractNumId w:val="3"/>
  </w:num>
  <w:num w:numId="13">
    <w:abstractNumId w:val="8"/>
  </w:num>
  <w:num w:numId="14">
    <w:abstractNumId w:val="2"/>
  </w:num>
  <w:num w:numId="15">
    <w:abstractNumId w:val="7"/>
  </w:num>
  <w:num w:numId="16">
    <w:abstractNumId w:val="1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7010A"/>
    <w:rsid w:val="00070561"/>
    <w:rsid w:val="00070ECC"/>
    <w:rsid w:val="00072354"/>
    <w:rsid w:val="000724BF"/>
    <w:rsid w:val="00072597"/>
    <w:rsid w:val="000725AA"/>
    <w:rsid w:val="00072C4C"/>
    <w:rsid w:val="000737DA"/>
    <w:rsid w:val="00073D74"/>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05"/>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A62"/>
    <w:rsid w:val="00154F3B"/>
    <w:rsid w:val="001553C6"/>
    <w:rsid w:val="001559C8"/>
    <w:rsid w:val="00155AB9"/>
    <w:rsid w:val="00155F77"/>
    <w:rsid w:val="001568D4"/>
    <w:rsid w:val="0015760F"/>
    <w:rsid w:val="001577F0"/>
    <w:rsid w:val="0016030D"/>
    <w:rsid w:val="0016046E"/>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079"/>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0D"/>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0D88"/>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E1023"/>
    <w:rsid w:val="001E11D1"/>
    <w:rsid w:val="001E1C0D"/>
    <w:rsid w:val="001E1FFE"/>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B67"/>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11A"/>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BBD"/>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F1E"/>
    <w:rsid w:val="0031040B"/>
    <w:rsid w:val="003109C2"/>
    <w:rsid w:val="00311D14"/>
    <w:rsid w:val="00312A91"/>
    <w:rsid w:val="00312EF8"/>
    <w:rsid w:val="003138A2"/>
    <w:rsid w:val="00313F7D"/>
    <w:rsid w:val="00314DB7"/>
    <w:rsid w:val="00315017"/>
    <w:rsid w:val="00315EB5"/>
    <w:rsid w:val="0031615D"/>
    <w:rsid w:val="003161A1"/>
    <w:rsid w:val="0031643D"/>
    <w:rsid w:val="00316A23"/>
    <w:rsid w:val="00316AB4"/>
    <w:rsid w:val="00316BDE"/>
    <w:rsid w:val="00317548"/>
    <w:rsid w:val="00320AB6"/>
    <w:rsid w:val="00320B8A"/>
    <w:rsid w:val="0032195A"/>
    <w:rsid w:val="00321A07"/>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B53"/>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56A4"/>
    <w:rsid w:val="003D6C47"/>
    <w:rsid w:val="003D6F0B"/>
    <w:rsid w:val="003D6F23"/>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A68"/>
    <w:rsid w:val="0044397D"/>
    <w:rsid w:val="00443FD4"/>
    <w:rsid w:val="004440F3"/>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6EE"/>
    <w:rsid w:val="0048385F"/>
    <w:rsid w:val="00483B86"/>
    <w:rsid w:val="00483C46"/>
    <w:rsid w:val="00483CF6"/>
    <w:rsid w:val="0048493E"/>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946"/>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83C"/>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833"/>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671"/>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534E"/>
    <w:rsid w:val="005E56ED"/>
    <w:rsid w:val="005E5729"/>
    <w:rsid w:val="005E597B"/>
    <w:rsid w:val="005E59A8"/>
    <w:rsid w:val="005E5CBA"/>
    <w:rsid w:val="005E5CD5"/>
    <w:rsid w:val="005E684F"/>
    <w:rsid w:val="005E6BCB"/>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56B9"/>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321F"/>
    <w:rsid w:val="007F4C7A"/>
    <w:rsid w:val="007F51CC"/>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3D4C"/>
    <w:rsid w:val="0092405A"/>
    <w:rsid w:val="00924655"/>
    <w:rsid w:val="00925726"/>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975"/>
    <w:rsid w:val="00940CCA"/>
    <w:rsid w:val="00940E8F"/>
    <w:rsid w:val="00941429"/>
    <w:rsid w:val="009416AD"/>
    <w:rsid w:val="009417D0"/>
    <w:rsid w:val="009428CB"/>
    <w:rsid w:val="00943794"/>
    <w:rsid w:val="009437DC"/>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5B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3C65"/>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08F5"/>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047D"/>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3721B"/>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97E"/>
    <w:rsid w:val="00BB6BE8"/>
    <w:rsid w:val="00BB6E3B"/>
    <w:rsid w:val="00BB7060"/>
    <w:rsid w:val="00BB734F"/>
    <w:rsid w:val="00BB7F63"/>
    <w:rsid w:val="00BC0C83"/>
    <w:rsid w:val="00BC0EB0"/>
    <w:rsid w:val="00BC1209"/>
    <w:rsid w:val="00BC1C0E"/>
    <w:rsid w:val="00BC1EBE"/>
    <w:rsid w:val="00BC2785"/>
    <w:rsid w:val="00BC2C80"/>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2A4A"/>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2ED"/>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479"/>
    <w:rsid w:val="00D635E9"/>
    <w:rsid w:val="00D63DCB"/>
    <w:rsid w:val="00D63FBA"/>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54B"/>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0FD"/>
    <w:rsid w:val="00D86377"/>
    <w:rsid w:val="00D86600"/>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A7BBB"/>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4208"/>
    <w:rsid w:val="00DC4D9D"/>
    <w:rsid w:val="00DC5754"/>
    <w:rsid w:val="00DC6670"/>
    <w:rsid w:val="00DC71C3"/>
    <w:rsid w:val="00DC743A"/>
    <w:rsid w:val="00DC7A31"/>
    <w:rsid w:val="00DD0195"/>
    <w:rsid w:val="00DD14C1"/>
    <w:rsid w:val="00DD27DC"/>
    <w:rsid w:val="00DD335A"/>
    <w:rsid w:val="00DD3781"/>
    <w:rsid w:val="00DD38B2"/>
    <w:rsid w:val="00DD408B"/>
    <w:rsid w:val="00DD44B1"/>
    <w:rsid w:val="00DD4849"/>
    <w:rsid w:val="00DD48D9"/>
    <w:rsid w:val="00DD4B30"/>
    <w:rsid w:val="00DD6EBD"/>
    <w:rsid w:val="00DD779D"/>
    <w:rsid w:val="00DD7F5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689"/>
    <w:rsid w:val="00E31E1A"/>
    <w:rsid w:val="00E31F40"/>
    <w:rsid w:val="00E32A79"/>
    <w:rsid w:val="00E33CB9"/>
    <w:rsid w:val="00E343BD"/>
    <w:rsid w:val="00E35A26"/>
    <w:rsid w:val="00E35B6C"/>
    <w:rsid w:val="00E36B2F"/>
    <w:rsid w:val="00E36D90"/>
    <w:rsid w:val="00E371C2"/>
    <w:rsid w:val="00E374C5"/>
    <w:rsid w:val="00E377D8"/>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93A"/>
    <w:rsid w:val="00EC02AE"/>
    <w:rsid w:val="00EC0C2B"/>
    <w:rsid w:val="00EC1747"/>
    <w:rsid w:val="00EC1777"/>
    <w:rsid w:val="00EC2052"/>
    <w:rsid w:val="00EC232B"/>
    <w:rsid w:val="00EC2383"/>
    <w:rsid w:val="00EC3210"/>
    <w:rsid w:val="00EC3E19"/>
    <w:rsid w:val="00EC4704"/>
    <w:rsid w:val="00EC4B14"/>
    <w:rsid w:val="00EC4DF0"/>
    <w:rsid w:val="00EC5024"/>
    <w:rsid w:val="00EC55D6"/>
    <w:rsid w:val="00EC5BCB"/>
    <w:rsid w:val="00EC6447"/>
    <w:rsid w:val="00EC6C1E"/>
    <w:rsid w:val="00EC6C7C"/>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1D9"/>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297"/>
    <w:rsid w:val="00F323E3"/>
    <w:rsid w:val="00F326B6"/>
    <w:rsid w:val="00F3273D"/>
    <w:rsid w:val="00F32C8F"/>
    <w:rsid w:val="00F334DC"/>
    <w:rsid w:val="00F3391E"/>
    <w:rsid w:val="00F33F69"/>
    <w:rsid w:val="00F34451"/>
    <w:rsid w:val="00F34581"/>
    <w:rsid w:val="00F345D2"/>
    <w:rsid w:val="00F349CB"/>
    <w:rsid w:val="00F34A38"/>
    <w:rsid w:val="00F354C9"/>
    <w:rsid w:val="00F368B6"/>
    <w:rsid w:val="00F36A11"/>
    <w:rsid w:val="00F36C90"/>
    <w:rsid w:val="00F36D83"/>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BF1"/>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D0F"/>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943373">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F9810-711F-4CFE-87CD-B58BDCEEB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1482</Words>
  <Characters>8449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2019-11-08T02:56:00Z</dcterms:created>
  <dcterms:modified xsi:type="dcterms:W3CDTF">2019-11-08T02:56:00Z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