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2C1B046C"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C0570">
        <w:rPr>
          <w:rFonts w:cs="Arial"/>
          <w:sz w:val="24"/>
          <w:szCs w:val="24"/>
          <w:lang w:val="de-DE"/>
        </w:rPr>
        <w:t>3</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B2229B">
        <w:rPr>
          <w:rFonts w:cs="Arial"/>
          <w:sz w:val="24"/>
          <w:szCs w:val="24"/>
          <w:lang w:val="de-DE"/>
        </w:rPr>
        <w:t>3826</w:t>
      </w:r>
    </w:p>
    <w:p w14:paraId="62C54E00" w14:textId="276C8F95" w:rsidR="00006351" w:rsidRPr="00DB3907" w:rsidRDefault="000C54D3" w:rsidP="00006351">
      <w:pPr>
        <w:pStyle w:val="Header"/>
        <w:tabs>
          <w:tab w:val="left" w:pos="6521"/>
        </w:tabs>
        <w:rPr>
          <w:rFonts w:cs="Arial"/>
          <w:sz w:val="24"/>
          <w:szCs w:val="24"/>
        </w:rPr>
      </w:pPr>
      <w:r>
        <w:rPr>
          <w:rFonts w:cs="Arial"/>
          <w:sz w:val="24"/>
          <w:szCs w:val="24"/>
        </w:rPr>
        <w:t>November</w:t>
      </w:r>
      <w:r w:rsidR="00006351">
        <w:rPr>
          <w:rFonts w:cs="Arial"/>
          <w:sz w:val="24"/>
          <w:szCs w:val="24"/>
        </w:rPr>
        <w:t xml:space="preserve"> </w:t>
      </w:r>
      <w:r w:rsidR="00B32606">
        <w:rPr>
          <w:rFonts w:cs="Arial"/>
          <w:sz w:val="24"/>
          <w:szCs w:val="24"/>
        </w:rPr>
        <w:t>1</w:t>
      </w:r>
      <w:r>
        <w:rPr>
          <w:rFonts w:cs="Arial"/>
          <w:sz w:val="24"/>
          <w:szCs w:val="24"/>
        </w:rPr>
        <w:t>8</w:t>
      </w:r>
      <w:r w:rsidR="00006351">
        <w:rPr>
          <w:rFonts w:cs="Arial"/>
          <w:sz w:val="24"/>
          <w:szCs w:val="24"/>
          <w:vertAlign w:val="superscript"/>
        </w:rPr>
        <w:t>th</w:t>
      </w:r>
      <w:r w:rsidR="00006351">
        <w:rPr>
          <w:rFonts w:cs="Arial"/>
          <w:sz w:val="24"/>
          <w:szCs w:val="24"/>
        </w:rPr>
        <w:t xml:space="preserve"> ‒ </w:t>
      </w:r>
      <w:r>
        <w:rPr>
          <w:rFonts w:cs="Arial"/>
          <w:sz w:val="24"/>
          <w:szCs w:val="24"/>
        </w:rPr>
        <w:t>22</w:t>
      </w:r>
      <w:r>
        <w:rPr>
          <w:rFonts w:cs="Arial"/>
          <w:sz w:val="24"/>
          <w:szCs w:val="24"/>
          <w:vertAlign w:val="superscript"/>
        </w:rPr>
        <w:t>nd</w:t>
      </w:r>
      <w:r w:rsidR="00006351">
        <w:rPr>
          <w:rFonts w:cs="Arial"/>
          <w:sz w:val="24"/>
          <w:szCs w:val="24"/>
        </w:rPr>
        <w:t>, 2019</w:t>
      </w:r>
    </w:p>
    <w:p w14:paraId="464E3469" w14:textId="6D5F9E09" w:rsidR="00006351" w:rsidRPr="00DB3907" w:rsidRDefault="004C0570" w:rsidP="00006351">
      <w:pPr>
        <w:pStyle w:val="Header"/>
        <w:rPr>
          <w:rFonts w:cs="Arial"/>
          <w:sz w:val="24"/>
          <w:szCs w:val="24"/>
        </w:rPr>
      </w:pPr>
      <w:r>
        <w:rPr>
          <w:rFonts w:cs="Arial"/>
          <w:sz w:val="24"/>
          <w:szCs w:val="24"/>
        </w:rPr>
        <w:t>Reno, NV, US</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01093B9"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B2229B">
        <w:rPr>
          <w:rFonts w:ascii="Arial" w:hAnsi="Arial"/>
          <w:sz w:val="24"/>
          <w:lang w:val="en-US"/>
        </w:rPr>
        <w:t>9.1.1.2</w:t>
      </w:r>
      <w:bookmarkStart w:id="0" w:name="_GoBack"/>
      <w:bookmarkEnd w:id="0"/>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4A469EA5"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415E7">
        <w:rPr>
          <w:rFonts w:ascii="Arial" w:hAnsi="Arial"/>
          <w:sz w:val="24"/>
          <w:lang w:val="en-US"/>
        </w:rPr>
        <w:t>NR-U bandwidth parts for wideband operation</w:t>
      </w:r>
    </w:p>
    <w:p w14:paraId="013F978F" w14:textId="5AE886F4"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415E7">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6DBAE" w14:textId="1CB852D8" w:rsidR="00E12531" w:rsidRPr="00EA675F" w:rsidRDefault="004C0570" w:rsidP="00E12531">
      <w:pPr>
        <w:rPr>
          <w:lang w:val="en-US"/>
        </w:rPr>
      </w:pPr>
      <w:r>
        <w:rPr>
          <w:lang w:val="en-US"/>
        </w:rPr>
        <w:t>In the context of non-CA-based wideband operation for NR-U, the concepts of wideband channel bandwidth, bandwidth parts, and LBT sub-bands are inter-related but perhaps not commonly understood by all.  More than a matter of terminology, each of these concepts conveys certain expectation and assumptions that will impact how NR-U requirements are to be defined.</w:t>
      </w:r>
      <w:r w:rsidR="00B5419A">
        <w:rPr>
          <w:lang w:val="en-US"/>
        </w:rPr>
        <w:t xml:space="preserve">  As described in this contribution, </w:t>
      </w:r>
      <w:r w:rsidR="00F659D2">
        <w:rPr>
          <w:lang w:val="en-US"/>
        </w:rPr>
        <w:t xml:space="preserve">the consequence of </w:t>
      </w:r>
      <w:r w:rsidR="000164E6">
        <w:rPr>
          <w:lang w:val="en-US"/>
        </w:rPr>
        <w:t>channel vs. BWP vs. scheduled sub-band transmission is t</w:t>
      </w:r>
      <w:r w:rsidR="00936E2D">
        <w:rPr>
          <w:lang w:val="en-US"/>
        </w:rPr>
        <w:t xml:space="preserve">hat filter adaptation and LO retuning cannot be assumed </w:t>
      </w:r>
      <w:r w:rsidR="000164E6">
        <w:rPr>
          <w:lang w:val="en-US"/>
        </w:rPr>
        <w:t>in the UE.  Requirements and exceptions should be defined accordingly without any such assumptions.</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101B459E" w14:textId="5428700C" w:rsidR="00392F7F" w:rsidRDefault="004C0570" w:rsidP="00981ED4">
      <w:pPr>
        <w:rPr>
          <w:lang w:val="en-US"/>
        </w:rPr>
      </w:pPr>
      <w:r>
        <w:rPr>
          <w:lang w:val="en-US"/>
        </w:rPr>
        <w:t>It is commonly understood that a wideband channel in NR may be divided into multiple bandwidth parts</w:t>
      </w:r>
      <w:r w:rsidR="00392F7F">
        <w:rPr>
          <w:lang w:val="en-US"/>
        </w:rPr>
        <w:t xml:space="preserve"> (BWP’s) of which up to four may be configured in UL and DL for the UE.  For example, the largest channel bandwidth in FR1 for NR has been 100 MHz, but this can be subdivided into BWP’s of any size corresponding to a valid channel bandwidth say 20 </w:t>
      </w:r>
      <w:proofErr w:type="spellStart"/>
      <w:r w:rsidR="00392F7F">
        <w:rPr>
          <w:lang w:val="en-US"/>
        </w:rPr>
        <w:t>MHz.</w:t>
      </w:r>
      <w:proofErr w:type="spellEnd"/>
      <w:r w:rsidR="00392F7F">
        <w:rPr>
          <w:lang w:val="en-US"/>
        </w:rPr>
        <w:t xml:space="preserve">  Moreover, it is expected that BWP adaptation whereby the UE changes from one active BWP to another already configured BWP can happen dynamically based on traffic or other considerations.  One possibility is to configure a wider BWP for high throughput data transfer and a smaller BWP for power savings, where the active BWP can change dynamically between these two as needed depending on requested traffic.</w:t>
      </w:r>
      <w:r w:rsidR="00936E2D">
        <w:rPr>
          <w:lang w:val="en-US"/>
        </w:rPr>
        <w:t xml:space="preserve">  Therefore, the concept of BWP may also have merit for NR-U and is already being integrated in relevant specifications.  However, the application of BWP’s for NR-U, especially for wideband operation deserves further discussion.</w:t>
      </w:r>
    </w:p>
    <w:p w14:paraId="3827D423" w14:textId="208D9024" w:rsidR="001E3C69" w:rsidRDefault="00936E2D" w:rsidP="00981ED4">
      <w:pPr>
        <w:rPr>
          <w:lang w:val="en-US"/>
        </w:rPr>
      </w:pPr>
      <w:r>
        <w:rPr>
          <w:lang w:val="en-US"/>
        </w:rPr>
        <w:t>Firstly, i</w:t>
      </w:r>
      <w:r w:rsidR="00B2594D">
        <w:rPr>
          <w:lang w:val="en-US"/>
        </w:rPr>
        <w:t xml:space="preserve">t is not anticipated that BWP configuration is used in NR-U for delineating LBT sub-bands.  The LBT timeline is much faster than a BWP adaptation timeline can support.  Therefore, LBT sub-bands are </w:t>
      </w:r>
      <w:r>
        <w:rPr>
          <w:lang w:val="en-US"/>
        </w:rPr>
        <w:t xml:space="preserve">possibly </w:t>
      </w:r>
      <w:r w:rsidR="00B2594D">
        <w:rPr>
          <w:lang w:val="en-US"/>
        </w:rPr>
        <w:t>contained within a BWP</w:t>
      </w:r>
      <w:r>
        <w:rPr>
          <w:lang w:val="en-US"/>
        </w:rPr>
        <w:t xml:space="preserve"> but not defined by a BWP; i.e., a BWP used in wideband operation probably holds multiple LBT sub-bands.</w:t>
      </w:r>
      <w:r w:rsidR="00B2594D">
        <w:rPr>
          <w:lang w:val="en-US"/>
        </w:rPr>
        <w:t xml:space="preserve">  </w:t>
      </w:r>
    </w:p>
    <w:p w14:paraId="4A92AAD2" w14:textId="6E8D313D" w:rsidR="001E3C69" w:rsidRPr="001E3C69" w:rsidRDefault="001E3C69" w:rsidP="00981ED4">
      <w:pPr>
        <w:rPr>
          <w:b/>
          <w:lang w:val="en-US"/>
        </w:rPr>
      </w:pPr>
      <w:r w:rsidRPr="001E3C69">
        <w:rPr>
          <w:b/>
          <w:lang w:val="en-US"/>
        </w:rPr>
        <w:t>Observation:  BWP’s are not intended to be used to delineate 20 MHz LBT sub-bands.</w:t>
      </w:r>
    </w:p>
    <w:p w14:paraId="77E0CF64" w14:textId="3FC6CF02" w:rsidR="001F1D8D" w:rsidRDefault="00B2594D" w:rsidP="00981ED4">
      <w:pPr>
        <w:rPr>
          <w:lang w:val="en-US"/>
        </w:rPr>
      </w:pPr>
      <w:r>
        <w:rPr>
          <w:lang w:val="en-US"/>
        </w:rPr>
        <w:t xml:space="preserve">However, it is not fully clear whether wideband operation refers to operation within a </w:t>
      </w:r>
      <w:r w:rsidR="00435123">
        <w:rPr>
          <w:lang w:val="en-US"/>
        </w:rPr>
        <w:t>BWP or whether it refers to operation within a channel</w:t>
      </w:r>
      <w:r w:rsidR="004C7277">
        <w:rPr>
          <w:lang w:val="en-US"/>
        </w:rPr>
        <w:t xml:space="preserve"> or carrier</w:t>
      </w:r>
      <w:r w:rsidR="00435123">
        <w:rPr>
          <w:lang w:val="en-US"/>
        </w:rPr>
        <w:t>.  For example, channel bandwidths of 20, 40, 60, and 80 MHz have been discussed, but whether these refer to the cell bandwidth or whether they refer to a configured BWP within a larger channel bandwidth is unclear.  At least</w:t>
      </w:r>
      <w:r w:rsidR="001F1D8D">
        <w:rPr>
          <w:lang w:val="en-US"/>
        </w:rPr>
        <w:t xml:space="preserve"> [</w:t>
      </w:r>
      <w:r w:rsidR="000164E6">
        <w:rPr>
          <w:lang w:val="en-US"/>
        </w:rPr>
        <w:t>1</w:t>
      </w:r>
      <w:r w:rsidR="00435123">
        <w:rPr>
          <w:lang w:val="en-US"/>
        </w:rPr>
        <w:t>] s</w:t>
      </w:r>
      <w:r w:rsidR="001F1D8D">
        <w:rPr>
          <w:lang w:val="en-US"/>
        </w:rPr>
        <w:t>tates</w:t>
      </w:r>
      <w:r w:rsidR="00435123">
        <w:rPr>
          <w:lang w:val="en-US"/>
        </w:rPr>
        <w:t xml:space="preserve"> that wideband </w:t>
      </w:r>
      <w:r w:rsidR="004C7277">
        <w:rPr>
          <w:lang w:val="en-US"/>
        </w:rPr>
        <w:t>operation</w:t>
      </w:r>
      <w:r w:rsidR="00435123">
        <w:rPr>
          <w:lang w:val="en-US"/>
        </w:rPr>
        <w:t xml:space="preserve"> is referring to a BWP within a larger cell channel </w:t>
      </w:r>
      <w:r w:rsidR="004C7277">
        <w:rPr>
          <w:lang w:val="en-US"/>
        </w:rPr>
        <w:t xml:space="preserve">carrier </w:t>
      </w:r>
      <w:r w:rsidR="00435123">
        <w:rPr>
          <w:lang w:val="en-US"/>
        </w:rPr>
        <w:t>bandwidth.</w:t>
      </w:r>
      <w:r w:rsidR="001F1D8D">
        <w:rPr>
          <w:lang w:val="en-US"/>
        </w:rPr>
        <w:t xml:space="preserve">  Text and figure 1 from [</w:t>
      </w:r>
      <w:r w:rsidR="000164E6">
        <w:rPr>
          <w:lang w:val="en-US"/>
        </w:rPr>
        <w:t>1</w:t>
      </w:r>
      <w:r w:rsidR="001F1D8D">
        <w:rPr>
          <w:lang w:val="en-US"/>
        </w:rPr>
        <w:t>] have been reproduced below.</w:t>
      </w:r>
    </w:p>
    <w:p w14:paraId="798FD9FC" w14:textId="006082B7" w:rsidR="004C725D" w:rsidRPr="001D6B56" w:rsidRDefault="004C7277" w:rsidP="004C725D">
      <w:pPr>
        <w:keepNext/>
        <w:ind w:left="426"/>
        <w:jc w:val="center"/>
      </w:pPr>
      <w:r>
        <w:rPr>
          <w:noProof/>
        </w:rPr>
        <w:lastRenderedPageBreak/>
        <mc:AlternateContent>
          <mc:Choice Requires="wps">
            <w:drawing>
              <wp:anchor distT="0" distB="0" distL="114300" distR="114300" simplePos="0" relativeHeight="251661312" behindDoc="0" locked="0" layoutInCell="1" allowOverlap="1" wp14:anchorId="11836067" wp14:editId="3948934C">
                <wp:simplePos x="0" y="0"/>
                <wp:positionH relativeFrom="margin">
                  <wp:align>left</wp:align>
                </wp:positionH>
                <wp:positionV relativeFrom="paragraph">
                  <wp:posOffset>2650178</wp:posOffset>
                </wp:positionV>
                <wp:extent cx="6184900" cy="635"/>
                <wp:effectExtent l="0" t="0" r="6350" b="6350"/>
                <wp:wrapSquare wrapText="bothSides"/>
                <wp:docPr id="3" name="Text Box 3"/>
                <wp:cNvGraphicFramePr/>
                <a:graphic xmlns:a="http://schemas.openxmlformats.org/drawingml/2006/main">
                  <a:graphicData uri="http://schemas.microsoft.com/office/word/2010/wordprocessingShape">
                    <wps:wsp>
                      <wps:cNvSpPr txBox="1"/>
                      <wps:spPr>
                        <a:xfrm>
                          <a:off x="0" y="0"/>
                          <a:ext cx="6184900" cy="635"/>
                        </a:xfrm>
                        <a:prstGeom prst="rect">
                          <a:avLst/>
                        </a:prstGeom>
                        <a:solidFill>
                          <a:prstClr val="white"/>
                        </a:solidFill>
                        <a:ln>
                          <a:noFill/>
                        </a:ln>
                      </wps:spPr>
                      <wps:txbx>
                        <w:txbxContent>
                          <w:p w14:paraId="6A3CA674" w14:textId="2F41ECC9" w:rsidR="004C7277" w:rsidRPr="00D322DA" w:rsidRDefault="004C7277" w:rsidP="004C7277">
                            <w:pPr>
                              <w:pStyle w:val="Caption"/>
                              <w:jc w:val="center"/>
                              <w:rPr>
                                <w:rFonts w:eastAsia="Times New Roman"/>
                                <w:noProof/>
                              </w:rPr>
                            </w:pPr>
                            <w:r>
                              <w:t xml:space="preserve">Figure </w:t>
                            </w:r>
                            <w:r>
                              <w:fldChar w:fldCharType="begin"/>
                            </w:r>
                            <w:r>
                              <w:instrText xml:space="preserve"> SEQ Figure \* ARABIC </w:instrText>
                            </w:r>
                            <w:r>
                              <w:fldChar w:fldCharType="separate"/>
                            </w:r>
                            <w:r>
                              <w:rPr>
                                <w:noProof/>
                              </w:rPr>
                              <w:t>1</w:t>
                            </w:r>
                            <w:r>
                              <w:fldChar w:fldCharType="end"/>
                            </w:r>
                            <w:r>
                              <w:t>.  Excerpt from [</w:t>
                            </w:r>
                            <w:r w:rsidR="000164E6">
                              <w:t>1</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1836067" id="_x0000_t202" coordsize="21600,21600" o:spt="202" path="m,l,21600r21600,l21600,xe">
                <v:stroke joinstyle="miter"/>
                <v:path gradientshapeok="t" o:connecttype="rect"/>
              </v:shapetype>
              <v:shape id="Text Box 3" o:spid="_x0000_s1026" type="#_x0000_t202" style="position:absolute;left:0;text-align:left;margin-left:0;margin-top:208.7pt;width:487pt;height:.05pt;z-index:25166131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" stroked="f">
                <v:textbox style="mso-fit-shape-to-text:t" inset="0,0,0,0">
                  <w:txbxContent>
                    <w:p w14:paraId="6A3CA674" w14:textId="2F41ECC9" w:rsidR="004C7277" w:rsidRPr="00D322DA" w:rsidRDefault="004C7277" w:rsidP="004C7277">
                      <w:pPr>
                        <w:pStyle w:val="Caption"/>
                        <w:jc w:val="center"/>
                        <w:rPr>
                          <w:rFonts w:eastAsia="Times New Roman"/>
                          <w:noProof/>
                        </w:rPr>
                      </w:pPr>
                      <w:r>
                        <w:t xml:space="preserve">Figure </w:t>
                      </w:r>
                      <w:r>
                        <w:fldChar w:fldCharType="begin"/>
                      </w:r>
                      <w:r>
                        <w:instrText xml:space="preserve"> SEQ Figure \* ARABIC </w:instrText>
                      </w:r>
                      <w:r>
                        <w:fldChar w:fldCharType="separate"/>
                      </w:r>
                      <w:r>
                        <w:rPr>
                          <w:noProof/>
                        </w:rPr>
                        <w:t>1</w:t>
                      </w:r>
                      <w:r>
                        <w:fldChar w:fldCharType="end"/>
                      </w:r>
                      <w:r>
                        <w:t>.  Excerpt from [</w:t>
                      </w:r>
                      <w:r w:rsidR="000164E6">
                        <w:t>1</w:t>
                      </w:r>
                      <w:r>
                        <w:t>]</w:t>
                      </w:r>
                    </w:p>
                  </w:txbxContent>
                </v:textbox>
                <w10:wrap type="square" anchorx="margin"/>
              </v:shape>
            </w:pict>
          </mc:Fallback>
        </mc:AlternateContent>
      </w:r>
      <w:r w:rsidR="004C725D" w:rsidRPr="004C725D">
        <w:rPr>
          <w:noProof/>
          <w:lang w:val="en-US"/>
        </w:rPr>
        <mc:AlternateContent>
          <mc:Choice Requires="wps">
            <w:drawing>
              <wp:anchor distT="45720" distB="45720" distL="114300" distR="114300" simplePos="0" relativeHeight="251659264" behindDoc="0" locked="0" layoutInCell="1" allowOverlap="1" wp14:anchorId="59C0F0FF" wp14:editId="466ADFF6">
                <wp:simplePos x="0" y="0"/>
                <wp:positionH relativeFrom="column">
                  <wp:posOffset>18631</wp:posOffset>
                </wp:positionH>
                <wp:positionV relativeFrom="paragraph">
                  <wp:posOffset>348</wp:posOffset>
                </wp:positionV>
                <wp:extent cx="6184900" cy="1404620"/>
                <wp:effectExtent l="0" t="0" r="2540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404620"/>
                        </a:xfrm>
                        <a:prstGeom prst="rect">
                          <a:avLst/>
                        </a:prstGeom>
                        <a:solidFill>
                          <a:srgbClr val="FFFFFF"/>
                        </a:solidFill>
                        <a:ln w="9525">
                          <a:solidFill>
                            <a:srgbClr val="000000"/>
                          </a:solidFill>
                          <a:miter lim="800000"/>
                          <a:headEnd/>
                          <a:tailEnd/>
                        </a:ln>
                      </wps:spPr>
                      <wps:txbx>
                        <w:txbxContent>
                          <w:p w14:paraId="2388F280" w14:textId="2A61A5B3" w:rsidR="004C725D" w:rsidRDefault="004C725D" w:rsidP="004C725D">
                            <w:pPr>
                              <w:jc w:val="both"/>
                            </w:pPr>
                            <w:r>
                              <w:t xml:space="preserve">Wideband operations utilize a Bandwidth Part (BWP) to define the wideband carrier. For NR Rel-15 the carrier </w:t>
                            </w:r>
                            <w:r w:rsidRPr="001D6B56">
                              <w:t xml:space="preserve">BWPs can be configured only within </w:t>
                            </w:r>
                            <w:r>
                              <w:t xml:space="preserve">the usable (full) physical resource blocks (PRB) </w:t>
                            </w:r>
                            <w:r w:rsidRPr="001D6B56">
                              <w:t xml:space="preserve">of a carrier as illustrated in Figure </w:t>
                            </w:r>
                            <w:r>
                              <w:t>1</w:t>
                            </w:r>
                            <w:r w:rsidRPr="001D6B56">
                              <w:t>.</w:t>
                            </w:r>
                          </w:p>
                          <w:p w14:paraId="57CBE959" w14:textId="77777777" w:rsidR="004C725D" w:rsidRPr="001D6B56" w:rsidRDefault="004C725D" w:rsidP="004C725D">
                            <w:pPr>
                              <w:keepNext/>
                              <w:ind w:left="426"/>
                              <w:jc w:val="center"/>
                            </w:pPr>
                            <w:r w:rsidRPr="005470B9">
                              <w:rPr>
                                <w:noProof/>
                              </w:rPr>
                              <w:drawing>
                                <wp:inline distT="0" distB="0" distL="0" distR="0" wp14:anchorId="27C76B4E" wp14:editId="286C56F8">
                                  <wp:extent cx="5643761" cy="141922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5894" cy="1419761"/>
                                          </a:xfrm>
                                          <a:prstGeom prst="rect">
                                            <a:avLst/>
                                          </a:prstGeom>
                                          <a:noFill/>
                                          <a:ln>
                                            <a:noFill/>
                                          </a:ln>
                                        </pic:spPr>
                                      </pic:pic>
                                    </a:graphicData>
                                  </a:graphic>
                                </wp:inline>
                              </w:drawing>
                            </w:r>
                          </w:p>
                          <w:p w14:paraId="44C3D4CC" w14:textId="77777777" w:rsidR="004C725D" w:rsidRDefault="004C725D" w:rsidP="004C725D">
                            <w:pPr>
                              <w:spacing w:before="120" w:after="120"/>
                              <w:jc w:val="center"/>
                              <w:rPr>
                                <w:b/>
                              </w:rPr>
                            </w:pPr>
                            <w:r w:rsidRPr="001D6B56">
                              <w:rPr>
                                <w:b/>
                              </w:rPr>
                              <w:t xml:space="preserve">Figure </w:t>
                            </w:r>
                            <w:r>
                              <w:rPr>
                                <w:b/>
                              </w:rPr>
                              <w:t>1</w:t>
                            </w:r>
                            <w:r w:rsidRPr="001D6B56">
                              <w:rPr>
                                <w:b/>
                              </w:rPr>
                              <w:t xml:space="preserve"> Configuration of BWP in NR Rel-15</w:t>
                            </w:r>
                          </w:p>
                          <w:p w14:paraId="243BDEE9" w14:textId="285D9D20" w:rsidR="004C725D" w:rsidRDefault="004C725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C0F0FF" id="Text Box 2" o:spid="_x0000_s1027" type="#_x0000_t202" style="position:absolute;left:0;text-align:left;margin-left:1.45pt;margin-top:.05pt;width:48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">
                <v:textbox style="mso-fit-shape-to-text:t">
                  <w:txbxContent>
                    <w:p w14:paraId="2388F280" w14:textId="2A61A5B3" w:rsidR="004C725D" w:rsidRDefault="004C725D" w:rsidP="004C725D">
                      <w:pPr>
                        <w:jc w:val="both"/>
                      </w:pPr>
                      <w:r>
                        <w:t xml:space="preserve">Wideband operations utilize a Bandwidth Part (BWP) to define the wideband carrier. For NR Rel-15 the carrier </w:t>
                      </w:r>
                      <w:r w:rsidRPr="001D6B56">
                        <w:t xml:space="preserve">BWPs can be configured only within </w:t>
                      </w:r>
                      <w:r>
                        <w:t xml:space="preserve">the usable (full) physical resource blocks (PRB) </w:t>
                      </w:r>
                      <w:r w:rsidRPr="001D6B56">
                        <w:t xml:space="preserve">of a carrier as illustrated in Figure </w:t>
                      </w:r>
                      <w:r>
                        <w:t>1</w:t>
                      </w:r>
                      <w:r w:rsidRPr="001D6B56">
                        <w:t>.</w:t>
                      </w:r>
                    </w:p>
                    <w:p w14:paraId="57CBE959" w14:textId="77777777" w:rsidR="004C725D" w:rsidRPr="001D6B56" w:rsidRDefault="004C725D" w:rsidP="004C725D">
                      <w:pPr>
                        <w:keepNext/>
                        <w:ind w:left="426"/>
                        <w:jc w:val="center"/>
                      </w:pPr>
                      <w:r w:rsidRPr="005470B9">
                        <w:rPr>
                          <w:noProof/>
                        </w:rPr>
                        <w:drawing>
                          <wp:inline distT="0" distB="0" distL="0" distR="0" wp14:anchorId="27C76B4E" wp14:editId="286C56F8">
                            <wp:extent cx="5643761" cy="141922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5894" cy="1419761"/>
                                    </a:xfrm>
                                    <a:prstGeom prst="rect">
                                      <a:avLst/>
                                    </a:prstGeom>
                                    <a:noFill/>
                                    <a:ln>
                                      <a:noFill/>
                                    </a:ln>
                                  </pic:spPr>
                                </pic:pic>
                              </a:graphicData>
                            </a:graphic>
                          </wp:inline>
                        </w:drawing>
                      </w:r>
                    </w:p>
                    <w:p w14:paraId="44C3D4CC" w14:textId="77777777" w:rsidR="004C725D" w:rsidRDefault="004C725D" w:rsidP="004C725D">
                      <w:pPr>
                        <w:spacing w:before="120" w:after="120"/>
                        <w:jc w:val="center"/>
                        <w:rPr>
                          <w:b/>
                        </w:rPr>
                      </w:pPr>
                      <w:r w:rsidRPr="001D6B56">
                        <w:rPr>
                          <w:b/>
                        </w:rPr>
                        <w:t xml:space="preserve">Figure </w:t>
                      </w:r>
                      <w:r>
                        <w:rPr>
                          <w:b/>
                        </w:rPr>
                        <w:t>1</w:t>
                      </w:r>
                      <w:r w:rsidRPr="001D6B56">
                        <w:rPr>
                          <w:b/>
                        </w:rPr>
                        <w:t xml:space="preserve"> Configuration of BWP in NR Rel-15</w:t>
                      </w:r>
                    </w:p>
                    <w:p w14:paraId="243BDEE9" w14:textId="285D9D20" w:rsidR="004C725D" w:rsidRDefault="004C725D"/>
                  </w:txbxContent>
                </v:textbox>
                <w10:wrap type="square"/>
              </v:shape>
            </w:pict>
          </mc:Fallback>
        </mc:AlternateContent>
      </w:r>
    </w:p>
    <w:p w14:paraId="0AE1A2EB" w14:textId="2204207E" w:rsidR="00FE47F9" w:rsidRDefault="00A92D2B" w:rsidP="00981ED4">
      <w:pPr>
        <w:rPr>
          <w:lang w:val="en-US"/>
        </w:rPr>
      </w:pPr>
      <w:r>
        <w:rPr>
          <w:lang w:val="en-US"/>
        </w:rPr>
        <w:t>Th</w:t>
      </w:r>
      <w:r w:rsidR="004C7277">
        <w:rPr>
          <w:lang w:val="en-US"/>
        </w:rPr>
        <w:t xml:space="preserve">is understanding </w:t>
      </w:r>
      <w:r>
        <w:rPr>
          <w:lang w:val="en-US"/>
        </w:rPr>
        <w:t>is important</w:t>
      </w:r>
      <w:r w:rsidR="004C7277">
        <w:rPr>
          <w:lang w:val="en-US"/>
        </w:rPr>
        <w:t xml:space="preserve"> and carries certain implications as described forthwith</w:t>
      </w:r>
      <w:r>
        <w:rPr>
          <w:lang w:val="en-US"/>
        </w:rPr>
        <w:t xml:space="preserve">.  It has been agreed in NR that UE RF </w:t>
      </w:r>
      <w:r w:rsidR="00FE47F9">
        <w:rPr>
          <w:lang w:val="en-US"/>
        </w:rPr>
        <w:t>requirements</w:t>
      </w:r>
      <w:r>
        <w:rPr>
          <w:lang w:val="en-US"/>
        </w:rPr>
        <w:t xml:space="preserve"> are not based on the BWP but rather on the wider channel</w:t>
      </w:r>
      <w:r w:rsidR="00FE47F9">
        <w:rPr>
          <w:lang w:val="en-US"/>
        </w:rPr>
        <w:t xml:space="preserve"> bandwidth</w:t>
      </w:r>
      <w:r>
        <w:rPr>
          <w:lang w:val="en-US"/>
        </w:rPr>
        <w:t xml:space="preserve"> [</w:t>
      </w:r>
      <w:r w:rsidR="000164E6">
        <w:rPr>
          <w:lang w:val="en-US"/>
        </w:rPr>
        <w:t>2</w:t>
      </w:r>
      <w:r>
        <w:rPr>
          <w:lang w:val="en-US"/>
        </w:rPr>
        <w:t xml:space="preserve">].  In </w:t>
      </w:r>
      <w:r w:rsidR="00FE47F9">
        <w:rPr>
          <w:lang w:val="en-US"/>
        </w:rPr>
        <w:t xml:space="preserve">fact, the notion of BWP does not even appear in 38.101 UE RF requirements since the requirements are only based </w:t>
      </w:r>
      <w:r w:rsidR="009B3320">
        <w:rPr>
          <w:lang w:val="en-US"/>
        </w:rPr>
        <w:t xml:space="preserve">on the </w:t>
      </w:r>
      <w:r w:rsidR="00FE47F9">
        <w:rPr>
          <w:lang w:val="en-US"/>
        </w:rPr>
        <w:t xml:space="preserve">channel </w:t>
      </w:r>
      <w:r w:rsidR="008838E9">
        <w:rPr>
          <w:lang w:val="en-US"/>
        </w:rPr>
        <w:t xml:space="preserve">bandwidth </w:t>
      </w:r>
      <w:r w:rsidR="00FE47F9">
        <w:rPr>
          <w:lang w:val="en-US"/>
        </w:rPr>
        <w:t xml:space="preserve">rather than the BWP.  As such, the UE implementation is not expected to adjust its </w:t>
      </w:r>
      <w:r w:rsidR="00AF0E31">
        <w:rPr>
          <w:lang w:val="en-US"/>
        </w:rPr>
        <w:t xml:space="preserve">front-end Tx or Rx </w:t>
      </w:r>
      <w:r w:rsidR="00FE47F9">
        <w:rPr>
          <w:lang w:val="en-US"/>
        </w:rPr>
        <w:t xml:space="preserve">configuration, either analog or digital, in response to the </w:t>
      </w:r>
      <w:r w:rsidR="00D2023F">
        <w:rPr>
          <w:lang w:val="en-US"/>
        </w:rPr>
        <w:t xml:space="preserve">active </w:t>
      </w:r>
      <w:r w:rsidR="00FE47F9">
        <w:rPr>
          <w:lang w:val="en-US"/>
        </w:rPr>
        <w:t>BWP for meeting UE RF Tx and Rx requirements, though</w:t>
      </w:r>
      <w:r w:rsidR="00D2023F">
        <w:rPr>
          <w:lang w:val="en-US"/>
        </w:rPr>
        <w:t xml:space="preserve"> of course</w:t>
      </w:r>
      <w:r w:rsidR="00FE47F9">
        <w:rPr>
          <w:lang w:val="en-US"/>
        </w:rPr>
        <w:t xml:space="preserve"> it is not precluded from doing so.  </w:t>
      </w:r>
    </w:p>
    <w:p w14:paraId="135F53F9" w14:textId="1F33F096" w:rsidR="00A047DD" w:rsidRPr="00A047DD" w:rsidRDefault="00A047DD" w:rsidP="00981ED4">
      <w:pPr>
        <w:rPr>
          <w:b/>
          <w:lang w:val="en-US"/>
        </w:rPr>
      </w:pPr>
      <w:r w:rsidRPr="00A047DD">
        <w:rPr>
          <w:b/>
          <w:lang w:val="en-US"/>
        </w:rPr>
        <w:t>Observation:  UE RF requirements are defined with respect to the cell channel bandwidth, not to a BWP.</w:t>
      </w:r>
    </w:p>
    <w:p w14:paraId="476E93E4" w14:textId="510352B9" w:rsidR="00D2023F" w:rsidRDefault="00D2023F" w:rsidP="00981ED4">
      <w:pPr>
        <w:rPr>
          <w:lang w:val="en-US"/>
        </w:rPr>
      </w:pPr>
      <w:r>
        <w:rPr>
          <w:lang w:val="en-US"/>
        </w:rPr>
        <w:t xml:space="preserve">The implication to NR-U is that it can not be expected that any RF configuration is adapted to the BWP for NR-U wideband operation.  Specifically, it cannot be assumed that there is filter adaptation (either analog or digital) nor can it be assumed that the LO is centered in the middle of the BWP unless the BWP happens to be centered within its channel.  </w:t>
      </w:r>
    </w:p>
    <w:p w14:paraId="07895DA7" w14:textId="678F0611" w:rsidR="00D2023F" w:rsidRPr="00D2023F" w:rsidRDefault="00D2023F" w:rsidP="00981ED4">
      <w:pPr>
        <w:rPr>
          <w:b/>
          <w:lang w:val="en-US"/>
        </w:rPr>
      </w:pPr>
      <w:r w:rsidRPr="00D2023F">
        <w:rPr>
          <w:b/>
          <w:lang w:val="en-US"/>
        </w:rPr>
        <w:t xml:space="preserve">Observation:  If BWP’s are used as containers for NR-U wideband operation, it cannot be assumed that any UE RF front-end configuration is adapted to the BWP rather than the channel.  </w:t>
      </w:r>
      <w:proofErr w:type="gramStart"/>
      <w:r w:rsidRPr="00D2023F">
        <w:rPr>
          <w:b/>
          <w:lang w:val="en-US"/>
        </w:rPr>
        <w:t>In particular, it</w:t>
      </w:r>
      <w:proofErr w:type="gramEnd"/>
      <w:r w:rsidRPr="00D2023F">
        <w:rPr>
          <w:b/>
          <w:lang w:val="en-US"/>
        </w:rPr>
        <w:t xml:space="preserve"> cannot be assumed that any filters either analog or digital will be adapted to the BWP nor can it be assumed that the LO will be tuned according to the BWP.</w:t>
      </w:r>
    </w:p>
    <w:p w14:paraId="43152C35" w14:textId="618B9A2D" w:rsidR="00673C5C" w:rsidRDefault="00673C5C" w:rsidP="00981ED4">
      <w:pPr>
        <w:rPr>
          <w:lang w:val="en-US"/>
        </w:rPr>
      </w:pPr>
      <w:r>
        <w:rPr>
          <w:lang w:val="en-US"/>
        </w:rPr>
        <w:t>The lack of filter adaptation means that emission requirements that fall outside of the BWP but within the channel do not derive any benefit from filter attenuation.  Similarly, ACS and blocking requirements also do not benefit from filter rejection in the UE receiver.  The fact that the LO is tuned not to the center of the BWP, but to the center of the channel means that IQ image products may fall outside of the BWP even when UL transmissions are fully contiguous.  If emission requirements are defined relative to the transmitted LBT sub-bands within the BWP, then IQ image products will require exception as already identified in [</w:t>
      </w:r>
      <w:r w:rsidR="00345126">
        <w:rPr>
          <w:lang w:val="en-US"/>
        </w:rPr>
        <w:t>3</w:t>
      </w:r>
      <w:r>
        <w:rPr>
          <w:lang w:val="en-US"/>
        </w:rPr>
        <w:t>].  What may not have been fully evident in [</w:t>
      </w:r>
      <w:r w:rsidR="00345126">
        <w:rPr>
          <w:lang w:val="en-US"/>
        </w:rPr>
        <w:t>3</w:t>
      </w:r>
      <w:r>
        <w:rPr>
          <w:lang w:val="en-US"/>
        </w:rPr>
        <w:t>], however, is that the LO may not be centered within the BWP and therefore the required exceptions for IQ image products may fall outside of the BWP</w:t>
      </w:r>
      <w:r w:rsidR="00A047DD">
        <w:rPr>
          <w:lang w:val="en-US"/>
        </w:rPr>
        <w:t xml:space="preserve"> but within the c</w:t>
      </w:r>
      <w:r w:rsidR="00634A2A">
        <w:rPr>
          <w:lang w:val="en-US"/>
        </w:rPr>
        <w:t>arrier channel bandwidth</w:t>
      </w:r>
      <w:r>
        <w:rPr>
          <w:lang w:val="en-US"/>
        </w:rPr>
        <w:t xml:space="preserve">. </w:t>
      </w:r>
      <w:r w:rsidR="000164E6">
        <w:rPr>
          <w:lang w:val="en-US"/>
        </w:rPr>
        <w:t xml:space="preserve"> The way forward in [</w:t>
      </w:r>
      <w:r w:rsidR="00345126">
        <w:rPr>
          <w:lang w:val="en-US"/>
        </w:rPr>
        <w:t>3]</w:t>
      </w:r>
      <w:r w:rsidR="000164E6">
        <w:rPr>
          <w:lang w:val="en-US"/>
        </w:rPr>
        <w:t xml:space="preserve"> references punctured channels </w:t>
      </w:r>
      <w:r w:rsidR="00245D0A">
        <w:rPr>
          <w:lang w:val="en-US"/>
        </w:rPr>
        <w:t>in the context of wideband operation but is not clear whether this is regarded as the channel or BWP within a channel</w:t>
      </w:r>
      <w:r w:rsidR="000164E6">
        <w:rPr>
          <w:lang w:val="en-US"/>
        </w:rPr>
        <w:t>.</w:t>
      </w:r>
      <w:r>
        <w:rPr>
          <w:lang w:val="en-US"/>
        </w:rPr>
        <w:t xml:space="preserve"> </w:t>
      </w:r>
      <w:r w:rsidR="000164E6">
        <w:rPr>
          <w:lang w:val="en-US"/>
        </w:rPr>
        <w:t xml:space="preserve"> </w:t>
      </w:r>
      <w:r>
        <w:rPr>
          <w:lang w:val="en-US"/>
        </w:rPr>
        <w:t>An illustration is provided below</w:t>
      </w:r>
      <w:r w:rsidR="00833C98">
        <w:rPr>
          <w:lang w:val="en-US"/>
        </w:rPr>
        <w:t xml:space="preserve"> for emissions in the </w:t>
      </w:r>
      <w:proofErr w:type="gramStart"/>
      <w:r w:rsidR="00833C98">
        <w:rPr>
          <w:lang w:val="en-US"/>
        </w:rPr>
        <w:t>uplink</w:t>
      </w:r>
      <w:proofErr w:type="gramEnd"/>
      <w:r w:rsidR="00833C98">
        <w:rPr>
          <w:lang w:val="en-US"/>
        </w:rPr>
        <w:t xml:space="preserve"> but a similar problem exists for blockers in the downlink</w:t>
      </w:r>
      <w:r>
        <w:rPr>
          <w:lang w:val="en-US"/>
        </w:rPr>
        <w:t>.</w:t>
      </w:r>
    </w:p>
    <w:p w14:paraId="6714F8C4" w14:textId="36118B4D" w:rsidR="00B21F29" w:rsidRDefault="00B21F29" w:rsidP="00981ED4">
      <w:pPr>
        <w:rPr>
          <w:rFonts w:ascii="Tms Rmn" w:hAnsi="Tms Rmn"/>
          <w:lang w:val="en-US"/>
        </w:rPr>
      </w:pPr>
      <w:r>
        <w:rPr>
          <w:lang w:val="en-US"/>
        </w:rPr>
        <w:fldChar w:fldCharType="begin"/>
      </w:r>
      <w:r>
        <w:rPr>
          <w:lang w:val="en-US"/>
        </w:rPr>
        <w:instrText xml:space="preserve"> LINK </w:instrText>
      </w:r>
      <w:r w:rsidR="00E85869">
        <w:rPr>
          <w:lang w:val="en-US"/>
        </w:rPr>
        <w:instrText xml:space="preserve">Excel.Sheet.12 "C:\\Projects\\3GPP\\RAN4\\R4_93 Reno\\BWP vs. channel.xlsx" Sheet1!R2C2:R11C11 </w:instrText>
      </w:r>
      <w:r>
        <w:rPr>
          <w:lang w:val="en-US"/>
        </w:rPr>
        <w:instrText xml:space="preserve">\a \f 4 \h </w:instrText>
      </w:r>
      <w:r>
        <w:rPr>
          <w:lang w:val="en-US"/>
        </w:rPr>
        <w:fldChar w:fldCharType="separate"/>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B21F29" w:rsidRPr="00B21F29" w14:paraId="28190C1E" w14:textId="77777777" w:rsidTr="00B21F29">
        <w:trPr>
          <w:trHeight w:val="300"/>
        </w:trPr>
        <w:tc>
          <w:tcPr>
            <w:tcW w:w="9600" w:type="dxa"/>
            <w:gridSpan w:val="10"/>
            <w:tcBorders>
              <w:top w:val="nil"/>
              <w:left w:val="nil"/>
              <w:bottom w:val="nil"/>
              <w:right w:val="nil"/>
            </w:tcBorders>
            <w:shd w:val="clear" w:color="auto" w:fill="auto"/>
            <w:noWrap/>
            <w:vAlign w:val="bottom"/>
            <w:hideMark/>
          </w:tcPr>
          <w:p w14:paraId="7D184B98" w14:textId="3D4DA739" w:rsidR="00B21F29" w:rsidRPr="00B21F29" w:rsidRDefault="00B21F29" w:rsidP="00B21F29">
            <w:pPr>
              <w:spacing w:after="0"/>
              <w:jc w:val="center"/>
              <w:rPr>
                <w:rFonts w:ascii="Calibri" w:hAnsi="Calibri" w:cs="Calibri"/>
                <w:color w:val="000000"/>
                <w:sz w:val="22"/>
                <w:szCs w:val="22"/>
                <w:lang w:val="en-US"/>
              </w:rPr>
            </w:pPr>
            <w:r w:rsidRPr="00B21F29">
              <w:rPr>
                <w:rFonts w:ascii="Calibri" w:hAnsi="Calibri" w:cs="Calibri"/>
                <w:color w:val="000000"/>
                <w:sz w:val="22"/>
                <w:szCs w:val="22"/>
                <w:lang w:val="en-US"/>
              </w:rPr>
              <w:t>100 MHz NR-U carrier</w:t>
            </w:r>
          </w:p>
        </w:tc>
      </w:tr>
      <w:tr w:rsidR="00B21F29" w:rsidRPr="00B21F29" w14:paraId="2E31BA06" w14:textId="77777777" w:rsidTr="00B21F29">
        <w:trPr>
          <w:trHeight w:val="300"/>
        </w:trPr>
        <w:tc>
          <w:tcPr>
            <w:tcW w:w="960" w:type="dxa"/>
            <w:tcBorders>
              <w:top w:val="single" w:sz="4" w:space="0" w:color="auto"/>
              <w:left w:val="single" w:sz="4" w:space="0" w:color="auto"/>
              <w:bottom w:val="nil"/>
              <w:right w:val="nil"/>
            </w:tcBorders>
            <w:shd w:val="clear" w:color="auto" w:fill="auto"/>
            <w:noWrap/>
            <w:vAlign w:val="bottom"/>
            <w:hideMark/>
          </w:tcPr>
          <w:p w14:paraId="63F2B0B1"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nil"/>
            </w:tcBorders>
            <w:shd w:val="clear" w:color="auto" w:fill="auto"/>
            <w:noWrap/>
            <w:vAlign w:val="bottom"/>
            <w:hideMark/>
          </w:tcPr>
          <w:p w14:paraId="70714F50"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nil"/>
            </w:tcBorders>
            <w:shd w:val="clear" w:color="auto" w:fill="auto"/>
            <w:noWrap/>
            <w:vAlign w:val="bottom"/>
            <w:hideMark/>
          </w:tcPr>
          <w:p w14:paraId="45FCA82C"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nil"/>
            </w:tcBorders>
            <w:shd w:val="clear" w:color="auto" w:fill="auto"/>
            <w:noWrap/>
            <w:vAlign w:val="bottom"/>
            <w:hideMark/>
          </w:tcPr>
          <w:p w14:paraId="08CC806C"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nil"/>
            </w:tcBorders>
            <w:shd w:val="clear" w:color="auto" w:fill="auto"/>
            <w:noWrap/>
            <w:vAlign w:val="bottom"/>
            <w:hideMark/>
          </w:tcPr>
          <w:p w14:paraId="286759F2"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nil"/>
            </w:tcBorders>
            <w:shd w:val="clear" w:color="auto" w:fill="auto"/>
            <w:noWrap/>
            <w:vAlign w:val="bottom"/>
            <w:hideMark/>
          </w:tcPr>
          <w:p w14:paraId="1FF260EC"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nil"/>
            </w:tcBorders>
            <w:shd w:val="clear" w:color="auto" w:fill="auto"/>
            <w:noWrap/>
            <w:vAlign w:val="bottom"/>
            <w:hideMark/>
          </w:tcPr>
          <w:p w14:paraId="307D0691"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nil"/>
            </w:tcBorders>
            <w:shd w:val="clear" w:color="auto" w:fill="auto"/>
            <w:noWrap/>
            <w:vAlign w:val="bottom"/>
            <w:hideMark/>
          </w:tcPr>
          <w:p w14:paraId="4771B16E"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nil"/>
            </w:tcBorders>
            <w:shd w:val="clear" w:color="auto" w:fill="auto"/>
            <w:noWrap/>
            <w:vAlign w:val="bottom"/>
            <w:hideMark/>
          </w:tcPr>
          <w:p w14:paraId="6FB0B11C"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single" w:sz="4" w:space="0" w:color="auto"/>
              <w:left w:val="nil"/>
              <w:bottom w:val="nil"/>
              <w:right w:val="single" w:sz="4" w:space="0" w:color="auto"/>
            </w:tcBorders>
            <w:shd w:val="clear" w:color="auto" w:fill="auto"/>
            <w:noWrap/>
            <w:vAlign w:val="bottom"/>
            <w:hideMark/>
          </w:tcPr>
          <w:p w14:paraId="68876B71"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r>
      <w:tr w:rsidR="00B21F29" w:rsidRPr="00B21F29" w14:paraId="63F6B322" w14:textId="77777777" w:rsidTr="00B21F29">
        <w:trPr>
          <w:trHeight w:val="300"/>
        </w:trPr>
        <w:tc>
          <w:tcPr>
            <w:tcW w:w="960" w:type="dxa"/>
            <w:tcBorders>
              <w:top w:val="nil"/>
              <w:left w:val="single" w:sz="4" w:space="0" w:color="auto"/>
              <w:bottom w:val="nil"/>
              <w:right w:val="nil"/>
            </w:tcBorders>
            <w:shd w:val="clear" w:color="auto" w:fill="auto"/>
            <w:noWrap/>
            <w:vAlign w:val="bottom"/>
            <w:hideMark/>
          </w:tcPr>
          <w:p w14:paraId="44BA4834"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nil"/>
              <w:left w:val="nil"/>
              <w:bottom w:val="nil"/>
              <w:right w:val="nil"/>
            </w:tcBorders>
            <w:shd w:val="clear" w:color="auto" w:fill="auto"/>
            <w:noWrap/>
            <w:vAlign w:val="bottom"/>
            <w:hideMark/>
          </w:tcPr>
          <w:p w14:paraId="3970CC6E" w14:textId="77777777" w:rsidR="00B21F29" w:rsidRPr="00B21F29" w:rsidRDefault="00B21F29" w:rsidP="00B21F29">
            <w:pPr>
              <w:spacing w:after="0"/>
              <w:rPr>
                <w:rFonts w:ascii="Calibri" w:hAnsi="Calibri" w:cs="Calibri"/>
                <w:color w:val="000000"/>
                <w:sz w:val="22"/>
                <w:szCs w:val="22"/>
                <w:lang w:val="en-US"/>
              </w:rPr>
            </w:pPr>
          </w:p>
        </w:tc>
        <w:tc>
          <w:tcPr>
            <w:tcW w:w="7680" w:type="dxa"/>
            <w:gridSpan w:val="8"/>
            <w:tcBorders>
              <w:top w:val="single" w:sz="4" w:space="0" w:color="auto"/>
              <w:left w:val="single" w:sz="4" w:space="0" w:color="auto"/>
              <w:bottom w:val="nil"/>
              <w:right w:val="single" w:sz="4" w:space="0" w:color="000000"/>
            </w:tcBorders>
            <w:shd w:val="clear" w:color="auto" w:fill="auto"/>
            <w:noWrap/>
            <w:vAlign w:val="bottom"/>
            <w:hideMark/>
          </w:tcPr>
          <w:p w14:paraId="375F7420" w14:textId="77777777" w:rsidR="00B21F29" w:rsidRPr="00B21F29" w:rsidRDefault="00B21F29" w:rsidP="00B21F29">
            <w:pPr>
              <w:spacing w:after="0"/>
              <w:jc w:val="center"/>
              <w:rPr>
                <w:rFonts w:ascii="Calibri" w:hAnsi="Calibri" w:cs="Calibri"/>
                <w:color w:val="000000"/>
                <w:sz w:val="22"/>
                <w:szCs w:val="22"/>
                <w:lang w:val="en-US"/>
              </w:rPr>
            </w:pPr>
            <w:r w:rsidRPr="00B21F29">
              <w:rPr>
                <w:rFonts w:ascii="Calibri" w:hAnsi="Calibri" w:cs="Calibri"/>
                <w:color w:val="000000"/>
                <w:sz w:val="22"/>
                <w:szCs w:val="22"/>
                <w:lang w:val="en-US"/>
              </w:rPr>
              <w:t>80 MHz BWP with 4 20 MHz LBT sub-bands</w:t>
            </w:r>
          </w:p>
        </w:tc>
      </w:tr>
      <w:tr w:rsidR="00B21F29" w:rsidRPr="00B21F29" w14:paraId="1F9B2216" w14:textId="77777777" w:rsidTr="00B21F29">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A431272"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nil"/>
              <w:left w:val="nil"/>
              <w:bottom w:val="single" w:sz="4" w:space="0" w:color="auto"/>
              <w:right w:val="nil"/>
            </w:tcBorders>
            <w:shd w:val="clear" w:color="auto" w:fill="auto"/>
            <w:noWrap/>
            <w:vAlign w:val="bottom"/>
            <w:hideMark/>
          </w:tcPr>
          <w:p w14:paraId="4A2752E4"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1920" w:type="dxa"/>
            <w:gridSpan w:val="2"/>
            <w:tcBorders>
              <w:top w:val="nil"/>
              <w:left w:val="single" w:sz="4" w:space="0" w:color="auto"/>
              <w:bottom w:val="single" w:sz="4" w:space="0" w:color="auto"/>
              <w:right w:val="nil"/>
            </w:tcBorders>
            <w:shd w:val="clear" w:color="auto" w:fill="auto"/>
            <w:noWrap/>
            <w:vAlign w:val="bottom"/>
            <w:hideMark/>
          </w:tcPr>
          <w:p w14:paraId="61A3C680" w14:textId="77777777" w:rsidR="00B21F29" w:rsidRPr="00B21F29" w:rsidRDefault="00B21F29" w:rsidP="00B21F29">
            <w:pPr>
              <w:spacing w:after="0"/>
              <w:jc w:val="center"/>
              <w:rPr>
                <w:rFonts w:ascii="Calibri" w:hAnsi="Calibri" w:cs="Calibri"/>
                <w:color w:val="000000"/>
                <w:sz w:val="16"/>
                <w:szCs w:val="16"/>
                <w:lang w:val="en-US"/>
              </w:rPr>
            </w:pPr>
            <w:r w:rsidRPr="00B21F29">
              <w:rPr>
                <w:rFonts w:ascii="Calibri" w:hAnsi="Calibri" w:cs="Calibri"/>
                <w:color w:val="000000"/>
                <w:sz w:val="16"/>
                <w:szCs w:val="16"/>
                <w:lang w:val="en-US"/>
              </w:rPr>
              <w:t>LBT SB1 (not scheduled)</w:t>
            </w:r>
          </w:p>
        </w:tc>
        <w:tc>
          <w:tcPr>
            <w:tcW w:w="1920" w:type="dxa"/>
            <w:gridSpan w:val="2"/>
            <w:tcBorders>
              <w:top w:val="nil"/>
              <w:left w:val="nil"/>
              <w:bottom w:val="single" w:sz="4" w:space="0" w:color="auto"/>
              <w:right w:val="nil"/>
            </w:tcBorders>
            <w:shd w:val="clear" w:color="000000" w:fill="92D050"/>
            <w:noWrap/>
            <w:vAlign w:val="bottom"/>
            <w:hideMark/>
          </w:tcPr>
          <w:p w14:paraId="6302F5E3" w14:textId="77777777" w:rsidR="00B21F29" w:rsidRPr="00B21F29" w:rsidRDefault="00B21F29" w:rsidP="00B21F29">
            <w:pPr>
              <w:spacing w:after="0"/>
              <w:jc w:val="center"/>
              <w:rPr>
                <w:rFonts w:ascii="Calibri" w:hAnsi="Calibri" w:cs="Calibri"/>
                <w:color w:val="000000"/>
                <w:sz w:val="16"/>
                <w:szCs w:val="16"/>
                <w:lang w:val="en-US"/>
              </w:rPr>
            </w:pPr>
            <w:r w:rsidRPr="00B21F29">
              <w:rPr>
                <w:rFonts w:ascii="Calibri" w:hAnsi="Calibri" w:cs="Calibri"/>
                <w:color w:val="000000"/>
                <w:sz w:val="16"/>
                <w:szCs w:val="16"/>
                <w:lang w:val="en-US"/>
              </w:rPr>
              <w:t>LBT SB2</w:t>
            </w:r>
          </w:p>
        </w:tc>
        <w:tc>
          <w:tcPr>
            <w:tcW w:w="1920" w:type="dxa"/>
            <w:gridSpan w:val="2"/>
            <w:tcBorders>
              <w:top w:val="nil"/>
              <w:left w:val="nil"/>
              <w:bottom w:val="single" w:sz="4" w:space="0" w:color="auto"/>
              <w:right w:val="nil"/>
            </w:tcBorders>
            <w:shd w:val="clear" w:color="000000" w:fill="92D050"/>
            <w:noWrap/>
            <w:vAlign w:val="bottom"/>
            <w:hideMark/>
          </w:tcPr>
          <w:p w14:paraId="039FFA0F" w14:textId="77777777" w:rsidR="00B21F29" w:rsidRPr="00B21F29" w:rsidRDefault="00B21F29" w:rsidP="00B21F29">
            <w:pPr>
              <w:spacing w:after="0"/>
              <w:jc w:val="center"/>
              <w:rPr>
                <w:rFonts w:ascii="Calibri" w:hAnsi="Calibri" w:cs="Calibri"/>
                <w:color w:val="000000"/>
                <w:sz w:val="16"/>
                <w:szCs w:val="16"/>
                <w:lang w:val="en-US"/>
              </w:rPr>
            </w:pPr>
            <w:r w:rsidRPr="00B21F29">
              <w:rPr>
                <w:rFonts w:ascii="Calibri" w:hAnsi="Calibri" w:cs="Calibri"/>
                <w:color w:val="000000"/>
                <w:sz w:val="16"/>
                <w:szCs w:val="16"/>
                <w:lang w:val="en-US"/>
              </w:rPr>
              <w:t>LBT SB3</w:t>
            </w:r>
          </w:p>
        </w:tc>
        <w:tc>
          <w:tcPr>
            <w:tcW w:w="1920" w:type="dxa"/>
            <w:gridSpan w:val="2"/>
            <w:tcBorders>
              <w:top w:val="nil"/>
              <w:left w:val="nil"/>
              <w:bottom w:val="single" w:sz="4" w:space="0" w:color="auto"/>
              <w:right w:val="single" w:sz="4" w:space="0" w:color="000000"/>
            </w:tcBorders>
            <w:shd w:val="clear" w:color="000000" w:fill="92D050"/>
            <w:noWrap/>
            <w:vAlign w:val="bottom"/>
            <w:hideMark/>
          </w:tcPr>
          <w:p w14:paraId="2B48B6D7" w14:textId="77777777" w:rsidR="00B21F29" w:rsidRPr="00B21F29" w:rsidRDefault="00B21F29" w:rsidP="00B21F29">
            <w:pPr>
              <w:spacing w:after="0"/>
              <w:jc w:val="center"/>
              <w:rPr>
                <w:rFonts w:ascii="Calibri" w:hAnsi="Calibri" w:cs="Calibri"/>
                <w:color w:val="000000"/>
                <w:sz w:val="16"/>
                <w:szCs w:val="16"/>
                <w:lang w:val="en-US"/>
              </w:rPr>
            </w:pPr>
            <w:r w:rsidRPr="00B21F29">
              <w:rPr>
                <w:rFonts w:ascii="Calibri" w:hAnsi="Calibri" w:cs="Calibri"/>
                <w:color w:val="000000"/>
                <w:sz w:val="16"/>
                <w:szCs w:val="16"/>
                <w:lang w:val="en-US"/>
              </w:rPr>
              <w:t>LBT SB4</w:t>
            </w:r>
          </w:p>
        </w:tc>
      </w:tr>
      <w:tr w:rsidR="00B21F29" w:rsidRPr="00B21F29" w14:paraId="089E93A3" w14:textId="77777777" w:rsidTr="00B21F29">
        <w:trPr>
          <w:trHeight w:val="300"/>
        </w:trPr>
        <w:tc>
          <w:tcPr>
            <w:tcW w:w="960" w:type="dxa"/>
            <w:tcBorders>
              <w:top w:val="nil"/>
              <w:left w:val="nil"/>
              <w:bottom w:val="nil"/>
              <w:right w:val="nil"/>
            </w:tcBorders>
            <w:shd w:val="clear" w:color="auto" w:fill="auto"/>
            <w:noWrap/>
            <w:vAlign w:val="bottom"/>
            <w:hideMark/>
          </w:tcPr>
          <w:p w14:paraId="1D776083" w14:textId="77777777" w:rsidR="00B21F29" w:rsidRPr="00B21F29" w:rsidRDefault="00B21F29" w:rsidP="00B21F29">
            <w:pPr>
              <w:spacing w:after="0"/>
              <w:jc w:val="center"/>
              <w:rPr>
                <w:rFonts w:ascii="Calibri" w:hAnsi="Calibri" w:cs="Calibri"/>
                <w:color w:val="000000"/>
                <w:sz w:val="16"/>
                <w:szCs w:val="16"/>
                <w:lang w:val="en-US"/>
              </w:rPr>
            </w:pPr>
          </w:p>
        </w:tc>
        <w:tc>
          <w:tcPr>
            <w:tcW w:w="960" w:type="dxa"/>
            <w:tcBorders>
              <w:top w:val="nil"/>
              <w:left w:val="nil"/>
              <w:bottom w:val="nil"/>
              <w:right w:val="nil"/>
            </w:tcBorders>
            <w:shd w:val="clear" w:color="auto" w:fill="auto"/>
            <w:noWrap/>
            <w:vAlign w:val="bottom"/>
            <w:hideMark/>
          </w:tcPr>
          <w:p w14:paraId="07BE561D"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2BFA45D1"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3B552E01"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4DD2B65A"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27AA7A4E"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5222D37C"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1D180B06"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3E6BA9E4"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436158F5" w14:textId="77777777" w:rsidR="00B21F29" w:rsidRPr="00B21F29" w:rsidRDefault="00B21F29" w:rsidP="00B21F29">
            <w:pPr>
              <w:spacing w:after="0"/>
              <w:rPr>
                <w:lang w:val="en-US"/>
              </w:rPr>
            </w:pPr>
          </w:p>
        </w:tc>
      </w:tr>
      <w:tr w:rsidR="00B21F29" w:rsidRPr="00B21F29" w14:paraId="1D9D6612" w14:textId="77777777" w:rsidTr="00B21F29">
        <w:trPr>
          <w:trHeight w:val="300"/>
        </w:trPr>
        <w:tc>
          <w:tcPr>
            <w:tcW w:w="960" w:type="dxa"/>
            <w:tcBorders>
              <w:top w:val="nil"/>
              <w:left w:val="nil"/>
              <w:bottom w:val="nil"/>
              <w:right w:val="nil"/>
            </w:tcBorders>
            <w:shd w:val="clear" w:color="auto" w:fill="auto"/>
            <w:noWrap/>
            <w:vAlign w:val="bottom"/>
            <w:hideMark/>
          </w:tcPr>
          <w:p w14:paraId="46928585"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7E1906B8"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2123C505"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744A142D"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58F4E780" w14:textId="77777777" w:rsidR="00B21F29" w:rsidRPr="00B21F29" w:rsidRDefault="00B21F29" w:rsidP="00B21F29">
            <w:pPr>
              <w:spacing w:after="0"/>
              <w:rPr>
                <w:lang w:val="en-US"/>
              </w:rPr>
            </w:pPr>
          </w:p>
        </w:tc>
        <w:tc>
          <w:tcPr>
            <w:tcW w:w="960" w:type="dxa"/>
            <w:tcBorders>
              <w:top w:val="nil"/>
              <w:left w:val="single" w:sz="12" w:space="0" w:color="auto"/>
              <w:bottom w:val="nil"/>
              <w:right w:val="nil"/>
            </w:tcBorders>
            <w:shd w:val="clear" w:color="auto" w:fill="auto"/>
            <w:noWrap/>
            <w:vAlign w:val="bottom"/>
            <w:hideMark/>
          </w:tcPr>
          <w:p w14:paraId="4661FBBB"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nil"/>
              <w:left w:val="nil"/>
              <w:bottom w:val="nil"/>
              <w:right w:val="nil"/>
            </w:tcBorders>
            <w:shd w:val="clear" w:color="auto" w:fill="auto"/>
            <w:noWrap/>
            <w:vAlign w:val="bottom"/>
            <w:hideMark/>
          </w:tcPr>
          <w:p w14:paraId="380313CB" w14:textId="77777777" w:rsidR="00B21F29" w:rsidRPr="00B21F29" w:rsidRDefault="00B21F29" w:rsidP="00B21F29">
            <w:pPr>
              <w:spacing w:after="0"/>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691B2AEF"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524B0B02"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23F2330E" w14:textId="77777777" w:rsidR="00B21F29" w:rsidRPr="00B21F29" w:rsidRDefault="00B21F29" w:rsidP="00B21F29">
            <w:pPr>
              <w:spacing w:after="0"/>
              <w:rPr>
                <w:lang w:val="en-US"/>
              </w:rPr>
            </w:pPr>
          </w:p>
        </w:tc>
      </w:tr>
      <w:tr w:rsidR="00B21F29" w:rsidRPr="00B21F29" w14:paraId="4B2F8A0D" w14:textId="77777777" w:rsidTr="00B21F29">
        <w:trPr>
          <w:trHeight w:val="300"/>
        </w:trPr>
        <w:tc>
          <w:tcPr>
            <w:tcW w:w="3840" w:type="dxa"/>
            <w:gridSpan w:val="4"/>
            <w:tcBorders>
              <w:top w:val="nil"/>
              <w:left w:val="nil"/>
              <w:bottom w:val="nil"/>
              <w:right w:val="nil"/>
            </w:tcBorders>
            <w:shd w:val="clear" w:color="000000" w:fill="FFC000"/>
            <w:noWrap/>
            <w:vAlign w:val="bottom"/>
            <w:hideMark/>
          </w:tcPr>
          <w:p w14:paraId="3A618D0B" w14:textId="77777777" w:rsidR="00B21F29" w:rsidRPr="00B21F29" w:rsidRDefault="00B21F29" w:rsidP="00B21F29">
            <w:pPr>
              <w:spacing w:after="0"/>
              <w:jc w:val="center"/>
              <w:rPr>
                <w:rFonts w:ascii="Calibri" w:hAnsi="Calibri" w:cs="Calibri"/>
                <w:color w:val="000000"/>
                <w:sz w:val="22"/>
                <w:szCs w:val="22"/>
                <w:lang w:val="en-US"/>
              </w:rPr>
            </w:pPr>
            <w:r w:rsidRPr="00B21F29">
              <w:rPr>
                <w:rFonts w:ascii="Calibri" w:hAnsi="Calibri" w:cs="Calibri"/>
                <w:color w:val="000000"/>
                <w:sz w:val="22"/>
                <w:szCs w:val="22"/>
                <w:lang w:val="en-US"/>
              </w:rPr>
              <w:t>Image exception needed here</w:t>
            </w:r>
          </w:p>
        </w:tc>
        <w:tc>
          <w:tcPr>
            <w:tcW w:w="960" w:type="dxa"/>
            <w:tcBorders>
              <w:top w:val="nil"/>
              <w:left w:val="nil"/>
              <w:bottom w:val="nil"/>
              <w:right w:val="nil"/>
            </w:tcBorders>
            <w:shd w:val="clear" w:color="auto" w:fill="auto"/>
            <w:noWrap/>
            <w:vAlign w:val="bottom"/>
            <w:hideMark/>
          </w:tcPr>
          <w:p w14:paraId="4B6CA3EE" w14:textId="77777777" w:rsidR="00B21F29" w:rsidRPr="00B21F29" w:rsidRDefault="00B21F29" w:rsidP="00B21F29">
            <w:pPr>
              <w:spacing w:after="0"/>
              <w:jc w:val="center"/>
              <w:rPr>
                <w:rFonts w:ascii="Calibri" w:hAnsi="Calibri" w:cs="Calibri"/>
                <w:color w:val="000000"/>
                <w:sz w:val="22"/>
                <w:szCs w:val="22"/>
                <w:lang w:val="en-US"/>
              </w:rPr>
            </w:pPr>
          </w:p>
        </w:tc>
        <w:tc>
          <w:tcPr>
            <w:tcW w:w="960" w:type="dxa"/>
            <w:tcBorders>
              <w:top w:val="nil"/>
              <w:left w:val="single" w:sz="12" w:space="0" w:color="auto"/>
              <w:bottom w:val="nil"/>
              <w:right w:val="nil"/>
            </w:tcBorders>
            <w:shd w:val="clear" w:color="auto" w:fill="auto"/>
            <w:noWrap/>
            <w:vAlign w:val="bottom"/>
            <w:hideMark/>
          </w:tcPr>
          <w:p w14:paraId="21D9BF80"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nil"/>
              <w:left w:val="nil"/>
              <w:bottom w:val="nil"/>
              <w:right w:val="nil"/>
            </w:tcBorders>
            <w:shd w:val="clear" w:color="auto" w:fill="auto"/>
            <w:noWrap/>
            <w:vAlign w:val="bottom"/>
            <w:hideMark/>
          </w:tcPr>
          <w:p w14:paraId="39944367" w14:textId="77777777" w:rsidR="00B21F29" w:rsidRPr="00B21F29" w:rsidRDefault="00B21F29" w:rsidP="00B21F29">
            <w:pPr>
              <w:spacing w:after="0"/>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07EA9F36"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4EEA9775"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18C1503A" w14:textId="77777777" w:rsidR="00B21F29" w:rsidRPr="00B21F29" w:rsidRDefault="00B21F29" w:rsidP="00B21F29">
            <w:pPr>
              <w:spacing w:after="0"/>
              <w:rPr>
                <w:lang w:val="en-US"/>
              </w:rPr>
            </w:pPr>
          </w:p>
        </w:tc>
      </w:tr>
      <w:tr w:rsidR="00B21F29" w:rsidRPr="00B21F29" w14:paraId="254DD4B8" w14:textId="77777777" w:rsidTr="00B21F29">
        <w:trPr>
          <w:trHeight w:val="300"/>
        </w:trPr>
        <w:tc>
          <w:tcPr>
            <w:tcW w:w="960" w:type="dxa"/>
            <w:tcBorders>
              <w:top w:val="nil"/>
              <w:left w:val="nil"/>
              <w:bottom w:val="nil"/>
              <w:right w:val="nil"/>
            </w:tcBorders>
            <w:shd w:val="clear" w:color="auto" w:fill="auto"/>
            <w:noWrap/>
            <w:vAlign w:val="bottom"/>
            <w:hideMark/>
          </w:tcPr>
          <w:p w14:paraId="79CFEB69"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3887216B"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3319CC88"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7FC83BE5"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3FAEACC3" w14:textId="77777777" w:rsidR="00B21F29" w:rsidRPr="00B21F29" w:rsidRDefault="00B21F29" w:rsidP="00B21F29">
            <w:pPr>
              <w:spacing w:after="0"/>
              <w:rPr>
                <w:lang w:val="en-US"/>
              </w:rPr>
            </w:pPr>
          </w:p>
        </w:tc>
        <w:tc>
          <w:tcPr>
            <w:tcW w:w="960" w:type="dxa"/>
            <w:tcBorders>
              <w:top w:val="nil"/>
              <w:left w:val="single" w:sz="12" w:space="0" w:color="auto"/>
              <w:bottom w:val="nil"/>
              <w:right w:val="nil"/>
            </w:tcBorders>
            <w:shd w:val="clear" w:color="auto" w:fill="auto"/>
            <w:noWrap/>
            <w:vAlign w:val="bottom"/>
            <w:hideMark/>
          </w:tcPr>
          <w:p w14:paraId="2B269653"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nil"/>
              <w:left w:val="nil"/>
              <w:bottom w:val="nil"/>
              <w:right w:val="nil"/>
            </w:tcBorders>
            <w:shd w:val="clear" w:color="auto" w:fill="auto"/>
            <w:noWrap/>
            <w:vAlign w:val="bottom"/>
            <w:hideMark/>
          </w:tcPr>
          <w:p w14:paraId="0261ADB2" w14:textId="77777777" w:rsidR="00B21F29" w:rsidRPr="00B21F29" w:rsidRDefault="00B21F29" w:rsidP="00B21F29">
            <w:pPr>
              <w:spacing w:after="0"/>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78513A56"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5F37E9AE"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7F0CB377" w14:textId="77777777" w:rsidR="00B21F29" w:rsidRPr="00B21F29" w:rsidRDefault="00B21F29" w:rsidP="00B21F29">
            <w:pPr>
              <w:spacing w:after="0"/>
              <w:rPr>
                <w:lang w:val="en-US"/>
              </w:rPr>
            </w:pPr>
          </w:p>
        </w:tc>
      </w:tr>
      <w:tr w:rsidR="00B21F29" w:rsidRPr="00B21F29" w14:paraId="3E609EFE" w14:textId="77777777" w:rsidTr="00B21F29">
        <w:trPr>
          <w:trHeight w:val="300"/>
        </w:trPr>
        <w:tc>
          <w:tcPr>
            <w:tcW w:w="960" w:type="dxa"/>
            <w:tcBorders>
              <w:top w:val="nil"/>
              <w:left w:val="nil"/>
              <w:bottom w:val="nil"/>
              <w:right w:val="nil"/>
            </w:tcBorders>
            <w:shd w:val="clear" w:color="auto" w:fill="auto"/>
            <w:noWrap/>
            <w:vAlign w:val="bottom"/>
            <w:hideMark/>
          </w:tcPr>
          <w:p w14:paraId="35E64D51"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5F30F849"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74B1FCE1"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6B3F474F"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759FA066" w14:textId="77777777" w:rsidR="00B21F29" w:rsidRPr="00B21F29" w:rsidRDefault="00B21F29" w:rsidP="00B21F29">
            <w:pPr>
              <w:spacing w:after="0"/>
              <w:rPr>
                <w:lang w:val="en-US"/>
              </w:rPr>
            </w:pPr>
          </w:p>
        </w:tc>
        <w:tc>
          <w:tcPr>
            <w:tcW w:w="960" w:type="dxa"/>
            <w:tcBorders>
              <w:top w:val="nil"/>
              <w:left w:val="single" w:sz="12" w:space="0" w:color="auto"/>
              <w:bottom w:val="nil"/>
              <w:right w:val="nil"/>
            </w:tcBorders>
            <w:shd w:val="clear" w:color="auto" w:fill="auto"/>
            <w:noWrap/>
            <w:vAlign w:val="bottom"/>
            <w:hideMark/>
          </w:tcPr>
          <w:p w14:paraId="07D96F41" w14:textId="77777777" w:rsidR="00B21F29" w:rsidRPr="00B21F29" w:rsidRDefault="00B21F29" w:rsidP="00B21F29">
            <w:pPr>
              <w:spacing w:after="0"/>
              <w:rPr>
                <w:rFonts w:ascii="Calibri" w:hAnsi="Calibri" w:cs="Calibri"/>
                <w:color w:val="000000"/>
                <w:sz w:val="22"/>
                <w:szCs w:val="22"/>
                <w:lang w:val="en-US"/>
              </w:rPr>
            </w:pPr>
            <w:r w:rsidRPr="00B21F29">
              <w:rPr>
                <w:rFonts w:ascii="Calibri" w:hAnsi="Calibri" w:cs="Calibri"/>
                <w:color w:val="000000"/>
                <w:sz w:val="22"/>
                <w:szCs w:val="22"/>
                <w:lang w:val="en-US"/>
              </w:rPr>
              <w:t> </w:t>
            </w:r>
          </w:p>
        </w:tc>
        <w:tc>
          <w:tcPr>
            <w:tcW w:w="960" w:type="dxa"/>
            <w:tcBorders>
              <w:top w:val="nil"/>
              <w:left w:val="nil"/>
              <w:bottom w:val="nil"/>
              <w:right w:val="nil"/>
            </w:tcBorders>
            <w:shd w:val="clear" w:color="auto" w:fill="auto"/>
            <w:noWrap/>
            <w:vAlign w:val="bottom"/>
            <w:hideMark/>
          </w:tcPr>
          <w:p w14:paraId="3B8DD061" w14:textId="77777777" w:rsidR="00B21F29" w:rsidRPr="00B21F29" w:rsidRDefault="00B21F29" w:rsidP="00B21F29">
            <w:pPr>
              <w:spacing w:after="0"/>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4A7FE2D1"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272D5401"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10FC694E" w14:textId="77777777" w:rsidR="00B21F29" w:rsidRPr="00B21F29" w:rsidRDefault="00B21F29" w:rsidP="00B21F29">
            <w:pPr>
              <w:spacing w:after="0"/>
              <w:rPr>
                <w:lang w:val="en-US"/>
              </w:rPr>
            </w:pPr>
          </w:p>
        </w:tc>
      </w:tr>
      <w:tr w:rsidR="00B21F29" w:rsidRPr="00B21F29" w14:paraId="07EA0366" w14:textId="77777777" w:rsidTr="00B21F29">
        <w:trPr>
          <w:trHeight w:val="300"/>
        </w:trPr>
        <w:tc>
          <w:tcPr>
            <w:tcW w:w="960" w:type="dxa"/>
            <w:tcBorders>
              <w:top w:val="nil"/>
              <w:left w:val="nil"/>
              <w:bottom w:val="nil"/>
              <w:right w:val="nil"/>
            </w:tcBorders>
            <w:shd w:val="clear" w:color="auto" w:fill="auto"/>
            <w:noWrap/>
            <w:vAlign w:val="bottom"/>
            <w:hideMark/>
          </w:tcPr>
          <w:p w14:paraId="1BC03EF5"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393BF7D3"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4C9F23AE" w14:textId="77777777" w:rsidR="00B21F29" w:rsidRPr="00B21F29" w:rsidRDefault="00B21F29" w:rsidP="00B21F29">
            <w:pPr>
              <w:spacing w:after="0"/>
              <w:rPr>
                <w:lang w:val="en-US"/>
              </w:rPr>
            </w:pPr>
          </w:p>
        </w:tc>
        <w:tc>
          <w:tcPr>
            <w:tcW w:w="3840" w:type="dxa"/>
            <w:gridSpan w:val="4"/>
            <w:tcBorders>
              <w:top w:val="nil"/>
              <w:left w:val="nil"/>
              <w:bottom w:val="nil"/>
              <w:right w:val="nil"/>
            </w:tcBorders>
            <w:shd w:val="clear" w:color="auto" w:fill="auto"/>
            <w:noWrap/>
            <w:vAlign w:val="bottom"/>
            <w:hideMark/>
          </w:tcPr>
          <w:p w14:paraId="1028B5BC" w14:textId="77777777" w:rsidR="00B21F29" w:rsidRPr="00B21F29" w:rsidRDefault="00B21F29" w:rsidP="00B21F29">
            <w:pPr>
              <w:spacing w:after="0"/>
              <w:jc w:val="center"/>
              <w:rPr>
                <w:rFonts w:ascii="Calibri" w:hAnsi="Calibri" w:cs="Calibri"/>
                <w:color w:val="000000"/>
                <w:sz w:val="22"/>
                <w:szCs w:val="22"/>
                <w:lang w:val="en-US"/>
              </w:rPr>
            </w:pPr>
            <w:r w:rsidRPr="00B21F29">
              <w:rPr>
                <w:rFonts w:ascii="Calibri" w:hAnsi="Calibri" w:cs="Calibri"/>
                <w:color w:val="000000"/>
                <w:sz w:val="22"/>
                <w:szCs w:val="22"/>
                <w:lang w:val="en-US"/>
              </w:rPr>
              <w:t>LO location (center of carrier)</w:t>
            </w:r>
          </w:p>
        </w:tc>
        <w:tc>
          <w:tcPr>
            <w:tcW w:w="960" w:type="dxa"/>
            <w:tcBorders>
              <w:top w:val="nil"/>
              <w:left w:val="nil"/>
              <w:bottom w:val="nil"/>
              <w:right w:val="nil"/>
            </w:tcBorders>
            <w:shd w:val="clear" w:color="auto" w:fill="auto"/>
            <w:noWrap/>
            <w:vAlign w:val="bottom"/>
            <w:hideMark/>
          </w:tcPr>
          <w:p w14:paraId="04D0B9E1" w14:textId="77777777" w:rsidR="00B21F29" w:rsidRPr="00B21F29" w:rsidRDefault="00B21F29" w:rsidP="00B21F29">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56779247" w14:textId="77777777" w:rsidR="00B21F29" w:rsidRPr="00B21F29" w:rsidRDefault="00B21F29" w:rsidP="00B21F29">
            <w:pPr>
              <w:spacing w:after="0"/>
              <w:rPr>
                <w:lang w:val="en-US"/>
              </w:rPr>
            </w:pPr>
          </w:p>
        </w:tc>
        <w:tc>
          <w:tcPr>
            <w:tcW w:w="960" w:type="dxa"/>
            <w:tcBorders>
              <w:top w:val="nil"/>
              <w:left w:val="nil"/>
              <w:bottom w:val="nil"/>
              <w:right w:val="nil"/>
            </w:tcBorders>
            <w:shd w:val="clear" w:color="auto" w:fill="auto"/>
            <w:noWrap/>
            <w:vAlign w:val="bottom"/>
            <w:hideMark/>
          </w:tcPr>
          <w:p w14:paraId="443387B5" w14:textId="77777777" w:rsidR="00B21F29" w:rsidRPr="00B21F29" w:rsidRDefault="00B21F29" w:rsidP="00B21F29">
            <w:pPr>
              <w:spacing w:after="0"/>
              <w:rPr>
                <w:lang w:val="en-US"/>
              </w:rPr>
            </w:pPr>
          </w:p>
        </w:tc>
      </w:tr>
    </w:tbl>
    <w:p w14:paraId="2474024E" w14:textId="723360BD" w:rsidR="00EE5508" w:rsidRDefault="00B21F29" w:rsidP="00EE5508">
      <w:pPr>
        <w:rPr>
          <w:rFonts w:ascii="Tms Rmn" w:hAnsi="Tms Rmn"/>
          <w:lang w:val="en-US"/>
        </w:rPr>
      </w:pPr>
      <w:r>
        <w:rPr>
          <w:lang w:val="en-US"/>
        </w:rPr>
        <w:fldChar w:fldCharType="end"/>
      </w:r>
      <w:r w:rsidR="00D2023F">
        <w:rPr>
          <w:lang w:val="en-US"/>
        </w:rPr>
        <w:t>On the other hand, if BWP’s are not used as the containers for NR-U wideband operation</w:t>
      </w:r>
      <w:r w:rsidR="00833C98">
        <w:rPr>
          <w:lang w:val="en-US"/>
        </w:rPr>
        <w:t xml:space="preserve"> or if the BWP is always configured to be fully overlapped with the channel (so that channel and BWP are identical), then the image exceptions are contained within the BWP (or channel).  However, since proposals for emission requirements </w:t>
      </w:r>
      <w:r>
        <w:rPr>
          <w:lang w:val="en-US"/>
        </w:rPr>
        <w:t>[</w:t>
      </w:r>
      <w:r w:rsidR="00345126">
        <w:rPr>
          <w:lang w:val="en-US"/>
        </w:rPr>
        <w:t>3</w:t>
      </w:r>
      <w:r>
        <w:rPr>
          <w:lang w:val="en-US"/>
        </w:rPr>
        <w:t xml:space="preserve">] </w:t>
      </w:r>
      <w:r w:rsidR="00833C98">
        <w:rPr>
          <w:lang w:val="en-US"/>
        </w:rPr>
        <w:t xml:space="preserve">are </w:t>
      </w:r>
      <w:r>
        <w:rPr>
          <w:lang w:val="en-US"/>
        </w:rPr>
        <w:t>based on the set of scheduled LBT sub-bands rather than the BWP, the same issues as described above are present.  The difference may be that the reach of IQ image products may be lessened.</w:t>
      </w:r>
      <w:r w:rsidR="00EE5508">
        <w:rPr>
          <w:lang w:val="en-US"/>
        </w:rPr>
        <w:fldChar w:fldCharType="begin"/>
      </w:r>
      <w:r w:rsidR="00EE5508">
        <w:rPr>
          <w:lang w:val="en-US"/>
        </w:rPr>
        <w:instrText xml:space="preserve"> LINK </w:instrText>
      </w:r>
      <w:r w:rsidR="00E85869">
        <w:rPr>
          <w:lang w:val="en-US"/>
        </w:rPr>
        <w:instrText xml:space="preserve">Excel.Sheet.12 "C:\\Projects\\3GPP\\RAN4\\R4_93 Reno\\BWP vs. channel.xlsx" Sheet1!R19C4:R28C11 </w:instrText>
      </w:r>
      <w:r w:rsidR="00EE5508">
        <w:rPr>
          <w:lang w:val="en-US"/>
        </w:rPr>
        <w:instrText xml:space="preserve">\a \f 4 \h  \* MERGEFORMAT </w:instrText>
      </w:r>
      <w:r w:rsidR="00EE5508">
        <w:rPr>
          <w:lang w:val="en-US"/>
        </w:rPr>
        <w:fldChar w:fldCharType="separate"/>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EE5508" w:rsidRPr="00EE5508" w14:paraId="51690300" w14:textId="77777777" w:rsidTr="00EE5508">
        <w:trPr>
          <w:trHeight w:val="300"/>
          <w:jc w:val="center"/>
        </w:trPr>
        <w:tc>
          <w:tcPr>
            <w:tcW w:w="7680" w:type="dxa"/>
            <w:gridSpan w:val="8"/>
            <w:tcBorders>
              <w:top w:val="nil"/>
              <w:left w:val="nil"/>
              <w:bottom w:val="single" w:sz="4" w:space="0" w:color="auto"/>
              <w:right w:val="nil"/>
            </w:tcBorders>
            <w:shd w:val="clear" w:color="auto" w:fill="auto"/>
            <w:noWrap/>
            <w:vAlign w:val="bottom"/>
            <w:hideMark/>
          </w:tcPr>
          <w:p w14:paraId="26E59A9B" w14:textId="1894EDD0" w:rsidR="00EE5508" w:rsidRPr="00EE5508" w:rsidRDefault="00EE5508" w:rsidP="00EE5508">
            <w:pPr>
              <w:spacing w:after="0"/>
              <w:jc w:val="center"/>
              <w:rPr>
                <w:rFonts w:ascii="Calibri" w:hAnsi="Calibri" w:cs="Calibri"/>
                <w:color w:val="000000"/>
                <w:sz w:val="22"/>
                <w:szCs w:val="22"/>
                <w:lang w:val="en-US"/>
              </w:rPr>
            </w:pPr>
            <w:r w:rsidRPr="00EE5508">
              <w:rPr>
                <w:rFonts w:ascii="Calibri" w:hAnsi="Calibri" w:cs="Calibri"/>
                <w:color w:val="000000"/>
                <w:sz w:val="22"/>
                <w:szCs w:val="22"/>
                <w:lang w:val="en-US"/>
              </w:rPr>
              <w:t>80 MHz NR-U carrier (exactly coincident with the BWP)</w:t>
            </w:r>
          </w:p>
        </w:tc>
      </w:tr>
      <w:tr w:rsidR="00EE5508" w:rsidRPr="00EE5508" w14:paraId="3E1F5944" w14:textId="77777777" w:rsidTr="00EE5508">
        <w:trPr>
          <w:trHeight w:val="300"/>
          <w:jc w:val="center"/>
        </w:trPr>
        <w:tc>
          <w:tcPr>
            <w:tcW w:w="960" w:type="dxa"/>
            <w:tcBorders>
              <w:top w:val="nil"/>
              <w:left w:val="single" w:sz="4" w:space="0" w:color="auto"/>
              <w:bottom w:val="nil"/>
              <w:right w:val="nil"/>
            </w:tcBorders>
            <w:shd w:val="clear" w:color="auto" w:fill="auto"/>
            <w:noWrap/>
            <w:vAlign w:val="bottom"/>
            <w:hideMark/>
          </w:tcPr>
          <w:p w14:paraId="44A4F6E9" w14:textId="11893797"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07A10F4E" w14:textId="582659BF"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48D4E1D3" w14:textId="524DCF93"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29E8483A" w14:textId="0E21166B"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4F27941D" w14:textId="2665BC72"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3C69FB78" w14:textId="27FB3662"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48E109C1" w14:textId="6B6226B0"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single" w:sz="4" w:space="0" w:color="auto"/>
            </w:tcBorders>
            <w:shd w:val="clear" w:color="auto" w:fill="auto"/>
            <w:noWrap/>
            <w:vAlign w:val="bottom"/>
            <w:hideMark/>
          </w:tcPr>
          <w:p w14:paraId="7C3FFED0" w14:textId="2F732D04" w:rsidR="00EE5508" w:rsidRPr="00EE5508" w:rsidRDefault="00EE5508" w:rsidP="00EE5508">
            <w:pPr>
              <w:spacing w:after="0"/>
              <w:jc w:val="center"/>
              <w:rPr>
                <w:rFonts w:ascii="Calibri" w:hAnsi="Calibri" w:cs="Calibri"/>
                <w:color w:val="000000"/>
                <w:sz w:val="22"/>
                <w:szCs w:val="22"/>
                <w:lang w:val="en-US"/>
              </w:rPr>
            </w:pPr>
          </w:p>
        </w:tc>
      </w:tr>
      <w:tr w:rsidR="00EE5508" w:rsidRPr="00EE5508" w14:paraId="2CCD5185" w14:textId="77777777" w:rsidTr="00EE5508">
        <w:trPr>
          <w:trHeight w:val="300"/>
          <w:jc w:val="center"/>
        </w:trPr>
        <w:tc>
          <w:tcPr>
            <w:tcW w:w="7680" w:type="dxa"/>
            <w:gridSpan w:val="8"/>
            <w:tcBorders>
              <w:top w:val="single" w:sz="4" w:space="0" w:color="auto"/>
              <w:left w:val="single" w:sz="4" w:space="0" w:color="auto"/>
              <w:bottom w:val="nil"/>
              <w:right w:val="single" w:sz="4" w:space="0" w:color="000000"/>
            </w:tcBorders>
            <w:shd w:val="clear" w:color="auto" w:fill="auto"/>
            <w:noWrap/>
            <w:vAlign w:val="bottom"/>
            <w:hideMark/>
          </w:tcPr>
          <w:p w14:paraId="53B0482A" w14:textId="77777777" w:rsidR="00EE5508" w:rsidRPr="00EE5508" w:rsidRDefault="00EE5508" w:rsidP="00EE5508">
            <w:pPr>
              <w:spacing w:after="0"/>
              <w:jc w:val="center"/>
              <w:rPr>
                <w:rFonts w:ascii="Calibri" w:hAnsi="Calibri" w:cs="Calibri"/>
                <w:color w:val="000000"/>
                <w:sz w:val="22"/>
                <w:szCs w:val="22"/>
                <w:lang w:val="en-US"/>
              </w:rPr>
            </w:pPr>
            <w:r w:rsidRPr="00EE5508">
              <w:rPr>
                <w:rFonts w:ascii="Calibri" w:hAnsi="Calibri" w:cs="Calibri"/>
                <w:color w:val="000000"/>
                <w:sz w:val="22"/>
                <w:szCs w:val="22"/>
                <w:lang w:val="en-US"/>
              </w:rPr>
              <w:t>80 MHz BWP with 4 20 MHz LBT sub-bands</w:t>
            </w:r>
          </w:p>
        </w:tc>
      </w:tr>
      <w:tr w:rsidR="00EE5508" w:rsidRPr="00EE5508" w14:paraId="0B9A33A3" w14:textId="77777777" w:rsidTr="00EE5508">
        <w:trPr>
          <w:trHeight w:val="300"/>
          <w:jc w:val="center"/>
        </w:trPr>
        <w:tc>
          <w:tcPr>
            <w:tcW w:w="1920" w:type="dxa"/>
            <w:gridSpan w:val="2"/>
            <w:tcBorders>
              <w:top w:val="nil"/>
              <w:left w:val="single" w:sz="4" w:space="0" w:color="auto"/>
              <w:bottom w:val="single" w:sz="4" w:space="0" w:color="auto"/>
              <w:right w:val="nil"/>
            </w:tcBorders>
            <w:shd w:val="clear" w:color="auto" w:fill="auto"/>
            <w:noWrap/>
            <w:vAlign w:val="bottom"/>
            <w:hideMark/>
          </w:tcPr>
          <w:p w14:paraId="5BBD221F" w14:textId="77777777" w:rsidR="00EE5508" w:rsidRPr="00EE5508" w:rsidRDefault="00EE5508" w:rsidP="00EE5508">
            <w:pPr>
              <w:spacing w:after="0"/>
              <w:jc w:val="center"/>
              <w:rPr>
                <w:rFonts w:ascii="Calibri" w:hAnsi="Calibri" w:cs="Calibri"/>
                <w:color w:val="000000"/>
                <w:sz w:val="16"/>
                <w:szCs w:val="16"/>
                <w:lang w:val="en-US"/>
              </w:rPr>
            </w:pPr>
            <w:r w:rsidRPr="00EE5508">
              <w:rPr>
                <w:rFonts w:ascii="Calibri" w:hAnsi="Calibri" w:cs="Calibri"/>
                <w:color w:val="000000"/>
                <w:sz w:val="16"/>
                <w:szCs w:val="16"/>
                <w:lang w:val="en-US"/>
              </w:rPr>
              <w:t>LBT SB1 (not scheduled)</w:t>
            </w:r>
          </w:p>
        </w:tc>
        <w:tc>
          <w:tcPr>
            <w:tcW w:w="1920" w:type="dxa"/>
            <w:gridSpan w:val="2"/>
            <w:tcBorders>
              <w:top w:val="nil"/>
              <w:left w:val="nil"/>
              <w:bottom w:val="single" w:sz="4" w:space="0" w:color="auto"/>
              <w:right w:val="nil"/>
            </w:tcBorders>
            <w:shd w:val="clear" w:color="000000" w:fill="92D050"/>
            <w:noWrap/>
            <w:vAlign w:val="bottom"/>
            <w:hideMark/>
          </w:tcPr>
          <w:p w14:paraId="01D2F20E" w14:textId="77777777" w:rsidR="00EE5508" w:rsidRPr="00EE5508" w:rsidRDefault="00EE5508" w:rsidP="00EE5508">
            <w:pPr>
              <w:spacing w:after="0"/>
              <w:jc w:val="center"/>
              <w:rPr>
                <w:rFonts w:ascii="Calibri" w:hAnsi="Calibri" w:cs="Calibri"/>
                <w:color w:val="000000"/>
                <w:sz w:val="16"/>
                <w:szCs w:val="16"/>
                <w:lang w:val="en-US"/>
              </w:rPr>
            </w:pPr>
            <w:r w:rsidRPr="00EE5508">
              <w:rPr>
                <w:rFonts w:ascii="Calibri" w:hAnsi="Calibri" w:cs="Calibri"/>
                <w:color w:val="000000"/>
                <w:sz w:val="16"/>
                <w:szCs w:val="16"/>
                <w:lang w:val="en-US"/>
              </w:rPr>
              <w:t>LBT SB2</w:t>
            </w:r>
          </w:p>
        </w:tc>
        <w:tc>
          <w:tcPr>
            <w:tcW w:w="1920" w:type="dxa"/>
            <w:gridSpan w:val="2"/>
            <w:tcBorders>
              <w:top w:val="nil"/>
              <w:left w:val="nil"/>
              <w:bottom w:val="single" w:sz="4" w:space="0" w:color="auto"/>
              <w:right w:val="nil"/>
            </w:tcBorders>
            <w:shd w:val="clear" w:color="000000" w:fill="92D050"/>
            <w:noWrap/>
            <w:vAlign w:val="bottom"/>
            <w:hideMark/>
          </w:tcPr>
          <w:p w14:paraId="149CC10E" w14:textId="77777777" w:rsidR="00EE5508" w:rsidRPr="00EE5508" w:rsidRDefault="00EE5508" w:rsidP="00EE5508">
            <w:pPr>
              <w:spacing w:after="0"/>
              <w:jc w:val="center"/>
              <w:rPr>
                <w:rFonts w:ascii="Calibri" w:hAnsi="Calibri" w:cs="Calibri"/>
                <w:color w:val="000000"/>
                <w:sz w:val="16"/>
                <w:szCs w:val="16"/>
                <w:lang w:val="en-US"/>
              </w:rPr>
            </w:pPr>
            <w:r w:rsidRPr="00EE5508">
              <w:rPr>
                <w:rFonts w:ascii="Calibri" w:hAnsi="Calibri" w:cs="Calibri"/>
                <w:color w:val="000000"/>
                <w:sz w:val="16"/>
                <w:szCs w:val="16"/>
                <w:lang w:val="en-US"/>
              </w:rPr>
              <w:t>LBT SB3</w:t>
            </w:r>
          </w:p>
        </w:tc>
        <w:tc>
          <w:tcPr>
            <w:tcW w:w="1920" w:type="dxa"/>
            <w:gridSpan w:val="2"/>
            <w:tcBorders>
              <w:top w:val="nil"/>
              <w:left w:val="nil"/>
              <w:bottom w:val="single" w:sz="4" w:space="0" w:color="auto"/>
              <w:right w:val="single" w:sz="4" w:space="0" w:color="000000"/>
            </w:tcBorders>
            <w:shd w:val="clear" w:color="000000" w:fill="92D050"/>
            <w:noWrap/>
            <w:vAlign w:val="bottom"/>
            <w:hideMark/>
          </w:tcPr>
          <w:p w14:paraId="5CA6F1E1" w14:textId="77777777" w:rsidR="00EE5508" w:rsidRPr="00EE5508" w:rsidRDefault="00EE5508" w:rsidP="00EE5508">
            <w:pPr>
              <w:spacing w:after="0"/>
              <w:jc w:val="center"/>
              <w:rPr>
                <w:rFonts w:ascii="Calibri" w:hAnsi="Calibri" w:cs="Calibri"/>
                <w:color w:val="000000"/>
                <w:sz w:val="16"/>
                <w:szCs w:val="16"/>
                <w:lang w:val="en-US"/>
              </w:rPr>
            </w:pPr>
            <w:r w:rsidRPr="00EE5508">
              <w:rPr>
                <w:rFonts w:ascii="Calibri" w:hAnsi="Calibri" w:cs="Calibri"/>
                <w:color w:val="000000"/>
                <w:sz w:val="16"/>
                <w:szCs w:val="16"/>
                <w:lang w:val="en-US"/>
              </w:rPr>
              <w:t>LBT SB4</w:t>
            </w:r>
          </w:p>
        </w:tc>
      </w:tr>
      <w:tr w:rsidR="00EE5508" w:rsidRPr="00EE5508" w14:paraId="328CD770" w14:textId="77777777" w:rsidTr="00EE5508">
        <w:trPr>
          <w:trHeight w:val="300"/>
          <w:jc w:val="center"/>
        </w:trPr>
        <w:tc>
          <w:tcPr>
            <w:tcW w:w="960" w:type="dxa"/>
            <w:tcBorders>
              <w:top w:val="nil"/>
              <w:left w:val="nil"/>
              <w:bottom w:val="nil"/>
              <w:right w:val="nil"/>
            </w:tcBorders>
            <w:shd w:val="clear" w:color="auto" w:fill="auto"/>
            <w:noWrap/>
            <w:vAlign w:val="bottom"/>
            <w:hideMark/>
          </w:tcPr>
          <w:p w14:paraId="35BBA119" w14:textId="77777777" w:rsidR="00EE5508" w:rsidRPr="00EE5508" w:rsidRDefault="00EE5508" w:rsidP="00EE5508">
            <w:pPr>
              <w:spacing w:after="0"/>
              <w:jc w:val="center"/>
              <w:rPr>
                <w:rFonts w:ascii="Calibri" w:hAnsi="Calibri" w:cs="Calibri"/>
                <w:color w:val="000000"/>
                <w:sz w:val="16"/>
                <w:szCs w:val="16"/>
                <w:lang w:val="en-US"/>
              </w:rPr>
            </w:pPr>
          </w:p>
        </w:tc>
        <w:tc>
          <w:tcPr>
            <w:tcW w:w="960" w:type="dxa"/>
            <w:tcBorders>
              <w:top w:val="nil"/>
              <w:left w:val="nil"/>
              <w:bottom w:val="nil"/>
              <w:right w:val="nil"/>
            </w:tcBorders>
            <w:shd w:val="clear" w:color="auto" w:fill="auto"/>
            <w:noWrap/>
            <w:vAlign w:val="bottom"/>
            <w:hideMark/>
          </w:tcPr>
          <w:p w14:paraId="7A200E5A"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3AD37D78"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5E81384A"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1E59449A"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61A999FD"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42857B24"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15D1F410" w14:textId="77777777" w:rsidR="00EE5508" w:rsidRPr="00EE5508" w:rsidRDefault="00EE5508" w:rsidP="00EE5508">
            <w:pPr>
              <w:spacing w:after="0"/>
              <w:jc w:val="center"/>
              <w:rPr>
                <w:lang w:val="en-US"/>
              </w:rPr>
            </w:pPr>
          </w:p>
        </w:tc>
      </w:tr>
      <w:tr w:rsidR="00EE5508" w:rsidRPr="00EE5508" w14:paraId="2BFA7660" w14:textId="77777777" w:rsidTr="00EE5508">
        <w:trPr>
          <w:trHeight w:val="300"/>
          <w:jc w:val="center"/>
        </w:trPr>
        <w:tc>
          <w:tcPr>
            <w:tcW w:w="960" w:type="dxa"/>
            <w:tcBorders>
              <w:top w:val="nil"/>
              <w:left w:val="nil"/>
              <w:bottom w:val="nil"/>
              <w:right w:val="nil"/>
            </w:tcBorders>
            <w:shd w:val="clear" w:color="auto" w:fill="auto"/>
            <w:noWrap/>
            <w:vAlign w:val="bottom"/>
            <w:hideMark/>
          </w:tcPr>
          <w:p w14:paraId="6031C46B"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704929D0"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41D614D0"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4CE939F7" w14:textId="77777777" w:rsidR="00EE5508" w:rsidRPr="00EE5508" w:rsidRDefault="00EE5508" w:rsidP="00EE5508">
            <w:pPr>
              <w:spacing w:after="0"/>
              <w:jc w:val="center"/>
              <w:rPr>
                <w:lang w:val="en-US"/>
              </w:rPr>
            </w:pPr>
          </w:p>
        </w:tc>
        <w:tc>
          <w:tcPr>
            <w:tcW w:w="960" w:type="dxa"/>
            <w:tcBorders>
              <w:top w:val="nil"/>
              <w:left w:val="single" w:sz="12" w:space="0" w:color="auto"/>
              <w:bottom w:val="nil"/>
              <w:right w:val="nil"/>
            </w:tcBorders>
            <w:shd w:val="clear" w:color="auto" w:fill="auto"/>
            <w:noWrap/>
            <w:vAlign w:val="bottom"/>
            <w:hideMark/>
          </w:tcPr>
          <w:p w14:paraId="2A61A0BC" w14:textId="7092CEB0"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7E600444" w14:textId="77777777"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449098D8"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7A445EEC" w14:textId="77777777" w:rsidR="00EE5508" w:rsidRPr="00EE5508" w:rsidRDefault="00EE5508" w:rsidP="00EE5508">
            <w:pPr>
              <w:spacing w:after="0"/>
              <w:jc w:val="center"/>
              <w:rPr>
                <w:lang w:val="en-US"/>
              </w:rPr>
            </w:pPr>
          </w:p>
        </w:tc>
      </w:tr>
      <w:tr w:rsidR="00EE5508" w:rsidRPr="00EE5508" w14:paraId="4AB8465F" w14:textId="77777777" w:rsidTr="00EE5508">
        <w:trPr>
          <w:trHeight w:val="300"/>
          <w:jc w:val="center"/>
        </w:trPr>
        <w:tc>
          <w:tcPr>
            <w:tcW w:w="1920" w:type="dxa"/>
            <w:gridSpan w:val="2"/>
            <w:tcBorders>
              <w:top w:val="nil"/>
              <w:left w:val="nil"/>
              <w:bottom w:val="nil"/>
              <w:right w:val="nil"/>
            </w:tcBorders>
            <w:shd w:val="clear" w:color="000000" w:fill="FFC000"/>
            <w:noWrap/>
            <w:vAlign w:val="bottom"/>
            <w:hideMark/>
          </w:tcPr>
          <w:p w14:paraId="429C176B" w14:textId="77777777" w:rsidR="00EE5508" w:rsidRPr="00EE5508" w:rsidRDefault="00EE5508" w:rsidP="00EE5508">
            <w:pPr>
              <w:spacing w:after="0"/>
              <w:jc w:val="center"/>
              <w:rPr>
                <w:rFonts w:ascii="Calibri" w:hAnsi="Calibri" w:cs="Calibri"/>
                <w:color w:val="000000"/>
                <w:sz w:val="22"/>
                <w:szCs w:val="22"/>
                <w:lang w:val="en-US"/>
              </w:rPr>
            </w:pPr>
            <w:r w:rsidRPr="00EE5508">
              <w:rPr>
                <w:rFonts w:ascii="Calibri" w:hAnsi="Calibri" w:cs="Calibri"/>
                <w:color w:val="000000"/>
                <w:sz w:val="22"/>
                <w:szCs w:val="22"/>
                <w:lang w:val="en-US"/>
              </w:rPr>
              <w:t>Image exception</w:t>
            </w:r>
          </w:p>
        </w:tc>
        <w:tc>
          <w:tcPr>
            <w:tcW w:w="960" w:type="dxa"/>
            <w:tcBorders>
              <w:top w:val="nil"/>
              <w:left w:val="nil"/>
              <w:bottom w:val="nil"/>
              <w:right w:val="nil"/>
            </w:tcBorders>
            <w:shd w:val="clear" w:color="auto" w:fill="auto"/>
            <w:noWrap/>
            <w:vAlign w:val="bottom"/>
            <w:hideMark/>
          </w:tcPr>
          <w:p w14:paraId="793B35D7" w14:textId="77777777"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6F8D6E5E" w14:textId="77777777" w:rsidR="00EE5508" w:rsidRPr="00EE5508" w:rsidRDefault="00EE5508" w:rsidP="00EE5508">
            <w:pPr>
              <w:spacing w:after="0"/>
              <w:jc w:val="center"/>
              <w:rPr>
                <w:lang w:val="en-US"/>
              </w:rPr>
            </w:pPr>
          </w:p>
        </w:tc>
        <w:tc>
          <w:tcPr>
            <w:tcW w:w="960" w:type="dxa"/>
            <w:tcBorders>
              <w:top w:val="nil"/>
              <w:left w:val="single" w:sz="12" w:space="0" w:color="auto"/>
              <w:bottom w:val="nil"/>
              <w:right w:val="nil"/>
            </w:tcBorders>
            <w:shd w:val="clear" w:color="auto" w:fill="auto"/>
            <w:noWrap/>
            <w:vAlign w:val="bottom"/>
            <w:hideMark/>
          </w:tcPr>
          <w:p w14:paraId="1FCFF054" w14:textId="4B1026C7"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07439AD0" w14:textId="77777777"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4796DE4D"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01DB076B" w14:textId="77777777" w:rsidR="00EE5508" w:rsidRPr="00EE5508" w:rsidRDefault="00EE5508" w:rsidP="00EE5508">
            <w:pPr>
              <w:spacing w:after="0"/>
              <w:jc w:val="center"/>
              <w:rPr>
                <w:lang w:val="en-US"/>
              </w:rPr>
            </w:pPr>
          </w:p>
        </w:tc>
      </w:tr>
      <w:tr w:rsidR="00EE5508" w:rsidRPr="00EE5508" w14:paraId="3B788629" w14:textId="77777777" w:rsidTr="00EE5508">
        <w:trPr>
          <w:trHeight w:val="300"/>
          <w:jc w:val="center"/>
        </w:trPr>
        <w:tc>
          <w:tcPr>
            <w:tcW w:w="960" w:type="dxa"/>
            <w:tcBorders>
              <w:top w:val="nil"/>
              <w:left w:val="nil"/>
              <w:bottom w:val="nil"/>
              <w:right w:val="nil"/>
            </w:tcBorders>
            <w:shd w:val="clear" w:color="auto" w:fill="auto"/>
            <w:noWrap/>
            <w:vAlign w:val="bottom"/>
            <w:hideMark/>
          </w:tcPr>
          <w:p w14:paraId="1A7094B1"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6C04FD2D"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16718E01"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1D616A26" w14:textId="77777777" w:rsidR="00EE5508" w:rsidRPr="00EE5508" w:rsidRDefault="00EE5508" w:rsidP="00EE5508">
            <w:pPr>
              <w:spacing w:after="0"/>
              <w:jc w:val="center"/>
              <w:rPr>
                <w:lang w:val="en-US"/>
              </w:rPr>
            </w:pPr>
          </w:p>
        </w:tc>
        <w:tc>
          <w:tcPr>
            <w:tcW w:w="960" w:type="dxa"/>
            <w:tcBorders>
              <w:top w:val="nil"/>
              <w:left w:val="single" w:sz="12" w:space="0" w:color="auto"/>
              <w:bottom w:val="nil"/>
              <w:right w:val="nil"/>
            </w:tcBorders>
            <w:shd w:val="clear" w:color="auto" w:fill="auto"/>
            <w:noWrap/>
            <w:vAlign w:val="bottom"/>
            <w:hideMark/>
          </w:tcPr>
          <w:p w14:paraId="3D31E69B" w14:textId="45AC8F69"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3E68A7FE" w14:textId="77777777"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50019363"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67802E2E" w14:textId="77777777" w:rsidR="00EE5508" w:rsidRPr="00EE5508" w:rsidRDefault="00EE5508" w:rsidP="00EE5508">
            <w:pPr>
              <w:spacing w:after="0"/>
              <w:jc w:val="center"/>
              <w:rPr>
                <w:lang w:val="en-US"/>
              </w:rPr>
            </w:pPr>
          </w:p>
        </w:tc>
      </w:tr>
      <w:tr w:rsidR="00EE5508" w:rsidRPr="00EE5508" w14:paraId="78B6A93E" w14:textId="77777777" w:rsidTr="00EE5508">
        <w:trPr>
          <w:trHeight w:val="300"/>
          <w:jc w:val="center"/>
        </w:trPr>
        <w:tc>
          <w:tcPr>
            <w:tcW w:w="960" w:type="dxa"/>
            <w:tcBorders>
              <w:top w:val="nil"/>
              <w:left w:val="nil"/>
              <w:bottom w:val="nil"/>
              <w:right w:val="nil"/>
            </w:tcBorders>
            <w:shd w:val="clear" w:color="auto" w:fill="auto"/>
            <w:noWrap/>
            <w:vAlign w:val="bottom"/>
            <w:hideMark/>
          </w:tcPr>
          <w:p w14:paraId="19BF9881"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664A5CE2"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4DDA4A01"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4A55E486" w14:textId="77777777" w:rsidR="00EE5508" w:rsidRPr="00EE5508" w:rsidRDefault="00EE5508" w:rsidP="00EE5508">
            <w:pPr>
              <w:spacing w:after="0"/>
              <w:jc w:val="center"/>
              <w:rPr>
                <w:lang w:val="en-US"/>
              </w:rPr>
            </w:pPr>
          </w:p>
        </w:tc>
        <w:tc>
          <w:tcPr>
            <w:tcW w:w="960" w:type="dxa"/>
            <w:tcBorders>
              <w:top w:val="nil"/>
              <w:left w:val="single" w:sz="12" w:space="0" w:color="auto"/>
              <w:bottom w:val="nil"/>
              <w:right w:val="nil"/>
            </w:tcBorders>
            <w:shd w:val="clear" w:color="auto" w:fill="auto"/>
            <w:noWrap/>
            <w:vAlign w:val="bottom"/>
            <w:hideMark/>
          </w:tcPr>
          <w:p w14:paraId="5C2CD28D" w14:textId="0806974C"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3E965E50" w14:textId="77777777"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29ACFCE7"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6C6EFB96" w14:textId="77777777" w:rsidR="00EE5508" w:rsidRPr="00EE5508" w:rsidRDefault="00EE5508" w:rsidP="00EE5508">
            <w:pPr>
              <w:spacing w:after="0"/>
              <w:jc w:val="center"/>
              <w:rPr>
                <w:lang w:val="en-US"/>
              </w:rPr>
            </w:pPr>
          </w:p>
        </w:tc>
      </w:tr>
      <w:tr w:rsidR="00EE5508" w:rsidRPr="00EE5508" w14:paraId="4D91B3D9" w14:textId="77777777" w:rsidTr="00EE5508">
        <w:trPr>
          <w:trHeight w:val="300"/>
          <w:jc w:val="center"/>
        </w:trPr>
        <w:tc>
          <w:tcPr>
            <w:tcW w:w="960" w:type="dxa"/>
            <w:tcBorders>
              <w:top w:val="nil"/>
              <w:left w:val="nil"/>
              <w:bottom w:val="nil"/>
              <w:right w:val="nil"/>
            </w:tcBorders>
            <w:shd w:val="clear" w:color="auto" w:fill="auto"/>
            <w:noWrap/>
            <w:vAlign w:val="bottom"/>
            <w:hideMark/>
          </w:tcPr>
          <w:p w14:paraId="1287A431" w14:textId="77777777" w:rsidR="00EE5508" w:rsidRPr="00EE5508" w:rsidRDefault="00EE5508" w:rsidP="00EE5508">
            <w:pPr>
              <w:spacing w:after="0"/>
              <w:jc w:val="center"/>
              <w:rPr>
                <w:lang w:val="en-US"/>
              </w:rPr>
            </w:pPr>
          </w:p>
        </w:tc>
        <w:tc>
          <w:tcPr>
            <w:tcW w:w="960" w:type="dxa"/>
            <w:tcBorders>
              <w:top w:val="nil"/>
              <w:left w:val="nil"/>
              <w:bottom w:val="nil"/>
              <w:right w:val="nil"/>
            </w:tcBorders>
            <w:shd w:val="clear" w:color="auto" w:fill="auto"/>
            <w:noWrap/>
            <w:vAlign w:val="bottom"/>
            <w:hideMark/>
          </w:tcPr>
          <w:p w14:paraId="78B2983B" w14:textId="77777777" w:rsidR="00EE5508" w:rsidRPr="00EE5508" w:rsidRDefault="00EE5508" w:rsidP="00EE5508">
            <w:pPr>
              <w:spacing w:after="0"/>
              <w:jc w:val="center"/>
              <w:rPr>
                <w:lang w:val="en-US"/>
              </w:rPr>
            </w:pPr>
          </w:p>
        </w:tc>
        <w:tc>
          <w:tcPr>
            <w:tcW w:w="3840" w:type="dxa"/>
            <w:gridSpan w:val="4"/>
            <w:tcBorders>
              <w:top w:val="nil"/>
              <w:left w:val="nil"/>
              <w:bottom w:val="nil"/>
              <w:right w:val="nil"/>
            </w:tcBorders>
            <w:shd w:val="clear" w:color="auto" w:fill="auto"/>
            <w:noWrap/>
            <w:vAlign w:val="bottom"/>
            <w:hideMark/>
          </w:tcPr>
          <w:p w14:paraId="7687049E" w14:textId="77777777" w:rsidR="00EE5508" w:rsidRPr="00EE5508" w:rsidRDefault="00EE5508" w:rsidP="00EE5508">
            <w:pPr>
              <w:spacing w:after="0"/>
              <w:jc w:val="center"/>
              <w:rPr>
                <w:rFonts w:ascii="Calibri" w:hAnsi="Calibri" w:cs="Calibri"/>
                <w:color w:val="000000"/>
                <w:sz w:val="22"/>
                <w:szCs w:val="22"/>
                <w:lang w:val="en-US"/>
              </w:rPr>
            </w:pPr>
            <w:r w:rsidRPr="00EE5508">
              <w:rPr>
                <w:rFonts w:ascii="Calibri" w:hAnsi="Calibri" w:cs="Calibri"/>
                <w:color w:val="000000"/>
                <w:sz w:val="22"/>
                <w:szCs w:val="22"/>
                <w:lang w:val="en-US"/>
              </w:rPr>
              <w:t>LO location (center of carrier)</w:t>
            </w:r>
          </w:p>
        </w:tc>
        <w:tc>
          <w:tcPr>
            <w:tcW w:w="960" w:type="dxa"/>
            <w:tcBorders>
              <w:top w:val="nil"/>
              <w:left w:val="nil"/>
              <w:bottom w:val="nil"/>
              <w:right w:val="nil"/>
            </w:tcBorders>
            <w:shd w:val="clear" w:color="auto" w:fill="auto"/>
            <w:noWrap/>
            <w:vAlign w:val="bottom"/>
            <w:hideMark/>
          </w:tcPr>
          <w:p w14:paraId="34C924E6" w14:textId="77777777" w:rsidR="00EE5508" w:rsidRPr="00EE5508" w:rsidRDefault="00EE5508" w:rsidP="00EE5508">
            <w:pPr>
              <w:spacing w:after="0"/>
              <w:jc w:val="center"/>
              <w:rPr>
                <w:rFonts w:ascii="Calibri"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23995D01" w14:textId="77777777" w:rsidR="00EE5508" w:rsidRPr="00EE5508" w:rsidRDefault="00EE5508" w:rsidP="00EE5508">
            <w:pPr>
              <w:spacing w:after="0"/>
              <w:jc w:val="center"/>
              <w:rPr>
                <w:lang w:val="en-US"/>
              </w:rPr>
            </w:pPr>
          </w:p>
        </w:tc>
      </w:tr>
    </w:tbl>
    <w:p w14:paraId="10D0364D" w14:textId="01AA3EF8" w:rsidR="00B21F29" w:rsidRDefault="00EE5508" w:rsidP="00EE5508">
      <w:pPr>
        <w:jc w:val="center"/>
        <w:rPr>
          <w:lang w:val="en-US"/>
        </w:rPr>
      </w:pPr>
      <w:r>
        <w:rPr>
          <w:lang w:val="en-US"/>
        </w:rPr>
        <w:fldChar w:fldCharType="end"/>
      </w:r>
    </w:p>
    <w:p w14:paraId="4E016ED3" w14:textId="63320355" w:rsidR="00A047DD" w:rsidRDefault="001D5D3E" w:rsidP="00981ED4">
      <w:pPr>
        <w:rPr>
          <w:lang w:val="en-US"/>
        </w:rPr>
      </w:pPr>
      <w:r>
        <w:rPr>
          <w:lang w:val="en-US"/>
        </w:rPr>
        <w:t xml:space="preserve">Even in the case where the entire channel is used for the wideband carrier rather than a BWP, unless all LBT sub-bands are scheduled and all pass LBT (the proposal </w:t>
      </w:r>
      <w:r w:rsidR="00345126">
        <w:rPr>
          <w:lang w:val="en-US"/>
        </w:rPr>
        <w:t xml:space="preserve">4b </w:t>
      </w:r>
      <w:r>
        <w:rPr>
          <w:lang w:val="en-US"/>
        </w:rPr>
        <w:t>from [</w:t>
      </w:r>
      <w:r w:rsidR="00345126">
        <w:rPr>
          <w:lang w:val="en-US"/>
        </w:rPr>
        <w:t>4</w:t>
      </w:r>
      <w:r>
        <w:rPr>
          <w:lang w:val="en-US"/>
        </w:rPr>
        <w:t>]</w:t>
      </w:r>
      <w:r w:rsidR="00B5419A">
        <w:rPr>
          <w:lang w:val="en-US"/>
        </w:rPr>
        <w:t xml:space="preserve"> which was not agreed</w:t>
      </w:r>
      <w:r>
        <w:rPr>
          <w:lang w:val="en-US"/>
        </w:rPr>
        <w:t>), the above issues will be present.  Filter adaptation cannot be assumed to be available and the LO cannot be assured to be in the center of scheduled and transmitted LBT sub-bands.  The only possible way to guarantee filter adaption and centered LO is to adjust the channel definition to the scheduled and transmitted LBT sub-bands.  But the channel is intended to be static, not to be adjusted according to scheduling.</w:t>
      </w:r>
    </w:p>
    <w:p w14:paraId="2E870484" w14:textId="77777777" w:rsidR="00A047DD" w:rsidRDefault="00B5419A" w:rsidP="00A047DD">
      <w:pPr>
        <w:rPr>
          <w:b/>
          <w:lang w:val="en-US"/>
        </w:rPr>
      </w:pPr>
      <w:r>
        <w:rPr>
          <w:b/>
          <w:lang w:val="en-US"/>
        </w:rPr>
        <w:t>Proposal:  UE filter adaptation is not assumed to be available according to LBT sub-bands.  The LO location and IQ image location relative to the transmitted (or received) LBT sub-bands is not well defined.  It may be inside the</w:t>
      </w:r>
      <w:r w:rsidR="000164E6">
        <w:rPr>
          <w:b/>
          <w:lang w:val="en-US"/>
        </w:rPr>
        <w:t xml:space="preserve"> wideband operation bandwidth</w:t>
      </w:r>
      <w:r>
        <w:rPr>
          <w:b/>
          <w:lang w:val="en-US"/>
        </w:rPr>
        <w:t xml:space="preserve"> or outside of it.</w:t>
      </w:r>
      <w:r w:rsidR="000164E6">
        <w:rPr>
          <w:b/>
          <w:lang w:val="en-US"/>
        </w:rPr>
        <w:t xml:space="preserve">  </w:t>
      </w:r>
      <w:r w:rsidR="00A047DD">
        <w:rPr>
          <w:b/>
          <w:lang w:val="en-US"/>
        </w:rPr>
        <w:t>Appropriate exceptions inside of the cell channel bandwidth but possibly outside of the BWP shall be included in emission and ACS/blocking requirements for the UE.</w:t>
      </w:r>
    </w:p>
    <w:p w14:paraId="0028100E" w14:textId="086BE6EF" w:rsidR="00B5419A" w:rsidRDefault="00B5419A" w:rsidP="00981ED4">
      <w:pPr>
        <w:rPr>
          <w:b/>
          <w:lang w:val="en-US"/>
        </w:rPr>
      </w:pPr>
      <w:r>
        <w:rPr>
          <w:b/>
          <w:lang w:val="en-US"/>
        </w:rPr>
        <w:t>Observation:  Since filter adaptation is not to be assumed, filter adaptation time for the UE can be zero.  On the other hand, while filter adaptation cannot be assumed, it may be worth considering an allowance for filter adaption time to enable such an implementation for future compatibility.</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6DFC5C1D" w14:textId="0E458F7D" w:rsidR="00A16631" w:rsidRDefault="00345126" w:rsidP="003B0D36">
      <w:pPr>
        <w:rPr>
          <w:lang w:val="en-US"/>
        </w:rPr>
      </w:pPr>
      <w:r>
        <w:rPr>
          <w:lang w:val="en-US"/>
        </w:rPr>
        <w:t>This contribution has discussed the application of BWP’s for wideband NR-U operation from the UE’s perspective.  It is proposed that a common understand be agreed that BWP’s are used to contain the sub-bands for wideband operation as describe</w:t>
      </w:r>
      <w:r w:rsidR="00AF0E31">
        <w:rPr>
          <w:lang w:val="en-US"/>
        </w:rPr>
        <w:t>d</w:t>
      </w:r>
      <w:r>
        <w:rPr>
          <w:lang w:val="en-US"/>
        </w:rPr>
        <w:t xml:space="preserve"> in [1].  However, it is then recognized that since the UE is not obligated to adjust its front-end according to the BWP, that filtering and LO tuning </w:t>
      </w:r>
      <w:proofErr w:type="gramStart"/>
      <w:r>
        <w:rPr>
          <w:lang w:val="en-US"/>
        </w:rPr>
        <w:t>are</w:t>
      </w:r>
      <w:proofErr w:type="gramEnd"/>
      <w:r>
        <w:rPr>
          <w:lang w:val="en-US"/>
        </w:rPr>
        <w:t xml:space="preserve"> not available as LBT sub-bands are scheduled, transmitted and/or received.  </w:t>
      </w:r>
    </w:p>
    <w:p w14:paraId="4CBA2BED" w14:textId="77777777" w:rsidR="00A047DD" w:rsidRPr="00A047DD" w:rsidRDefault="00A047DD" w:rsidP="00A047DD">
      <w:pPr>
        <w:rPr>
          <w:b/>
          <w:lang w:val="en-US"/>
        </w:rPr>
      </w:pPr>
      <w:r w:rsidRPr="00A047DD">
        <w:rPr>
          <w:b/>
          <w:lang w:val="en-US"/>
        </w:rPr>
        <w:t>Observation:  UE RF requirements are defined with respect to the cell channel bandwidth, not to a BWP.</w:t>
      </w:r>
    </w:p>
    <w:p w14:paraId="5ED436C2" w14:textId="34B37239" w:rsidR="00AF0E31" w:rsidRDefault="00AF0E31" w:rsidP="00AF0E31">
      <w:pPr>
        <w:rPr>
          <w:b/>
          <w:lang w:val="en-US"/>
        </w:rPr>
      </w:pPr>
      <w:r>
        <w:rPr>
          <w:b/>
          <w:lang w:val="en-US"/>
        </w:rPr>
        <w:t xml:space="preserve">Proposal:  UE filter adaptation is not assumed to be available according to LBT sub-bands.  The LO location and IQ image location relative to the transmitted (or received) LBT sub-bands is not well defined.  It may be inside the wideband operation bandwidth or outside of it.  Appropriate exceptions </w:t>
      </w:r>
      <w:r w:rsidR="00A047DD">
        <w:rPr>
          <w:b/>
          <w:lang w:val="en-US"/>
        </w:rPr>
        <w:t xml:space="preserve">inside of the cell channel bandwidth but possibly outside of the BWP </w:t>
      </w:r>
      <w:r>
        <w:rPr>
          <w:b/>
          <w:lang w:val="en-US"/>
        </w:rPr>
        <w:t>shall be included in emission and ACS/blocking requirements for the UE.</w:t>
      </w:r>
    </w:p>
    <w:p w14:paraId="69A1F3F5" w14:textId="77777777" w:rsidR="00345126" w:rsidRDefault="00345126" w:rsidP="00345126">
      <w:pPr>
        <w:rPr>
          <w:b/>
          <w:lang w:val="en-US"/>
        </w:rPr>
      </w:pPr>
      <w:r>
        <w:rPr>
          <w:b/>
          <w:lang w:val="en-US"/>
        </w:rPr>
        <w:t>Observation:  Since filter adaptation is not to be assumed, filter adaptation time for the UE can be zero.  On the other hand, while filter adaptation cannot be assumed, it may be worth considering an allowance for filter adaption time to enable such an implementation for future compatibility.</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5C1EC8AB" w14:textId="77777777" w:rsidR="000164E6" w:rsidRDefault="000164E6" w:rsidP="000164E6">
      <w:pPr>
        <w:numPr>
          <w:ilvl w:val="0"/>
          <w:numId w:val="2"/>
        </w:numPr>
        <w:tabs>
          <w:tab w:val="left" w:pos="1080"/>
        </w:tabs>
        <w:rPr>
          <w:lang w:val="en-US" w:eastAsia="x-none"/>
        </w:rPr>
      </w:pPr>
      <w:bookmarkStart w:id="1" w:name="_Hlk859252"/>
      <w:r>
        <w:rPr>
          <w:lang w:val="en-US"/>
        </w:rPr>
        <w:t>R4-1911611</w:t>
      </w:r>
      <w:r>
        <w:rPr>
          <w:lang w:val="en-US" w:eastAsia="x-none"/>
        </w:rPr>
        <w:t>, “NR-U – Scheduling of guard PRB’s,” Nokia, Nokia Shanghai Bell</w:t>
      </w:r>
    </w:p>
    <w:p w14:paraId="78081D17" w14:textId="67644BC4" w:rsidR="000164E6" w:rsidRDefault="000164E6" w:rsidP="000164E6">
      <w:pPr>
        <w:numPr>
          <w:ilvl w:val="0"/>
          <w:numId w:val="2"/>
        </w:numPr>
        <w:tabs>
          <w:tab w:val="left" w:pos="1080"/>
        </w:tabs>
        <w:rPr>
          <w:lang w:val="en-US" w:eastAsia="x-none"/>
        </w:rPr>
      </w:pPr>
      <w:r>
        <w:rPr>
          <w:lang w:val="en-US"/>
        </w:rPr>
        <w:t>R4-1801006, “WF on wideband operation of NR UE,” LG Electronics</w:t>
      </w:r>
    </w:p>
    <w:p w14:paraId="0DBB80AA" w14:textId="2BFE7561" w:rsidR="00345126" w:rsidRDefault="00345126" w:rsidP="000164E6">
      <w:pPr>
        <w:numPr>
          <w:ilvl w:val="0"/>
          <w:numId w:val="2"/>
        </w:numPr>
        <w:tabs>
          <w:tab w:val="left" w:pos="1080"/>
        </w:tabs>
        <w:rPr>
          <w:lang w:val="en-US" w:eastAsia="x-none"/>
        </w:rPr>
      </w:pPr>
      <w:r>
        <w:rPr>
          <w:lang w:val="en-US"/>
        </w:rPr>
        <w:t>R4-1913059, “Draft WF on punctured channel,” Charter Communications</w:t>
      </w:r>
    </w:p>
    <w:p w14:paraId="5BE9C355" w14:textId="412E89B7" w:rsidR="00345126" w:rsidRDefault="00345126" w:rsidP="000164E6">
      <w:pPr>
        <w:numPr>
          <w:ilvl w:val="0"/>
          <w:numId w:val="2"/>
        </w:numPr>
        <w:tabs>
          <w:tab w:val="left" w:pos="1080"/>
        </w:tabs>
        <w:rPr>
          <w:lang w:val="en-US" w:eastAsia="x-none"/>
        </w:rPr>
      </w:pPr>
      <w:r>
        <w:rPr>
          <w:lang w:val="en-US" w:eastAsia="x-none"/>
        </w:rPr>
        <w:t>R4-1912489, “NR-U wideband operation,” Qualcomm Incorporated</w:t>
      </w:r>
      <w:bookmarkEnd w:id="1"/>
    </w:p>
    <w:sectPr w:rsidR="00345126"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6961E" w14:textId="77777777" w:rsidR="001A0D93" w:rsidRDefault="001A0D93">
      <w:r>
        <w:separator/>
      </w:r>
    </w:p>
  </w:endnote>
  <w:endnote w:type="continuationSeparator" w:id="0">
    <w:p w14:paraId="56FDB080" w14:textId="77777777" w:rsidR="001A0D93" w:rsidRDefault="001A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73E08" w14:textId="77777777" w:rsidR="001A0D93" w:rsidRDefault="001A0D93">
      <w:r>
        <w:separator/>
      </w:r>
    </w:p>
  </w:footnote>
  <w:footnote w:type="continuationSeparator" w:id="0">
    <w:p w14:paraId="76260523" w14:textId="77777777" w:rsidR="001A0D93" w:rsidRDefault="001A0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2"/>
  </w:num>
  <w:num w:numId="4">
    <w:abstractNumId w:val="13"/>
  </w:num>
  <w:num w:numId="5">
    <w:abstractNumId w:val="9"/>
  </w:num>
  <w:num w:numId="6">
    <w:abstractNumId w:val="3"/>
  </w:num>
  <w:num w:numId="7">
    <w:abstractNumId w:val="0"/>
  </w:num>
  <w:num w:numId="8">
    <w:abstractNumId w:val="11"/>
  </w:num>
  <w:num w:numId="9">
    <w:abstractNumId w:val="4"/>
  </w:num>
  <w:num w:numId="10">
    <w:abstractNumId w:val="8"/>
  </w:num>
  <w:num w:numId="11">
    <w:abstractNumId w:val="15"/>
  </w:num>
  <w:num w:numId="12">
    <w:abstractNumId w:val="2"/>
  </w:num>
  <w:num w:numId="13">
    <w:abstractNumId w:val="7"/>
  </w:num>
  <w:num w:numId="14">
    <w:abstractNumId w:val="1"/>
  </w:num>
  <w:num w:numId="15">
    <w:abstractNumId w:val="6"/>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4E6"/>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4D3"/>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0D9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5D3E"/>
    <w:rsid w:val="001D6E97"/>
    <w:rsid w:val="001D791E"/>
    <w:rsid w:val="001D7BA7"/>
    <w:rsid w:val="001E1023"/>
    <w:rsid w:val="001E11D1"/>
    <w:rsid w:val="001E1C0D"/>
    <w:rsid w:val="001E22AF"/>
    <w:rsid w:val="001E2518"/>
    <w:rsid w:val="001E2ABF"/>
    <w:rsid w:val="001E2C3E"/>
    <w:rsid w:val="001E31EE"/>
    <w:rsid w:val="001E36A1"/>
    <w:rsid w:val="001E3907"/>
    <w:rsid w:val="001E3C6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8D"/>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5D0A"/>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BDA"/>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D3B"/>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126"/>
    <w:rsid w:val="00345CDD"/>
    <w:rsid w:val="00345FDB"/>
    <w:rsid w:val="00345FF9"/>
    <w:rsid w:val="0034613F"/>
    <w:rsid w:val="00346628"/>
    <w:rsid w:val="0034670C"/>
    <w:rsid w:val="00346BAD"/>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2F7F"/>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123"/>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570"/>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5D"/>
    <w:rsid w:val="004C7277"/>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27F34"/>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A2A"/>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5C"/>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3C98"/>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9A5"/>
    <w:rsid w:val="00863D9C"/>
    <w:rsid w:val="00864237"/>
    <w:rsid w:val="00865A8B"/>
    <w:rsid w:val="00865EFC"/>
    <w:rsid w:val="00866242"/>
    <w:rsid w:val="008663BA"/>
    <w:rsid w:val="00866D91"/>
    <w:rsid w:val="00867503"/>
    <w:rsid w:val="00867570"/>
    <w:rsid w:val="0086772C"/>
    <w:rsid w:val="00867D03"/>
    <w:rsid w:val="00870E48"/>
    <w:rsid w:val="00870EAF"/>
    <w:rsid w:val="00870F4B"/>
    <w:rsid w:val="00871CE9"/>
    <w:rsid w:val="008721CA"/>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8E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2B4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91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74F"/>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6E2D"/>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320"/>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1BCA"/>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A25"/>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7DD"/>
    <w:rsid w:val="00A04AB4"/>
    <w:rsid w:val="00A052C5"/>
    <w:rsid w:val="00A054B7"/>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2D2B"/>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E31"/>
    <w:rsid w:val="00AF0F7D"/>
    <w:rsid w:val="00AF2A89"/>
    <w:rsid w:val="00AF37CB"/>
    <w:rsid w:val="00AF3988"/>
    <w:rsid w:val="00AF4307"/>
    <w:rsid w:val="00AF4983"/>
    <w:rsid w:val="00AF4EB8"/>
    <w:rsid w:val="00AF55E0"/>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1F29"/>
    <w:rsid w:val="00B2229B"/>
    <w:rsid w:val="00B2267D"/>
    <w:rsid w:val="00B22C12"/>
    <w:rsid w:val="00B22E28"/>
    <w:rsid w:val="00B23059"/>
    <w:rsid w:val="00B23B4D"/>
    <w:rsid w:val="00B23BFE"/>
    <w:rsid w:val="00B244BF"/>
    <w:rsid w:val="00B24817"/>
    <w:rsid w:val="00B2594D"/>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19A"/>
    <w:rsid w:val="00B5471A"/>
    <w:rsid w:val="00B547C3"/>
    <w:rsid w:val="00B54954"/>
    <w:rsid w:val="00B55CE7"/>
    <w:rsid w:val="00B56138"/>
    <w:rsid w:val="00B57C8E"/>
    <w:rsid w:val="00B6022D"/>
    <w:rsid w:val="00B61C7E"/>
    <w:rsid w:val="00B61E2E"/>
    <w:rsid w:val="00B61F6F"/>
    <w:rsid w:val="00B6247B"/>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23F"/>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15E7"/>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90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6C7"/>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869"/>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08"/>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5AB"/>
    <w:rsid w:val="00EE2F74"/>
    <w:rsid w:val="00EE389E"/>
    <w:rsid w:val="00EE38E7"/>
    <w:rsid w:val="00EE3DA3"/>
    <w:rsid w:val="00EE3E5C"/>
    <w:rsid w:val="00EE4210"/>
    <w:rsid w:val="00EE5452"/>
    <w:rsid w:val="00EE5508"/>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9D2"/>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7F9"/>
    <w:rsid w:val="00FE4E88"/>
    <w:rsid w:val="00FE510C"/>
    <w:rsid w:val="00FE5D31"/>
    <w:rsid w:val="00FE5D7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6261122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652876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2984415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602804">
      <w:bodyDiv w:val="1"/>
      <w:marLeft w:val="0"/>
      <w:marRight w:val="0"/>
      <w:marTop w:val="0"/>
      <w:marBottom w:val="0"/>
      <w:divBdr>
        <w:top w:val="none" w:sz="0" w:space="0" w:color="auto"/>
        <w:left w:val="none" w:sz="0" w:space="0" w:color="auto"/>
        <w:bottom w:val="none" w:sz="0" w:space="0" w:color="auto"/>
        <w:right w:val="none" w:sz="0" w:space="0" w:color="auto"/>
      </w:divBdr>
    </w:div>
    <w:div w:id="1834099338">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6D60C-F33A-45AD-9AF8-94EB940F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2019-11-08T02:28:00Z</dcterms:created>
  <dcterms:modified xsi:type="dcterms:W3CDTF">2019-11-08T02:28:00Z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NR-U BWP's for wideband operation</vt:lpwstr>
  </property>
  <property fmtid="{D5CDD505-2E9C-101B-9397-08002B2CF9AE}" pid="8" name="_AuthorEmail">
    <vt:lpwstr>vgheorgh@qti.qualcomm.com</vt:lpwstr>
  </property>
  <property fmtid="{D5CDD505-2E9C-101B-9397-08002B2CF9AE}" pid="9" name="_AuthorEmailDisplayName">
    <vt:lpwstr>Valentin Gheorghiu</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674894460</vt:i4>
  </property>
  <property fmtid="{D5CDD505-2E9C-101B-9397-08002B2CF9AE}" pid="12" name="_PreviousAdHocReviewCycleID">
    <vt:i4>-1627576967</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