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727B2E52"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7F362B">
        <w:rPr>
          <w:rFonts w:ascii="Arial" w:hAnsi="Arial" w:cs="Arial"/>
          <w:b/>
          <w:lang w:val="de-DE"/>
        </w:rPr>
        <w:t>1</w:t>
      </w:r>
      <w:r>
        <w:rPr>
          <w:rFonts w:ascii="Arial" w:hAnsi="Arial" w:cs="Arial"/>
          <w:b/>
          <w:lang w:val="de-DE"/>
        </w:rPr>
        <w:tab/>
      </w:r>
      <w:r w:rsidR="00B34C8E" w:rsidRPr="00B34C8E">
        <w:rPr>
          <w:rFonts w:ascii="Arial" w:hAnsi="Arial" w:cs="Arial"/>
          <w:b/>
          <w:lang w:val="de-DE"/>
        </w:rPr>
        <w:t>R4-19</w:t>
      </w:r>
      <w:r w:rsidR="000323D9">
        <w:rPr>
          <w:rFonts w:ascii="Arial" w:hAnsi="Arial" w:cs="Arial"/>
          <w:b/>
          <w:lang w:val="de-DE"/>
        </w:rPr>
        <w:t>07145</w:t>
      </w:r>
      <w:r>
        <w:rPr>
          <w:rFonts w:ascii="Arial" w:hAnsi="Arial" w:cs="Arial"/>
          <w:b/>
          <w:lang w:val="de-DE"/>
        </w:rPr>
        <w:br/>
      </w:r>
      <w:r w:rsidR="007F362B">
        <w:rPr>
          <w:rFonts w:ascii="Arial" w:hAnsi="Arial" w:cs="Arial"/>
          <w:b/>
        </w:rPr>
        <w:t>Reno, USA, May 13-17</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1DE1DFFB"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D7D19" w:rsidRPr="005D7D19">
        <w:rPr>
          <w:rFonts w:ascii="Arial" w:hAnsi="Arial" w:cs="Arial"/>
          <w:b/>
        </w:rPr>
        <w:t>6.5.</w:t>
      </w:r>
      <w:r w:rsidR="002A5268">
        <w:rPr>
          <w:rFonts w:ascii="Arial" w:hAnsi="Arial" w:cs="Arial"/>
          <w:b/>
        </w:rPr>
        <w:t>9.11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20ABDE1" w:rsidR="00E064A5" w:rsidRDefault="00E064A5" w:rsidP="00E064A5">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8F21B3" w:rsidRPr="008F21B3">
        <w:rPr>
          <w:rFonts w:ascii="Arial" w:hAnsi="Arial" w:cs="Arial"/>
          <w:b/>
        </w:rPr>
        <w:t>Evaluation of TPC convergence based on latest agreements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0337EF8" w14:textId="405D6B24" w:rsidR="009A0D04" w:rsidRDefault="0036017F" w:rsidP="006B6A1A">
      <w:r>
        <w:t xml:space="preserve">The current version of the FR2 UE RF specification </w:t>
      </w:r>
      <w:r>
        <w:fldChar w:fldCharType="begin"/>
      </w:r>
      <w:r>
        <w:instrText xml:space="preserve"> REF _Ref525858808 \r \h </w:instrText>
      </w:r>
      <w:r>
        <w:fldChar w:fldCharType="separate"/>
      </w:r>
      <w:r>
        <w:t>[2]</w:t>
      </w:r>
      <w:r>
        <w:fldChar w:fldCharType="end"/>
      </w:r>
      <w:r>
        <w:t xml:space="preserve"> provides tentative values for the absolute and relative transmit power control tolerance.  During the RAN4 #88 meeting an analysis of network outage and converged TPC error performance made the following observations </w:t>
      </w:r>
      <w:r>
        <w:fldChar w:fldCharType="begin"/>
      </w:r>
      <w:r>
        <w:instrText xml:space="preserve"> REF _Ref525858913 \r \h </w:instrText>
      </w:r>
      <w:r>
        <w:fldChar w:fldCharType="separate"/>
      </w:r>
      <w:r>
        <w:t>[3]</w:t>
      </w:r>
      <w:r>
        <w:fldChar w:fldCharType="end"/>
      </w:r>
      <w:r>
        <w:t>:</w:t>
      </w:r>
    </w:p>
    <w:p w14:paraId="05D10FF2" w14:textId="77777777" w:rsidR="0036017F" w:rsidRDefault="0036017F" w:rsidP="006B6A1A"/>
    <w:p w14:paraId="5AE40EB5" w14:textId="4C33829C" w:rsidR="0036017F" w:rsidRDefault="0036017F" w:rsidP="006B6A1A">
      <w:r>
        <w:rPr>
          <w:noProof/>
        </w:rPr>
        <mc:AlternateContent>
          <mc:Choice Requires="wps">
            <w:drawing>
              <wp:inline distT="0" distB="0" distL="0" distR="0" wp14:anchorId="6F266E24" wp14:editId="209918CC">
                <wp:extent cx="1828800" cy="1828800"/>
                <wp:effectExtent l="0" t="0" r="6985" b="1905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266E24"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0AEE84C5" w14:textId="77777777" w:rsidR="0036017F" w:rsidRPr="0036017F" w:rsidRDefault="0036017F" w:rsidP="0036017F">
                      <w:pPr>
                        <w:jc w:val="both"/>
                        <w:rPr>
                          <w:rFonts w:eastAsia="Batang"/>
                          <w:sz w:val="20"/>
                          <w:szCs w:val="20"/>
                        </w:rPr>
                      </w:pPr>
                      <w:r w:rsidRPr="0036017F">
                        <w:rPr>
                          <w:rFonts w:eastAsia="Batang"/>
                          <w:b/>
                          <w:bCs/>
                          <w:sz w:val="20"/>
                          <w:szCs w:val="20"/>
                        </w:rPr>
                        <w:t xml:space="preserve">Observation 1: </w:t>
                      </w:r>
                      <w:r w:rsidRPr="0036017F">
                        <w:rPr>
                          <w:rFonts w:eastAsia="Batang"/>
                          <w:sz w:val="20"/>
                          <w:szCs w:val="20"/>
                        </w:rPr>
                        <w:t xml:space="preserve">In the UMa scenario the outage probability increases by 2%-6% given the absolute power tolerance in [1] when ISD is 400 m, and the outage probability increase is minimal when ISD is 200m. </w:t>
                      </w:r>
                    </w:p>
                    <w:p w14:paraId="7B684252" w14:textId="77777777" w:rsidR="0036017F" w:rsidRPr="0036017F" w:rsidRDefault="0036017F" w:rsidP="0036017F">
                      <w:pPr>
                        <w:rPr>
                          <w:rFonts w:eastAsia="Batang"/>
                          <w:sz w:val="20"/>
                          <w:szCs w:val="20"/>
                        </w:rPr>
                      </w:pPr>
                    </w:p>
                    <w:p w14:paraId="69C52BF0" w14:textId="77777777" w:rsidR="0036017F" w:rsidRPr="0036017F" w:rsidRDefault="0036017F">
                      <w:pPr>
                        <w:rPr>
                          <w:rFonts w:eastAsia="Batang"/>
                          <w:b/>
                          <w:bCs/>
                          <w:sz w:val="20"/>
                          <w:szCs w:val="20"/>
                        </w:rPr>
                      </w:pPr>
                      <w:r w:rsidRPr="0036017F">
                        <w:rPr>
                          <w:rFonts w:eastAsia="Batang"/>
                          <w:b/>
                          <w:bCs/>
                          <w:sz w:val="20"/>
                          <w:szCs w:val="20"/>
                        </w:rPr>
                        <w:t xml:space="preserve">Observation 2: </w:t>
                      </w:r>
                      <w:r w:rsidRPr="0036017F">
                        <w:rPr>
                          <w:rFonts w:eastAsia="Batang"/>
                          <w:sz w:val="20"/>
                          <w:szCs w:val="20"/>
                        </w:rPr>
                        <w:t>The mean throughput loss from the converged power control error is up to 4% for Indoor office and 6% for UMa, when the converged power control error is 5 dB.</w:t>
                      </w:r>
                    </w:p>
                  </w:txbxContent>
                </v:textbox>
                <w10:anchorlock/>
              </v:shape>
            </w:pict>
          </mc:Fallback>
        </mc:AlternateContent>
      </w:r>
    </w:p>
    <w:p w14:paraId="2C590A2D" w14:textId="77777777" w:rsidR="0036017F" w:rsidRDefault="0036017F" w:rsidP="006B6A1A"/>
    <w:p w14:paraId="294F330C" w14:textId="4F9AF4BA" w:rsidR="0036017F" w:rsidRDefault="00177644" w:rsidP="006B6A1A">
      <w:r>
        <w:t xml:space="preserve">During offline discussions some companies observed that the analysis in </w:t>
      </w:r>
      <w:r>
        <w:fldChar w:fldCharType="begin"/>
      </w:r>
      <w:r>
        <w:instrText xml:space="preserve"> REF _Ref525858913 \r \h </w:instrText>
      </w:r>
      <w:r>
        <w:fldChar w:fldCharType="separate"/>
      </w:r>
      <w:r>
        <w:t>[3]</w:t>
      </w:r>
      <w:r>
        <w:fldChar w:fldCharType="end"/>
      </w:r>
      <w:r>
        <w:t xml:space="preserve"> did not consider convergence time of the power control algorithm and that possible revisions of the TPC tolerance values may be motivated by this metric.</w:t>
      </w:r>
    </w:p>
    <w:p w14:paraId="5E66160B" w14:textId="77777777" w:rsidR="0036017F" w:rsidRDefault="0036017F" w:rsidP="006B6A1A"/>
    <w:p w14:paraId="71D3FC11" w14:textId="77BBE46C" w:rsidR="00117D3C" w:rsidRDefault="00546E72" w:rsidP="006B6A1A">
      <w:r>
        <w:t>F</w:t>
      </w:r>
      <w:r w:rsidR="00177644">
        <w:t xml:space="preserve">urther analysis of the issue </w:t>
      </w:r>
      <w:r>
        <w:t xml:space="preserve">was provided in </w:t>
      </w:r>
      <w:r>
        <w:fldChar w:fldCharType="begin"/>
      </w:r>
      <w:r>
        <w:instrText xml:space="preserve"> REF _Ref535916320 \r \h </w:instrText>
      </w:r>
      <w:r>
        <w:fldChar w:fldCharType="separate"/>
      </w:r>
      <w:r>
        <w:t>[5]</w:t>
      </w:r>
      <w:r>
        <w:fldChar w:fldCharType="end"/>
      </w:r>
      <w:r>
        <w:t xml:space="preserve"> during the RAN4 #89 meeting</w:t>
      </w:r>
      <w:r w:rsidR="009A5A8F">
        <w:t xml:space="preserve"> and in </w:t>
      </w:r>
      <w:r w:rsidR="00117D3C">
        <w:fldChar w:fldCharType="begin"/>
      </w:r>
      <w:r w:rsidR="00117D3C">
        <w:instrText xml:space="preserve"> REF _Ref7693909 \r \h </w:instrText>
      </w:r>
      <w:r w:rsidR="00117D3C">
        <w:fldChar w:fldCharType="separate"/>
      </w:r>
      <w:r w:rsidR="00117D3C">
        <w:t>[8]</w:t>
      </w:r>
      <w:r w:rsidR="00117D3C">
        <w:fldChar w:fldCharType="end"/>
      </w:r>
      <w:r w:rsidR="00117D3C">
        <w:t xml:space="preserve"> during RAN4 #90bis</w:t>
      </w:r>
      <w:r w:rsidR="002F1B88">
        <w:t xml:space="preserve"> meeting.  An adhoc on this topic was held during the RAN4 #90bis meeting with the following agreements and adhoc chair’s observations:</w:t>
      </w:r>
    </w:p>
    <w:p w14:paraId="3B214DA9" w14:textId="07AD30E1" w:rsidR="00546E72" w:rsidRDefault="00546E72" w:rsidP="006B6A1A"/>
    <w:p w14:paraId="1A38CB1B" w14:textId="0D7B1A0B" w:rsidR="00546E72" w:rsidRDefault="00546E72" w:rsidP="006B6A1A">
      <w:r>
        <w:rPr>
          <w:noProof/>
        </w:rPr>
        <mc:AlternateContent>
          <mc:Choice Requires="wps">
            <w:drawing>
              <wp:inline distT="0" distB="0" distL="0" distR="0" wp14:anchorId="46A2BF69" wp14:editId="2D95CC69">
                <wp:extent cx="6120765" cy="827182"/>
                <wp:effectExtent l="0" t="0" r="6985" b="10160"/>
                <wp:docPr id="2" name="Text Box 2"/>
                <wp:cNvGraphicFramePr/>
                <a:graphic xmlns:a="http://schemas.openxmlformats.org/drawingml/2006/main">
                  <a:graphicData uri="http://schemas.microsoft.com/office/word/2010/wordprocessingShape">
                    <wps:wsp>
                      <wps:cNvSpPr txBox="1"/>
                      <wps:spPr>
                        <a:xfrm>
                          <a:off x="0" y="0"/>
                          <a:ext cx="6120765" cy="827182"/>
                        </a:xfrm>
                        <a:prstGeom prst="rect">
                          <a:avLst/>
                        </a:prstGeom>
                        <a:noFill/>
                        <a:ln w="6350">
                          <a:solidFill>
                            <a:prstClr val="black"/>
                          </a:solidFill>
                        </a:ln>
                      </wps:spPr>
                      <wps:txbx>
                        <w:txbxContent>
                          <w:p w14:paraId="1F827FF0" w14:textId="77777777" w:rsidR="002F1B88" w:rsidRPr="002F1B88" w:rsidRDefault="002F1B88" w:rsidP="002F1B88">
                            <w:pPr>
                              <w:rPr>
                                <w:sz w:val="16"/>
                                <w:szCs w:val="16"/>
                              </w:rPr>
                            </w:pPr>
                            <w:r w:rsidRPr="002F1B88">
                              <w:rPr>
                                <w:sz w:val="16"/>
                                <w:szCs w:val="16"/>
                                <w:lang w:val="en-GB"/>
                              </w:rPr>
                              <w:t>In relation to “</w:t>
                            </w:r>
                            <w:r w:rsidRPr="002F1B88">
                              <w:rPr>
                                <w:sz w:val="16"/>
                                <w:szCs w:val="16"/>
                              </w:rPr>
                              <w:t>Table 6.3.4.3-2: Relative power tolerance, P</w:t>
                            </w:r>
                            <w:r w:rsidRPr="002F1B88">
                              <w:rPr>
                                <w:sz w:val="16"/>
                                <w:szCs w:val="16"/>
                                <w:vertAlign w:val="subscript"/>
                              </w:rPr>
                              <w:t>UMAX</w:t>
                            </w:r>
                            <w:r w:rsidRPr="002F1B88">
                              <w:rPr>
                                <w:sz w:val="16"/>
                                <w:szCs w:val="16"/>
                              </w:rPr>
                              <w:t xml:space="preserve"> ≥ P &gt; P</w:t>
                            </w:r>
                            <w:r w:rsidRPr="002F1B88">
                              <w:rPr>
                                <w:sz w:val="16"/>
                                <w:szCs w:val="16"/>
                                <w:vertAlign w:val="subscript"/>
                              </w:rPr>
                              <w:t>int</w:t>
                            </w:r>
                            <w:r w:rsidRPr="002F1B88">
                              <w:rPr>
                                <w:sz w:val="16"/>
                                <w:szCs w:val="16"/>
                              </w:rPr>
                              <w:t>”:</w:t>
                            </w:r>
                          </w:p>
                          <w:p w14:paraId="6C72EB1C" w14:textId="77777777" w:rsidR="002F1B88" w:rsidRPr="002F1B88" w:rsidRDefault="002F1B88" w:rsidP="002F1B88">
                            <w:pPr>
                              <w:rPr>
                                <w:sz w:val="16"/>
                                <w:szCs w:val="16"/>
                                <w:highlight w:val="green"/>
                              </w:rPr>
                            </w:pPr>
                            <w:r w:rsidRPr="002F1B88">
                              <w:rPr>
                                <w:sz w:val="16"/>
                                <w:szCs w:val="16"/>
                                <w:highlight w:val="green"/>
                              </w:rPr>
                              <w:t>Agreement: the concept of introducing a tighter TPC requirement for fixed allocation PUSCH is acceptable with the following open issues:</w:t>
                            </w:r>
                          </w:p>
                          <w:p w14:paraId="0FB2719C" w14:textId="77777777" w:rsidR="002F1B88" w:rsidRPr="002F1B88" w:rsidRDefault="002F1B88" w:rsidP="002F1B88">
                            <w:pPr>
                              <w:pStyle w:val="ListParagraph"/>
                              <w:numPr>
                                <w:ilvl w:val="0"/>
                                <w:numId w:val="27"/>
                              </w:numPr>
                              <w:rPr>
                                <w:sz w:val="16"/>
                                <w:szCs w:val="16"/>
                                <w:highlight w:val="green"/>
                              </w:rPr>
                            </w:pPr>
                            <w:r w:rsidRPr="002F1B88">
                              <w:rPr>
                                <w:sz w:val="16"/>
                                <w:szCs w:val="16"/>
                                <w:highlight w:val="green"/>
                              </w:rPr>
                              <w:t>Exceptions to monotonicity condition should be clarified; number of exceptions is 3</w:t>
                            </w:r>
                          </w:p>
                          <w:p w14:paraId="4BBD1875" w14:textId="77777777" w:rsidR="002F1B88" w:rsidRPr="002F1B88" w:rsidRDefault="002F1B88" w:rsidP="002F1B88">
                            <w:pPr>
                              <w:pStyle w:val="ListParagraph"/>
                              <w:numPr>
                                <w:ilvl w:val="0"/>
                                <w:numId w:val="27"/>
                              </w:numPr>
                              <w:rPr>
                                <w:sz w:val="16"/>
                                <w:szCs w:val="16"/>
                                <w:highlight w:val="green"/>
                              </w:rPr>
                            </w:pPr>
                            <w:r w:rsidRPr="002F1B88">
                              <w:rPr>
                                <w:sz w:val="16"/>
                                <w:szCs w:val="16"/>
                                <w:highlight w:val="green"/>
                              </w:rPr>
                              <w:t>The value of the tolerance is [1] dB</w:t>
                            </w:r>
                          </w:p>
                          <w:p w14:paraId="30600F7B" w14:textId="77777777" w:rsidR="002F1B88" w:rsidRPr="002F1B88" w:rsidRDefault="002F1B88" w:rsidP="002F1B88">
                            <w:pPr>
                              <w:pStyle w:val="ListParagraph"/>
                              <w:numPr>
                                <w:ilvl w:val="0"/>
                                <w:numId w:val="27"/>
                              </w:numPr>
                              <w:rPr>
                                <w:sz w:val="16"/>
                                <w:szCs w:val="16"/>
                                <w:highlight w:val="green"/>
                              </w:rPr>
                            </w:pPr>
                            <w:r w:rsidRPr="002F1B88">
                              <w:rPr>
                                <w:sz w:val="16"/>
                                <w:szCs w:val="16"/>
                                <w:highlight w:val="green"/>
                              </w:rPr>
                              <w:t>The values for the general requirement on relative TPC remain in []</w:t>
                            </w:r>
                          </w:p>
                          <w:p w14:paraId="703EA664" w14:textId="77777777" w:rsidR="002F1B88" w:rsidRPr="002F1B88" w:rsidRDefault="002F1B88" w:rsidP="002F1B88">
                            <w:pPr>
                              <w:rPr>
                                <w:sz w:val="16"/>
                                <w:szCs w:val="16"/>
                              </w:rPr>
                            </w:pPr>
                            <w:r w:rsidRPr="002F1B88">
                              <w:rPr>
                                <w:sz w:val="16"/>
                                <w:szCs w:val="16"/>
                              </w:rPr>
                              <w:t>Adhoc chair’s understanding: the power step under discussion above is ∆P = 1 dB</w:t>
                            </w:r>
                          </w:p>
                          <w:p w14:paraId="2E8239D3" w14:textId="77777777" w:rsidR="002F1B88" w:rsidRPr="002F1B88" w:rsidRDefault="002F1B88" w:rsidP="002F1B88">
                            <w:pPr>
                              <w:rPr>
                                <w:sz w:val="16"/>
                                <w:szCs w:val="16"/>
                              </w:rPr>
                            </w:pPr>
                          </w:p>
                          <w:p w14:paraId="54F111EB" w14:textId="77777777" w:rsidR="002F1B88" w:rsidRPr="002F1B88" w:rsidRDefault="002F1B88" w:rsidP="002F1B88">
                            <w:pPr>
                              <w:rPr>
                                <w:sz w:val="16"/>
                                <w:szCs w:val="16"/>
                              </w:rPr>
                            </w:pPr>
                            <w:r w:rsidRPr="002F1B88">
                              <w:rPr>
                                <w:sz w:val="16"/>
                                <w:szCs w:val="16"/>
                              </w:rPr>
                              <w:t>Adhoc chair’s understanding of the absolute power control discussion is the following:</w:t>
                            </w:r>
                          </w:p>
                          <w:p w14:paraId="41CA2014" w14:textId="1FBA5294" w:rsidR="00546E72" w:rsidRPr="002F1B88" w:rsidRDefault="002F1B88" w:rsidP="00546E72">
                            <w:pPr>
                              <w:pStyle w:val="ListParagraph"/>
                              <w:numPr>
                                <w:ilvl w:val="0"/>
                                <w:numId w:val="27"/>
                              </w:numPr>
                              <w:rPr>
                                <w:sz w:val="16"/>
                                <w:szCs w:val="16"/>
                              </w:rPr>
                            </w:pPr>
                            <w:r w:rsidRPr="002F1B88">
                              <w:rPr>
                                <w:sz w:val="16"/>
                                <w:szCs w:val="16"/>
                              </w:rPr>
                              <w:t>Proposed verification of PA calibration at max power level in open loop (NOTE 1) was indicated to be of more importance than the general absolute power tolerance requirement correction in Rel-15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A2BF69" id="Text Box 2" o:spid="_x0000_s1027" type="#_x0000_t202" style="width:481.95pt;height:65.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h3tGQgIAAH4EAAAOAAAAZHJzL2Uyb0RvYy54bWysVE1vGjEQvVfqf7B8bxa2JFDEElEiqkoo&#13;&#10;iQRVzsbrhVW9Hss27Ka/vs/mIyjtqerFO18ez7w3s5P7rtHsoJyvyRS8f9PjTBlJZW22Bf+xXnwa&#13;&#10;ceaDMKXQZFTBX5Xn99OPHyatHaucdqRL5RiSGD9ubcF3Idhxlnm5U43wN2SVgbMi14gA1W2z0okW&#13;&#10;2Rud5b3eXdaSK60jqbyH9eHo5NOUv6qUDE9V5VVguuCoLaTTpXMTz2w6EeOtE3ZXy1MZ4h+qaERt&#13;&#10;8Ogl1YMIgu1d/UeqppaOPFXhRlKTUVXVUqUe0E2/966b1U5YlXoBON5eYPL/L618PDw7VpcFzzkz&#13;&#10;ogFFa9UF9pU6lkd0WuvHCFpZhIUOZrB8tnsYY9Nd5Zr4RTsMfuD8esE2JpMw3vXz3vDuljMJ3ygf&#13;&#10;9kcpffZ22zofvilqWBQK7sBdglQclj6gEoSeQ+Jjhha11ok/bViLFz7f9tIFT7ouozOGxStz7dhB&#13;&#10;YAI2WsifsXrkuoqCpg2MsddjT1EK3aZLyFz63VD5ChgcHcfIW7mokX4pfHgWDnODzrEL4QlHpQk1&#13;&#10;0UnibEfu19/sMR50wstZizksuMGicKa/G9D8pT8YxLFNyuB2mENx157NtcfsmzmhzT52zsokxvig&#13;&#10;z2LlqHnBwszim3AJI/FywcNZnIfjbmDhpJrNUhAG1YqwNCsrY+ozqOvuRTh7IiuA5kc6z6sYv+Ps&#13;&#10;GBtvejvbBzCXCI0oHzE9gY8hT9ycFjJu0bWeot5+G9PfAAAA//8DAFBLAwQUAAYACAAAACEAOtSX&#13;&#10;At4AAAAKAQAADwAAAGRycy9kb3ducmV2LnhtbEyPQU/DMAyF70j8h8hIu7GUVQzaNZ3Qpt12GNvE&#13;&#10;OWtMW0icqsm2ll+P4QKXJ1nPfn5fsRycFRfsQ+tJwcM0AYFUedNSreB42Nw/gwhRk9HWEyoYMcCy&#13;&#10;vL0pdG78lV7xso+14BAKuVbQxNjlUoaqQafD1HdI7L373unIY19L0+srhzsrZ0kyl063xB8a3eGq&#13;&#10;wepzf3YKzPi4Go39MsePt6ds581htw1rpSZ3w3rB8rIAEXGIfxfww8D9oeRiJ38mE4RVwDTxV9nL&#13;&#10;5mkG4sRLaZKCLAv5H6H8BgAA//8DAFBLAQItABQABgAIAAAAIQC2gziS/gAAAOEBAAATAAAAAAAA&#13;&#10;AAAAAAAAAAAAAABbQ29udGVudF9UeXBlc10ueG1sUEsBAi0AFAAGAAgAAAAhADj9If/WAAAAlAEA&#13;&#10;AAsAAAAAAAAAAAAAAAAALwEAAF9yZWxzLy5yZWxzUEsBAi0AFAAGAAgAAAAhAGKHe0ZCAgAAfgQA&#13;&#10;AA4AAAAAAAAAAAAAAAAALgIAAGRycy9lMm9Eb2MueG1sUEsBAi0AFAAGAAgAAAAhADrUlwLeAAAA&#13;&#10;CgEAAA8AAAAAAAAAAAAAAAAAnAQAAGRycy9kb3ducmV2LnhtbFBLBQYAAAAABAAEAPMAAACnBQAA&#13;&#10;AAA=&#13;&#10;" filled="f" strokeweight=".5pt">
                <v:textbox style="mso-fit-shape-to-text:t">
                  <w:txbxContent>
                    <w:p w14:paraId="1F827FF0" w14:textId="77777777" w:rsidR="002F1B88" w:rsidRPr="002F1B88" w:rsidRDefault="002F1B88" w:rsidP="002F1B88">
                      <w:pPr>
                        <w:rPr>
                          <w:sz w:val="16"/>
                          <w:szCs w:val="16"/>
                        </w:rPr>
                      </w:pPr>
                      <w:r w:rsidRPr="002F1B88">
                        <w:rPr>
                          <w:sz w:val="16"/>
                          <w:szCs w:val="16"/>
                          <w:lang w:val="en-GB"/>
                        </w:rPr>
                        <w:t>In relation to “</w:t>
                      </w:r>
                      <w:r w:rsidRPr="002F1B88">
                        <w:rPr>
                          <w:sz w:val="16"/>
                          <w:szCs w:val="16"/>
                        </w:rPr>
                        <w:t>Table 6.3.4.3-2: Relative power tolerance, P</w:t>
                      </w:r>
                      <w:r w:rsidRPr="002F1B88">
                        <w:rPr>
                          <w:sz w:val="16"/>
                          <w:szCs w:val="16"/>
                          <w:vertAlign w:val="subscript"/>
                        </w:rPr>
                        <w:t>UMAX</w:t>
                      </w:r>
                      <w:r w:rsidRPr="002F1B88">
                        <w:rPr>
                          <w:sz w:val="16"/>
                          <w:szCs w:val="16"/>
                        </w:rPr>
                        <w:t xml:space="preserve"> ≥ P &gt; P</w:t>
                      </w:r>
                      <w:r w:rsidRPr="002F1B88">
                        <w:rPr>
                          <w:sz w:val="16"/>
                          <w:szCs w:val="16"/>
                          <w:vertAlign w:val="subscript"/>
                        </w:rPr>
                        <w:t>int</w:t>
                      </w:r>
                      <w:r w:rsidRPr="002F1B88">
                        <w:rPr>
                          <w:sz w:val="16"/>
                          <w:szCs w:val="16"/>
                        </w:rPr>
                        <w:t>”:</w:t>
                      </w:r>
                    </w:p>
                    <w:p w14:paraId="6C72EB1C" w14:textId="77777777" w:rsidR="002F1B88" w:rsidRPr="002F1B88" w:rsidRDefault="002F1B88" w:rsidP="002F1B88">
                      <w:pPr>
                        <w:rPr>
                          <w:sz w:val="16"/>
                          <w:szCs w:val="16"/>
                          <w:highlight w:val="green"/>
                        </w:rPr>
                      </w:pPr>
                      <w:r w:rsidRPr="002F1B88">
                        <w:rPr>
                          <w:sz w:val="16"/>
                          <w:szCs w:val="16"/>
                          <w:highlight w:val="green"/>
                        </w:rPr>
                        <w:t>Agreement: the concept of introducing a tighter TPC requirement for fixed allocation PUSCH is acceptable with the following open issues:</w:t>
                      </w:r>
                    </w:p>
                    <w:p w14:paraId="0FB2719C" w14:textId="77777777" w:rsidR="002F1B88" w:rsidRPr="002F1B88" w:rsidRDefault="002F1B88" w:rsidP="002F1B88">
                      <w:pPr>
                        <w:pStyle w:val="ListParagraph"/>
                        <w:numPr>
                          <w:ilvl w:val="0"/>
                          <w:numId w:val="27"/>
                        </w:numPr>
                        <w:rPr>
                          <w:sz w:val="16"/>
                          <w:szCs w:val="16"/>
                          <w:highlight w:val="green"/>
                        </w:rPr>
                      </w:pPr>
                      <w:r w:rsidRPr="002F1B88">
                        <w:rPr>
                          <w:sz w:val="16"/>
                          <w:szCs w:val="16"/>
                          <w:highlight w:val="green"/>
                        </w:rPr>
                        <w:t>Exceptions to monotonicity condition should be clarified; number of exceptions is 3</w:t>
                      </w:r>
                    </w:p>
                    <w:p w14:paraId="4BBD1875" w14:textId="77777777" w:rsidR="002F1B88" w:rsidRPr="002F1B88" w:rsidRDefault="002F1B88" w:rsidP="002F1B88">
                      <w:pPr>
                        <w:pStyle w:val="ListParagraph"/>
                        <w:numPr>
                          <w:ilvl w:val="0"/>
                          <w:numId w:val="27"/>
                        </w:numPr>
                        <w:rPr>
                          <w:sz w:val="16"/>
                          <w:szCs w:val="16"/>
                          <w:highlight w:val="green"/>
                        </w:rPr>
                      </w:pPr>
                      <w:r w:rsidRPr="002F1B88">
                        <w:rPr>
                          <w:sz w:val="16"/>
                          <w:szCs w:val="16"/>
                          <w:highlight w:val="green"/>
                        </w:rPr>
                        <w:t>The value of the tolerance is [1] dB</w:t>
                      </w:r>
                    </w:p>
                    <w:p w14:paraId="30600F7B" w14:textId="77777777" w:rsidR="002F1B88" w:rsidRPr="002F1B88" w:rsidRDefault="002F1B88" w:rsidP="002F1B88">
                      <w:pPr>
                        <w:pStyle w:val="ListParagraph"/>
                        <w:numPr>
                          <w:ilvl w:val="0"/>
                          <w:numId w:val="27"/>
                        </w:numPr>
                        <w:rPr>
                          <w:sz w:val="16"/>
                          <w:szCs w:val="16"/>
                          <w:highlight w:val="green"/>
                        </w:rPr>
                      </w:pPr>
                      <w:r w:rsidRPr="002F1B88">
                        <w:rPr>
                          <w:sz w:val="16"/>
                          <w:szCs w:val="16"/>
                          <w:highlight w:val="green"/>
                        </w:rPr>
                        <w:t>The values for the general requirement on relative TPC remain in []</w:t>
                      </w:r>
                    </w:p>
                    <w:p w14:paraId="703EA664" w14:textId="77777777" w:rsidR="002F1B88" w:rsidRPr="002F1B88" w:rsidRDefault="002F1B88" w:rsidP="002F1B88">
                      <w:pPr>
                        <w:rPr>
                          <w:sz w:val="16"/>
                          <w:szCs w:val="16"/>
                        </w:rPr>
                      </w:pPr>
                      <w:r w:rsidRPr="002F1B88">
                        <w:rPr>
                          <w:sz w:val="16"/>
                          <w:szCs w:val="16"/>
                        </w:rPr>
                        <w:t>Adhoc chair’s understanding: the power step under discussion above is ∆P = 1 dB</w:t>
                      </w:r>
                    </w:p>
                    <w:p w14:paraId="2E8239D3" w14:textId="77777777" w:rsidR="002F1B88" w:rsidRPr="002F1B88" w:rsidRDefault="002F1B88" w:rsidP="002F1B88">
                      <w:pPr>
                        <w:rPr>
                          <w:sz w:val="16"/>
                          <w:szCs w:val="16"/>
                        </w:rPr>
                      </w:pPr>
                    </w:p>
                    <w:p w14:paraId="54F111EB" w14:textId="77777777" w:rsidR="002F1B88" w:rsidRPr="002F1B88" w:rsidRDefault="002F1B88" w:rsidP="002F1B88">
                      <w:pPr>
                        <w:rPr>
                          <w:sz w:val="16"/>
                          <w:szCs w:val="16"/>
                        </w:rPr>
                      </w:pPr>
                      <w:r w:rsidRPr="002F1B88">
                        <w:rPr>
                          <w:sz w:val="16"/>
                          <w:szCs w:val="16"/>
                        </w:rPr>
                        <w:t>Adhoc chair’s understanding of the absolute power control discussion is the following:</w:t>
                      </w:r>
                    </w:p>
                    <w:p w14:paraId="41CA2014" w14:textId="1FBA5294" w:rsidR="00546E72" w:rsidRPr="002F1B88" w:rsidRDefault="002F1B88" w:rsidP="00546E72">
                      <w:pPr>
                        <w:pStyle w:val="ListParagraph"/>
                        <w:numPr>
                          <w:ilvl w:val="0"/>
                          <w:numId w:val="27"/>
                        </w:numPr>
                        <w:rPr>
                          <w:sz w:val="16"/>
                          <w:szCs w:val="16"/>
                        </w:rPr>
                      </w:pPr>
                      <w:r w:rsidRPr="002F1B88">
                        <w:rPr>
                          <w:sz w:val="16"/>
                          <w:szCs w:val="16"/>
                        </w:rPr>
                        <w:t>Proposed verification of PA calibration at max power level in open loop (NOTE 1) was indicated to be of more importance than the general absolute power tolerance requirement correction in Rel-15</w:t>
                      </w:r>
                    </w:p>
                  </w:txbxContent>
                </v:textbox>
                <w10:anchorlock/>
              </v:shape>
            </w:pict>
          </mc:Fallback>
        </mc:AlternateContent>
      </w:r>
    </w:p>
    <w:p w14:paraId="47E5197D" w14:textId="34514EBD" w:rsidR="007B06E1" w:rsidRDefault="007B06E1" w:rsidP="006B6A1A"/>
    <w:p w14:paraId="2E466E6B" w14:textId="65E02810" w:rsidR="00AD3A59" w:rsidRDefault="00AD3A59" w:rsidP="006B6A1A">
      <w:r>
        <w:t xml:space="preserve">This contribution evaluates the TPC convergence of the </w:t>
      </w:r>
      <w:r w:rsidR="002F1B88">
        <w:t>latest agreement</w:t>
      </w:r>
      <w:r w:rsidR="00620622">
        <w:t xml:space="preserve"> and </w:t>
      </w:r>
      <w:r>
        <w:t>evaluates the impact of BS RSRP accuracy</w:t>
      </w:r>
      <w:r w:rsidR="002F1B88">
        <w:t xml:space="preserve"> and a potential BS TPC algorithm</w:t>
      </w:r>
      <w:r w:rsidR="00620622">
        <w:t>.</w:t>
      </w:r>
    </w:p>
    <w:p w14:paraId="442DEB4F" w14:textId="26111B83" w:rsidR="006B6A1A" w:rsidRDefault="006B6A1A" w:rsidP="006B6A1A">
      <w:pPr>
        <w:pStyle w:val="Heading1"/>
        <w:rPr>
          <w:lang w:val="en-US"/>
        </w:rPr>
      </w:pPr>
      <w:r w:rsidRPr="00871EA3">
        <w:rPr>
          <w:lang w:val="en-US"/>
        </w:rPr>
        <w:t>Discussion</w:t>
      </w:r>
    </w:p>
    <w:p w14:paraId="243557BD" w14:textId="41BC2E15" w:rsidR="00413C60" w:rsidRDefault="00413C60" w:rsidP="00413C60">
      <w:pPr>
        <w:pStyle w:val="Heading2"/>
        <w:rPr>
          <w:rFonts w:eastAsia="SimSun"/>
        </w:rPr>
      </w:pPr>
      <w:r>
        <w:rPr>
          <w:rFonts w:eastAsia="SimSun"/>
        </w:rPr>
        <w:t>Simplified simulation setup</w:t>
      </w:r>
    </w:p>
    <w:p w14:paraId="625F77CD" w14:textId="7E77D79F" w:rsidR="00061420" w:rsidRDefault="002F1B88" w:rsidP="00061420">
      <w:pPr>
        <w:rPr>
          <w:rFonts w:eastAsia="SimSun"/>
        </w:rPr>
      </w:pPr>
      <w:r>
        <w:rPr>
          <w:rFonts w:eastAsia="SimSun"/>
        </w:rPr>
        <w:t xml:space="preserve">The simplified simulation setup is described in detail in </w:t>
      </w:r>
      <w:r>
        <w:rPr>
          <w:rFonts w:eastAsia="SimSun"/>
        </w:rPr>
        <w:fldChar w:fldCharType="begin"/>
      </w:r>
      <w:r>
        <w:rPr>
          <w:rFonts w:eastAsia="SimSun"/>
        </w:rPr>
        <w:instrText xml:space="preserve"> REF _Ref7693909 \r \h </w:instrText>
      </w:r>
      <w:r>
        <w:rPr>
          <w:rFonts w:eastAsia="SimSun"/>
        </w:rPr>
      </w:r>
      <w:r>
        <w:rPr>
          <w:rFonts w:eastAsia="SimSun"/>
        </w:rPr>
        <w:fldChar w:fldCharType="separate"/>
      </w:r>
      <w:r>
        <w:rPr>
          <w:rFonts w:eastAsia="SimSun"/>
        </w:rPr>
        <w:t>[8]</w:t>
      </w:r>
      <w:r>
        <w:rPr>
          <w:rFonts w:eastAsia="SimSun"/>
        </w:rPr>
        <w:fldChar w:fldCharType="end"/>
      </w:r>
      <w:r>
        <w:rPr>
          <w:rFonts w:eastAsia="SimSun"/>
        </w:rPr>
        <w:t>.</w:t>
      </w:r>
    </w:p>
    <w:p w14:paraId="3515A64A" w14:textId="7472156C" w:rsidR="00413C60" w:rsidRDefault="00413C60" w:rsidP="00413C60">
      <w:pPr>
        <w:pStyle w:val="Heading2"/>
        <w:rPr>
          <w:rFonts w:eastAsia="SimSun"/>
        </w:rPr>
      </w:pPr>
      <w:r>
        <w:rPr>
          <w:rFonts w:eastAsia="SimSun"/>
        </w:rPr>
        <w:t>Simulation parameters</w:t>
      </w:r>
    </w:p>
    <w:p w14:paraId="501652B9" w14:textId="2B43E093" w:rsidR="00EE17D7" w:rsidRDefault="00EE17D7" w:rsidP="00061420">
      <w:pPr>
        <w:rPr>
          <w:rFonts w:eastAsia="SimSun"/>
        </w:rPr>
      </w:pPr>
      <w:r>
        <w:rPr>
          <w:rFonts w:eastAsia="SimSun"/>
        </w:rPr>
        <w:t xml:space="preserve">Convergence of TPC loops is </w:t>
      </w:r>
      <w:r w:rsidR="009629EC">
        <w:rPr>
          <w:rFonts w:eastAsia="SimSun"/>
        </w:rPr>
        <w:t>analyzed</w:t>
      </w:r>
      <w:r>
        <w:rPr>
          <w:rFonts w:eastAsia="SimSun"/>
        </w:rPr>
        <w:t xml:space="preserve"> for </w:t>
      </w:r>
      <w:r w:rsidR="002F1B88">
        <w:rPr>
          <w:rFonts w:eastAsia="SimSun"/>
        </w:rPr>
        <w:t>six</w:t>
      </w:r>
      <w:r w:rsidR="00413C60">
        <w:rPr>
          <w:rFonts w:eastAsia="SimSun"/>
        </w:rPr>
        <w:t xml:space="preserve"> </w:t>
      </w:r>
      <w:r w:rsidR="000666B3">
        <w:rPr>
          <w:rFonts w:eastAsia="SimSun"/>
        </w:rPr>
        <w:t xml:space="preserve">simulation </w:t>
      </w:r>
      <w:r w:rsidR="00413C60">
        <w:rPr>
          <w:rFonts w:eastAsia="SimSun"/>
        </w:rPr>
        <w:t>cases:</w:t>
      </w:r>
    </w:p>
    <w:p w14:paraId="571E6B79" w14:textId="58CF441E" w:rsidR="00EE17D7" w:rsidRDefault="00EE17D7" w:rsidP="00EE17D7">
      <w:pPr>
        <w:pStyle w:val="ListParagraph"/>
        <w:numPr>
          <w:ilvl w:val="0"/>
          <w:numId w:val="21"/>
        </w:numPr>
        <w:rPr>
          <w:rFonts w:eastAsia="SimSun"/>
        </w:rPr>
      </w:pPr>
      <w:r>
        <w:rPr>
          <w:rFonts w:eastAsia="SimSun"/>
        </w:rPr>
        <w:lastRenderedPageBreak/>
        <w:t>Baseline: current values in [] in 38.101-2</w:t>
      </w:r>
      <w:r w:rsidR="00413C60">
        <w:rPr>
          <w:rFonts w:eastAsia="SimSun"/>
        </w:rPr>
        <w:t xml:space="preserve"> and BS RSRP tolerance = 6 dB</w:t>
      </w:r>
      <w:r w:rsidR="002F1B88">
        <w:rPr>
          <w:rFonts w:eastAsia="SimSun"/>
        </w:rPr>
        <w:t>, TPC command calculation based on estimated power delta at the BS</w:t>
      </w:r>
    </w:p>
    <w:p w14:paraId="024ADFBF" w14:textId="3FA76418" w:rsidR="002F1B88" w:rsidRDefault="002F1B88" w:rsidP="00EE17D7">
      <w:pPr>
        <w:pStyle w:val="ListParagraph"/>
        <w:numPr>
          <w:ilvl w:val="0"/>
          <w:numId w:val="21"/>
        </w:numPr>
      </w:pPr>
      <w:r>
        <w:t xml:space="preserve">Baseline, BS RSRP tolerance = 5 dB, </w:t>
      </w:r>
      <w:r>
        <w:rPr>
          <w:rFonts w:eastAsia="SimSun"/>
        </w:rPr>
        <w:t>TPC command calculation based on estimated power delta at the BS</w:t>
      </w:r>
    </w:p>
    <w:p w14:paraId="58FFC505" w14:textId="49B12E58" w:rsidR="002F1B88" w:rsidRDefault="002F1B88" w:rsidP="00EE17D7">
      <w:pPr>
        <w:pStyle w:val="ListParagraph"/>
        <w:numPr>
          <w:ilvl w:val="0"/>
          <w:numId w:val="21"/>
        </w:numPr>
      </w:pPr>
      <w:r>
        <w:t xml:space="preserve">Baseline OL and CL requirements with monotonicity requirement per adhoc agreement, BS RSRP tolerance = 6 dB, </w:t>
      </w:r>
      <w:r>
        <w:rPr>
          <w:rFonts w:eastAsia="SimSun"/>
        </w:rPr>
        <w:t>TPC command calculation based on estimated power delta at the BS</w:t>
      </w:r>
    </w:p>
    <w:p w14:paraId="6FB0EE0C" w14:textId="27E2E494" w:rsidR="002F1B88" w:rsidRDefault="002F1B88" w:rsidP="002F1B88">
      <w:pPr>
        <w:pStyle w:val="ListParagraph"/>
        <w:numPr>
          <w:ilvl w:val="0"/>
          <w:numId w:val="21"/>
        </w:numPr>
        <w:rPr>
          <w:rFonts w:eastAsia="SimSun"/>
        </w:rPr>
      </w:pPr>
      <w:r>
        <w:rPr>
          <w:rFonts w:eastAsia="SimSun"/>
        </w:rPr>
        <w:t>Baseline: current values in [] in 38.101-2 and BS RSRP tolerance = 6 dB, TPC command calculation based on one half of the estimated power delta at the BS</w:t>
      </w:r>
    </w:p>
    <w:p w14:paraId="71A938E5" w14:textId="7DAD3C76" w:rsidR="002F1B88" w:rsidRDefault="002F1B88" w:rsidP="002F1B88">
      <w:pPr>
        <w:pStyle w:val="ListParagraph"/>
        <w:numPr>
          <w:ilvl w:val="0"/>
          <w:numId w:val="21"/>
        </w:numPr>
      </w:pPr>
      <w:r>
        <w:t xml:space="preserve">Baseline, BS RSRP tolerance = 5 dB, </w:t>
      </w:r>
      <w:r>
        <w:rPr>
          <w:rFonts w:eastAsia="SimSun"/>
        </w:rPr>
        <w:t>TPC command calculation based on one half of the estimated power delta at the BS</w:t>
      </w:r>
    </w:p>
    <w:p w14:paraId="302C9659" w14:textId="0C597F4D" w:rsidR="005E3DAA" w:rsidRDefault="002F1B88" w:rsidP="00EE17D7">
      <w:pPr>
        <w:pStyle w:val="ListParagraph"/>
        <w:numPr>
          <w:ilvl w:val="0"/>
          <w:numId w:val="21"/>
        </w:numPr>
        <w:rPr>
          <w:rFonts w:eastAsia="SimSun"/>
        </w:rPr>
      </w:pPr>
      <w:r>
        <w:t xml:space="preserve">Baseline OL and CL requirements with monotonicity requirement per adhoc agreement, BS RSRP tolerance = 6 dB, </w:t>
      </w:r>
      <w:r>
        <w:rPr>
          <w:rFonts w:eastAsia="SimSun"/>
        </w:rPr>
        <w:t>TPC command calculation based on one half of the estimated power delta at the BS</w:t>
      </w:r>
    </w:p>
    <w:p w14:paraId="60755EF3" w14:textId="55E96F28" w:rsidR="000A60AD" w:rsidRDefault="000A60AD" w:rsidP="000A60AD">
      <w:pPr>
        <w:rPr>
          <w:rFonts w:eastAsia="SimSun"/>
        </w:rPr>
      </w:pPr>
    </w:p>
    <w:p w14:paraId="775A2A05" w14:textId="7D5C8F26" w:rsidR="000A60AD" w:rsidRDefault="000A60AD" w:rsidP="000A60AD">
      <w:pPr>
        <w:rPr>
          <w:rFonts w:eastAsia="SimSun"/>
        </w:rPr>
      </w:pPr>
      <w:r>
        <w:rPr>
          <w:rFonts w:eastAsia="SimSun"/>
        </w:rPr>
        <w:fldChar w:fldCharType="begin"/>
      </w:r>
      <w:r>
        <w:rPr>
          <w:rFonts w:eastAsia="SimSun"/>
        </w:rPr>
        <w:instrText xml:space="preserve"> REF _Ref7785163 \h </w:instrText>
      </w:r>
      <w:r>
        <w:rPr>
          <w:rFonts w:eastAsia="SimSun"/>
        </w:rPr>
      </w:r>
      <w:r>
        <w:rPr>
          <w:rFonts w:eastAsia="SimSun"/>
        </w:rPr>
        <w:fldChar w:fldCharType="separate"/>
      </w:r>
      <w:r>
        <w:t xml:space="preserve">Table </w:t>
      </w:r>
      <w:r>
        <w:rPr>
          <w:noProof/>
        </w:rPr>
        <w:t>1</w:t>
      </w:r>
      <w:r>
        <w:rPr>
          <w:rFonts w:eastAsia="SimSun"/>
        </w:rPr>
        <w:fldChar w:fldCharType="end"/>
      </w:r>
      <w:r>
        <w:rPr>
          <w:rFonts w:eastAsia="SimSun"/>
        </w:rPr>
        <w:t xml:space="preserve"> below summarizes the simulation cases.</w:t>
      </w:r>
    </w:p>
    <w:p w14:paraId="13934B6F" w14:textId="77777777" w:rsidR="000A60AD" w:rsidRDefault="000A60AD" w:rsidP="000A60AD">
      <w:pPr>
        <w:rPr>
          <w:rFonts w:eastAsia="SimSun"/>
        </w:rPr>
      </w:pPr>
    </w:p>
    <w:p w14:paraId="2DE3D63D" w14:textId="411B7878" w:rsidR="000A60AD" w:rsidRDefault="000A60AD" w:rsidP="000A60AD">
      <w:pPr>
        <w:pStyle w:val="Caption"/>
        <w:jc w:val="center"/>
      </w:pPr>
      <w:bookmarkStart w:id="0" w:name="_Ref7785163"/>
      <w:r>
        <w:t xml:space="preserve">Table </w:t>
      </w:r>
      <w:fldSimple w:instr=" SEQ Table \* ARABIC ">
        <w:r>
          <w:rPr>
            <w:noProof/>
          </w:rPr>
          <w:t>1</w:t>
        </w:r>
      </w:fldSimple>
      <w:bookmarkEnd w:id="0"/>
      <w:r>
        <w:t>: Simulation cases</w:t>
      </w:r>
    </w:p>
    <w:tbl>
      <w:tblPr>
        <w:tblW w:w="0" w:type="auto"/>
        <w:jc w:val="center"/>
        <w:tblCellMar>
          <w:left w:w="0" w:type="dxa"/>
          <w:right w:w="0" w:type="dxa"/>
        </w:tblCellMar>
        <w:tblLook w:val="04A0" w:firstRow="1" w:lastRow="0" w:firstColumn="1" w:lastColumn="0" w:noHBand="0" w:noVBand="1"/>
      </w:tblPr>
      <w:tblGrid>
        <w:gridCol w:w="1365"/>
        <w:gridCol w:w="1365"/>
        <w:gridCol w:w="1365"/>
        <w:gridCol w:w="1365"/>
        <w:gridCol w:w="1365"/>
      </w:tblGrid>
      <w:tr w:rsidR="000A60AD" w:rsidRPr="000A60AD" w14:paraId="59CC533E" w14:textId="77777777" w:rsidTr="000A60AD">
        <w:trPr>
          <w:trHeight w:val="165"/>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FD323FC" w14:textId="77777777" w:rsidR="000A60AD" w:rsidRPr="000A60AD" w:rsidRDefault="000A60AD" w:rsidP="000A60AD">
            <w:r w:rsidRPr="000A60AD">
              <w:rPr>
                <w:rFonts w:ascii="Helvetica Neue" w:hAnsi="Helvetica Neue"/>
                <w:b/>
                <w:bCs/>
                <w:color w:val="000000"/>
                <w:sz w:val="15"/>
                <w:szCs w:val="15"/>
              </w:rPr>
              <w:t>Case</w:t>
            </w:r>
          </w:p>
        </w:tc>
        <w:tc>
          <w:tcPr>
            <w:tcW w:w="13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2183C57" w14:textId="77777777" w:rsidR="000A60AD" w:rsidRPr="000A60AD" w:rsidRDefault="000A60AD" w:rsidP="000A60AD">
            <w:r w:rsidRPr="000A60AD">
              <w:rPr>
                <w:rFonts w:ascii="Helvetica Neue" w:hAnsi="Helvetica Neue"/>
                <w:b/>
                <w:bCs/>
                <w:color w:val="000000"/>
                <w:sz w:val="15"/>
                <w:szCs w:val="15"/>
              </w:rPr>
              <w:t>UE RSRP error</w:t>
            </w:r>
          </w:p>
        </w:tc>
        <w:tc>
          <w:tcPr>
            <w:tcW w:w="13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6CF7526" w14:textId="77777777" w:rsidR="000A60AD" w:rsidRPr="000A60AD" w:rsidRDefault="000A60AD" w:rsidP="000A60AD">
            <w:r w:rsidRPr="000A60AD">
              <w:rPr>
                <w:rFonts w:ascii="Helvetica Neue" w:hAnsi="Helvetica Neue"/>
                <w:b/>
                <w:bCs/>
                <w:color w:val="000000"/>
                <w:sz w:val="15"/>
                <w:szCs w:val="15"/>
              </w:rPr>
              <w:t>BS RSRP error</w:t>
            </w:r>
          </w:p>
        </w:tc>
        <w:tc>
          <w:tcPr>
            <w:tcW w:w="13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FCE1EB5" w14:textId="77777777" w:rsidR="000A60AD" w:rsidRPr="000A60AD" w:rsidRDefault="000A60AD" w:rsidP="000A60AD">
            <w:r w:rsidRPr="000A60AD">
              <w:rPr>
                <w:rFonts w:ascii="Helvetica Neue" w:hAnsi="Helvetica Neue"/>
                <w:b/>
                <w:bCs/>
                <w:color w:val="000000"/>
                <w:sz w:val="15"/>
                <w:szCs w:val="15"/>
              </w:rPr>
              <w:t>TPC requirement</w:t>
            </w:r>
          </w:p>
        </w:tc>
        <w:tc>
          <w:tcPr>
            <w:tcW w:w="13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17CBF85" w14:textId="77777777" w:rsidR="000A60AD" w:rsidRPr="000A60AD" w:rsidRDefault="000A60AD" w:rsidP="000A60AD">
            <w:r w:rsidRPr="000A60AD">
              <w:rPr>
                <w:rFonts w:ascii="Helvetica Neue" w:hAnsi="Helvetica Neue"/>
                <w:b/>
                <w:bCs/>
                <w:color w:val="000000"/>
                <w:sz w:val="15"/>
                <w:szCs w:val="15"/>
              </w:rPr>
              <w:t>TPC algorithm</w:t>
            </w:r>
          </w:p>
        </w:tc>
      </w:tr>
      <w:tr w:rsidR="000A60AD" w:rsidRPr="000A60AD" w14:paraId="6C384FE5" w14:textId="77777777" w:rsidTr="000A60AD">
        <w:trPr>
          <w:trHeight w:val="180"/>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EA24A2B" w14:textId="77777777" w:rsidR="000A60AD" w:rsidRPr="000A60AD" w:rsidRDefault="000A60AD" w:rsidP="000A60AD">
            <w:r w:rsidRPr="000A60AD">
              <w:rPr>
                <w:rFonts w:ascii="Helvetica Neue" w:hAnsi="Helvetica Neue"/>
                <w:b/>
                <w:bCs/>
                <w:color w:val="000000"/>
                <w:sz w:val="15"/>
                <w:szCs w:val="15"/>
              </w:rPr>
              <w:t>Case 1</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040288"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1C3A4"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B592D" w14:textId="77777777" w:rsidR="000A60AD" w:rsidRPr="000A60AD" w:rsidRDefault="000A60AD" w:rsidP="000A60AD">
            <w:r w:rsidRPr="000A60AD">
              <w:rPr>
                <w:rFonts w:ascii="Helvetica Neue" w:hAnsi="Helvetica Neue"/>
                <w:color w:val="000000"/>
                <w:sz w:val="15"/>
                <w:szCs w:val="15"/>
              </w:rPr>
              <w:t>Baseline</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38E1B9" w14:textId="77777777" w:rsidR="000A60AD" w:rsidRPr="000A60AD" w:rsidRDefault="000A60AD" w:rsidP="000A60AD">
            <w:r w:rsidRPr="000A60AD">
              <w:rPr>
                <w:rFonts w:ascii="Helvetica Neue" w:hAnsi="Helvetica Neue"/>
                <w:color w:val="000000"/>
                <w:sz w:val="15"/>
                <w:szCs w:val="15"/>
              </w:rPr>
              <w:t>powerDelta</w:t>
            </w:r>
          </w:p>
        </w:tc>
      </w:tr>
      <w:tr w:rsidR="000A60AD" w:rsidRPr="000A60AD" w14:paraId="0AFECCC4" w14:textId="77777777" w:rsidTr="000A60AD">
        <w:trPr>
          <w:trHeight w:val="165"/>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5DEE4A" w14:textId="77777777" w:rsidR="000A60AD" w:rsidRPr="000A60AD" w:rsidRDefault="000A60AD" w:rsidP="000A60AD">
            <w:r w:rsidRPr="000A60AD">
              <w:rPr>
                <w:rFonts w:ascii="Helvetica Neue" w:hAnsi="Helvetica Neue"/>
                <w:b/>
                <w:bCs/>
                <w:color w:val="000000"/>
                <w:sz w:val="15"/>
                <w:szCs w:val="15"/>
              </w:rPr>
              <w:t>Case 2</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8B6E83"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B8B6D" w14:textId="77777777" w:rsidR="000A60AD" w:rsidRPr="000A60AD" w:rsidRDefault="000A60AD" w:rsidP="000A60AD">
            <w:r w:rsidRPr="000A60AD">
              <w:rPr>
                <w:rFonts w:ascii="Helvetica Neue" w:hAnsi="Helvetica Neue"/>
                <w:color w:val="000000"/>
                <w:sz w:val="15"/>
                <w:szCs w:val="15"/>
              </w:rPr>
              <w:t>5.0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C0CDE8" w14:textId="77777777" w:rsidR="000A60AD" w:rsidRPr="000A60AD" w:rsidRDefault="000A60AD" w:rsidP="000A60AD">
            <w:r w:rsidRPr="000A60AD">
              <w:rPr>
                <w:rFonts w:ascii="Helvetica Neue" w:hAnsi="Helvetica Neue"/>
                <w:color w:val="000000"/>
                <w:sz w:val="15"/>
                <w:szCs w:val="15"/>
              </w:rPr>
              <w:t>Baseline</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A81A1E" w14:textId="77777777" w:rsidR="000A60AD" w:rsidRPr="000A60AD" w:rsidRDefault="000A60AD" w:rsidP="000A60AD">
            <w:r w:rsidRPr="000A60AD">
              <w:rPr>
                <w:rFonts w:ascii="Helvetica Neue" w:hAnsi="Helvetica Neue"/>
                <w:color w:val="000000"/>
                <w:sz w:val="15"/>
                <w:szCs w:val="15"/>
              </w:rPr>
              <w:t>powerDelta</w:t>
            </w:r>
          </w:p>
        </w:tc>
      </w:tr>
      <w:tr w:rsidR="000A60AD" w:rsidRPr="000A60AD" w14:paraId="2ECFA8E0" w14:textId="77777777" w:rsidTr="000A60AD">
        <w:trPr>
          <w:trHeight w:val="165"/>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C0222D6" w14:textId="77777777" w:rsidR="000A60AD" w:rsidRPr="000A60AD" w:rsidRDefault="000A60AD" w:rsidP="000A60AD">
            <w:r w:rsidRPr="000A60AD">
              <w:rPr>
                <w:rFonts w:ascii="Helvetica Neue" w:hAnsi="Helvetica Neue"/>
                <w:b/>
                <w:bCs/>
                <w:color w:val="000000"/>
                <w:sz w:val="15"/>
                <w:szCs w:val="15"/>
              </w:rPr>
              <w:t>Case 3</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FF6F51"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E4EC4"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0094F6" w14:textId="77777777" w:rsidR="000A60AD" w:rsidRPr="000A60AD" w:rsidRDefault="000A60AD" w:rsidP="000A60AD">
            <w:r w:rsidRPr="000A60AD">
              <w:rPr>
                <w:rFonts w:ascii="Helvetica Neue" w:hAnsi="Helvetica Neue"/>
                <w:color w:val="000000"/>
                <w:sz w:val="15"/>
                <w:szCs w:val="15"/>
              </w:rPr>
              <w:t>CL monotonicity</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5F8074" w14:textId="77777777" w:rsidR="000A60AD" w:rsidRPr="000A60AD" w:rsidRDefault="000A60AD" w:rsidP="000A60AD">
            <w:r w:rsidRPr="000A60AD">
              <w:rPr>
                <w:rFonts w:ascii="Helvetica Neue" w:hAnsi="Helvetica Neue"/>
                <w:color w:val="000000"/>
                <w:sz w:val="15"/>
                <w:szCs w:val="15"/>
              </w:rPr>
              <w:t>powerDelta</w:t>
            </w:r>
          </w:p>
        </w:tc>
      </w:tr>
      <w:tr w:rsidR="000A60AD" w:rsidRPr="000A60AD" w14:paraId="21324C85" w14:textId="77777777" w:rsidTr="000A60AD">
        <w:trPr>
          <w:trHeight w:val="165"/>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F8E5ED5" w14:textId="77777777" w:rsidR="000A60AD" w:rsidRPr="000A60AD" w:rsidRDefault="000A60AD" w:rsidP="000A60AD">
            <w:r w:rsidRPr="000A60AD">
              <w:rPr>
                <w:rFonts w:ascii="Helvetica Neue" w:hAnsi="Helvetica Neue"/>
                <w:b/>
                <w:bCs/>
                <w:color w:val="000000"/>
                <w:sz w:val="15"/>
                <w:szCs w:val="15"/>
              </w:rPr>
              <w:t>Case 4</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D8F9D4"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F51BF2"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DFC43" w14:textId="77777777" w:rsidR="000A60AD" w:rsidRPr="000A60AD" w:rsidRDefault="000A60AD" w:rsidP="000A60AD">
            <w:r w:rsidRPr="000A60AD">
              <w:rPr>
                <w:rFonts w:ascii="Helvetica Neue" w:hAnsi="Helvetica Neue"/>
                <w:color w:val="000000"/>
                <w:sz w:val="15"/>
                <w:szCs w:val="15"/>
              </w:rPr>
              <w:t>Baseline</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037F2B" w14:textId="77777777" w:rsidR="000A60AD" w:rsidRPr="000A60AD" w:rsidRDefault="000A60AD" w:rsidP="000A60AD">
            <w:r w:rsidRPr="000A60AD">
              <w:rPr>
                <w:rFonts w:ascii="Helvetica Neue" w:hAnsi="Helvetica Neue"/>
                <w:color w:val="000000"/>
                <w:sz w:val="15"/>
                <w:szCs w:val="15"/>
              </w:rPr>
              <w:t>powerHalfDelta</w:t>
            </w:r>
          </w:p>
        </w:tc>
      </w:tr>
      <w:tr w:rsidR="000A60AD" w:rsidRPr="000A60AD" w14:paraId="12DDAE70" w14:textId="77777777" w:rsidTr="000A60AD">
        <w:trPr>
          <w:trHeight w:val="165"/>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AE5121" w14:textId="77777777" w:rsidR="000A60AD" w:rsidRPr="000A60AD" w:rsidRDefault="000A60AD" w:rsidP="000A60AD">
            <w:r w:rsidRPr="000A60AD">
              <w:rPr>
                <w:rFonts w:ascii="Helvetica Neue" w:hAnsi="Helvetica Neue"/>
                <w:b/>
                <w:bCs/>
                <w:color w:val="000000"/>
                <w:sz w:val="15"/>
                <w:szCs w:val="15"/>
              </w:rPr>
              <w:t>Case 5</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6B12E1"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00031" w14:textId="77777777" w:rsidR="000A60AD" w:rsidRPr="000A60AD" w:rsidRDefault="000A60AD" w:rsidP="000A60AD">
            <w:r w:rsidRPr="000A60AD">
              <w:rPr>
                <w:rFonts w:ascii="Helvetica Neue" w:hAnsi="Helvetica Neue"/>
                <w:color w:val="000000"/>
                <w:sz w:val="15"/>
                <w:szCs w:val="15"/>
              </w:rPr>
              <w:t>5.0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D42DAB" w14:textId="77777777" w:rsidR="000A60AD" w:rsidRPr="000A60AD" w:rsidRDefault="000A60AD" w:rsidP="000A60AD">
            <w:r w:rsidRPr="000A60AD">
              <w:rPr>
                <w:rFonts w:ascii="Helvetica Neue" w:hAnsi="Helvetica Neue"/>
                <w:color w:val="000000"/>
                <w:sz w:val="15"/>
                <w:szCs w:val="15"/>
              </w:rPr>
              <w:t>Baseline</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8D91B" w14:textId="77777777" w:rsidR="000A60AD" w:rsidRPr="000A60AD" w:rsidRDefault="000A60AD" w:rsidP="000A60AD">
            <w:r w:rsidRPr="000A60AD">
              <w:rPr>
                <w:rFonts w:ascii="Helvetica Neue" w:hAnsi="Helvetica Neue"/>
                <w:color w:val="000000"/>
                <w:sz w:val="15"/>
                <w:szCs w:val="15"/>
              </w:rPr>
              <w:t>powerHalfDelta</w:t>
            </w:r>
          </w:p>
        </w:tc>
      </w:tr>
      <w:tr w:rsidR="000A60AD" w:rsidRPr="000A60AD" w14:paraId="0D28C949" w14:textId="77777777" w:rsidTr="000A60AD">
        <w:trPr>
          <w:trHeight w:val="165"/>
          <w:jc w:val="center"/>
        </w:trPr>
        <w:tc>
          <w:tcPr>
            <w:tcW w:w="13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79B90E" w14:textId="77777777" w:rsidR="000A60AD" w:rsidRPr="000A60AD" w:rsidRDefault="000A60AD" w:rsidP="000A60AD">
            <w:r w:rsidRPr="000A60AD">
              <w:rPr>
                <w:rFonts w:ascii="Helvetica Neue" w:hAnsi="Helvetica Neue"/>
                <w:b/>
                <w:bCs/>
                <w:color w:val="000000"/>
                <w:sz w:val="15"/>
                <w:szCs w:val="15"/>
              </w:rPr>
              <w:t>Case 6</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BD3B09"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8E7FCA" w14:textId="77777777" w:rsidR="000A60AD" w:rsidRPr="000A60AD" w:rsidRDefault="000A60AD" w:rsidP="000A60AD">
            <w:r w:rsidRPr="000A60AD">
              <w:rPr>
                <w:rFonts w:ascii="Helvetica Neue" w:hAnsi="Helvetica Neue"/>
                <w:color w:val="000000"/>
                <w:sz w:val="15"/>
                <w:szCs w:val="15"/>
              </w:rPr>
              <w:t>6.0</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C95913" w14:textId="77777777" w:rsidR="000A60AD" w:rsidRPr="000A60AD" w:rsidRDefault="000A60AD" w:rsidP="000A60AD">
            <w:r w:rsidRPr="000A60AD">
              <w:rPr>
                <w:rFonts w:ascii="Helvetica Neue" w:hAnsi="Helvetica Neue"/>
                <w:color w:val="000000"/>
                <w:sz w:val="15"/>
                <w:szCs w:val="15"/>
              </w:rPr>
              <w:t>CL monotonicity</w:t>
            </w:r>
          </w:p>
        </w:tc>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B0EF0" w14:textId="77777777" w:rsidR="000A60AD" w:rsidRPr="000A60AD" w:rsidRDefault="000A60AD" w:rsidP="000A60AD">
            <w:r w:rsidRPr="000A60AD">
              <w:rPr>
                <w:rFonts w:ascii="Helvetica Neue" w:hAnsi="Helvetica Neue"/>
                <w:color w:val="000000"/>
                <w:sz w:val="15"/>
                <w:szCs w:val="15"/>
              </w:rPr>
              <w:t>powerHalfDelta</w:t>
            </w:r>
          </w:p>
        </w:tc>
      </w:tr>
    </w:tbl>
    <w:p w14:paraId="439B1174" w14:textId="77777777" w:rsidR="000A60AD" w:rsidRPr="000A60AD" w:rsidRDefault="000A60AD" w:rsidP="000A60AD">
      <w:pPr>
        <w:rPr>
          <w:rFonts w:eastAsia="SimSun"/>
        </w:rPr>
      </w:pPr>
    </w:p>
    <w:p w14:paraId="2EF033E9" w14:textId="1B047415" w:rsidR="00A16A4C" w:rsidRDefault="00A16A4C" w:rsidP="00A16A4C">
      <w:pPr>
        <w:pStyle w:val="Heading2"/>
        <w:rPr>
          <w:rFonts w:eastAsia="SimSun"/>
        </w:rPr>
      </w:pPr>
      <w:r>
        <w:rPr>
          <w:rFonts w:eastAsia="SimSun"/>
        </w:rPr>
        <w:t>Simulation Results</w:t>
      </w:r>
    </w:p>
    <w:p w14:paraId="4F3E5502" w14:textId="4C634117" w:rsidR="004E4BD7" w:rsidRDefault="004E4BD7" w:rsidP="00EE17D7">
      <w:pPr>
        <w:rPr>
          <w:rFonts w:eastAsia="SimSun"/>
        </w:rPr>
      </w:pPr>
      <w:r>
        <w:rPr>
          <w:rFonts w:eastAsia="SimSun"/>
        </w:rPr>
        <w:t>A</w:t>
      </w:r>
      <w:r w:rsidR="000666B3">
        <w:rPr>
          <w:rFonts w:eastAsia="SimSun"/>
        </w:rPr>
        <w:t>n example of the</w:t>
      </w:r>
      <w:r>
        <w:rPr>
          <w:rFonts w:eastAsia="SimSun"/>
        </w:rPr>
        <w:t xml:space="preserve"> comparison of the </w:t>
      </w:r>
      <w:r w:rsidR="000666B3">
        <w:rPr>
          <w:rFonts w:eastAsia="SimSun"/>
        </w:rPr>
        <w:t xml:space="preserve">TPC </w:t>
      </w:r>
      <w:r>
        <w:rPr>
          <w:rFonts w:eastAsia="SimSun"/>
        </w:rPr>
        <w:t xml:space="preserve">convergence of the </w:t>
      </w:r>
      <w:r w:rsidR="002F1B88">
        <w:rPr>
          <w:rFonts w:eastAsia="SimSun"/>
        </w:rPr>
        <w:t>three</w:t>
      </w:r>
      <w:r w:rsidR="000666B3">
        <w:rPr>
          <w:rFonts w:eastAsia="SimSun"/>
        </w:rPr>
        <w:t xml:space="preserve"> simulation cases for path loss Scenario 2</w:t>
      </w:r>
      <w:r>
        <w:rPr>
          <w:rFonts w:eastAsia="SimSun"/>
        </w:rPr>
        <w:t xml:space="preserve"> </w:t>
      </w:r>
      <w:r w:rsidR="002F1B88">
        <w:rPr>
          <w:rFonts w:eastAsia="SimSun"/>
        </w:rPr>
        <w:t xml:space="preserve">with TPC command calculation based on estimated power delta and power half delta at the BS </w:t>
      </w:r>
      <w:r>
        <w:rPr>
          <w:rFonts w:eastAsia="SimSun"/>
        </w:rPr>
        <w:t xml:space="preserve">is shown in </w:t>
      </w:r>
      <w:r>
        <w:rPr>
          <w:rFonts w:eastAsia="SimSun"/>
        </w:rPr>
        <w:fldChar w:fldCharType="begin"/>
      </w:r>
      <w:r>
        <w:rPr>
          <w:rFonts w:eastAsia="SimSun"/>
        </w:rPr>
        <w:instrText xml:space="preserve"> REF _Ref525861575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r w:rsidR="000666B3">
        <w:rPr>
          <w:rFonts w:eastAsia="SimSun"/>
        </w:rPr>
        <w:t xml:space="preserve"> (please see the Annex for the complete set of figures)</w:t>
      </w:r>
      <w:r>
        <w:rPr>
          <w:rFonts w:eastAsia="SimSun"/>
        </w:rPr>
        <w:t>.</w:t>
      </w:r>
    </w:p>
    <w:p w14:paraId="623750D1" w14:textId="77777777" w:rsidR="002F1B88" w:rsidRDefault="002F1B88" w:rsidP="00EE17D7">
      <w:pPr>
        <w:rPr>
          <w:rFonts w:eastAsia="SimSun"/>
        </w:rPr>
      </w:pPr>
    </w:p>
    <w:p w14:paraId="6CD9459F" w14:textId="1B8DD8C7" w:rsidR="002F1B88" w:rsidRDefault="002F1B88" w:rsidP="002F1B88">
      <w:pPr>
        <w:keepNext/>
        <w:jc w:val="center"/>
      </w:pPr>
      <w:r>
        <w:t>a)</w:t>
      </w:r>
      <w:r w:rsidRPr="002F1B88">
        <w:rPr>
          <w:noProof/>
        </w:rPr>
        <w:drawing>
          <wp:inline distT="0" distB="0" distL="0" distR="0" wp14:anchorId="4E27E24E" wp14:editId="4EB52345">
            <wp:extent cx="2743200" cy="20573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2057329"/>
                    </a:xfrm>
                    <a:prstGeom prst="rect">
                      <a:avLst/>
                    </a:prstGeom>
                  </pic:spPr>
                </pic:pic>
              </a:graphicData>
            </a:graphic>
          </wp:inline>
        </w:drawing>
      </w:r>
      <w:r>
        <w:t>b)</w:t>
      </w:r>
      <w:r w:rsidRPr="002F1B88">
        <w:t xml:space="preserve"> </w:t>
      </w:r>
      <w:r w:rsidRPr="002F1B88">
        <w:rPr>
          <w:noProof/>
        </w:rPr>
        <w:drawing>
          <wp:inline distT="0" distB="0" distL="0" distR="0" wp14:anchorId="1A4706CD" wp14:editId="075E45DF">
            <wp:extent cx="2743200" cy="2057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57329"/>
                    </a:xfrm>
                    <a:prstGeom prst="rect">
                      <a:avLst/>
                    </a:prstGeom>
                  </pic:spPr>
                </pic:pic>
              </a:graphicData>
            </a:graphic>
          </wp:inline>
        </w:drawing>
      </w:r>
    </w:p>
    <w:p w14:paraId="704BD086" w14:textId="6FB70A58" w:rsidR="004E4BD7" w:rsidRDefault="004E4BD7" w:rsidP="004E4BD7">
      <w:pPr>
        <w:pStyle w:val="Caption"/>
        <w:jc w:val="center"/>
        <w:rPr>
          <w:rFonts w:eastAsia="SimSun"/>
        </w:rPr>
      </w:pPr>
      <w:bookmarkStart w:id="1" w:name="_Ref525861575"/>
      <w:r>
        <w:t xml:space="preserve">Figure </w:t>
      </w:r>
      <w:r w:rsidR="00106195">
        <w:rPr>
          <w:noProof/>
        </w:rPr>
        <w:fldChar w:fldCharType="begin"/>
      </w:r>
      <w:r w:rsidR="00106195">
        <w:rPr>
          <w:noProof/>
        </w:rPr>
        <w:instrText xml:space="preserve"> SEQ Figure \* ARABIC </w:instrText>
      </w:r>
      <w:r w:rsidR="00106195">
        <w:rPr>
          <w:noProof/>
        </w:rPr>
        <w:fldChar w:fldCharType="separate"/>
      </w:r>
      <w:r w:rsidR="00305D6E">
        <w:rPr>
          <w:noProof/>
        </w:rPr>
        <w:t>2</w:t>
      </w:r>
      <w:r w:rsidR="00106195">
        <w:rPr>
          <w:noProof/>
        </w:rPr>
        <w:fldChar w:fldCharType="end"/>
      </w:r>
      <w:bookmarkEnd w:id="1"/>
      <w:r>
        <w:t>: Comparison of TPC algorithms</w:t>
      </w:r>
      <w:r w:rsidR="002F1B88">
        <w:t>; a) “powerDelta”; b) “powerHalfDelta”</w:t>
      </w:r>
    </w:p>
    <w:p w14:paraId="6072B615" w14:textId="299F31CA" w:rsidR="00EE17D7" w:rsidRDefault="00EE17D7" w:rsidP="00EE17D7">
      <w:pPr>
        <w:rPr>
          <w:rFonts w:eastAsia="SimSun"/>
        </w:rPr>
      </w:pPr>
    </w:p>
    <w:p w14:paraId="5B45DD89" w14:textId="27A75A2E" w:rsidR="00A16A4C" w:rsidRDefault="00A16A4C" w:rsidP="00EE17D7">
      <w:pPr>
        <w:rPr>
          <w:rFonts w:eastAsia="SimSun"/>
        </w:rPr>
      </w:pPr>
      <w:r>
        <w:rPr>
          <w:rFonts w:eastAsia="SimSun"/>
        </w:rPr>
        <w:t xml:space="preserve">We define two metrics to quantify the performance of these algorithms:  the converged TPC error, which is achieved after sufficient number of TPC steps, and the practical TPC error, which is achieved within fewer steps and is within a </w:t>
      </w:r>
      <w:r w:rsidR="00246C4A">
        <w:rPr>
          <w:rFonts w:eastAsia="SimSun"/>
        </w:rPr>
        <w:t xml:space="preserve">fixed threshold of the converged error (a value of 0.5 dB </w:t>
      </w:r>
      <w:r w:rsidR="00246C4A">
        <w:rPr>
          <w:rFonts w:eastAsia="SimSun"/>
        </w:rPr>
        <w:lastRenderedPageBreak/>
        <w:t>was used in these simulations).</w:t>
      </w:r>
      <w:r w:rsidR="002F1B88">
        <w:rPr>
          <w:rFonts w:eastAsia="SimSun"/>
        </w:rPr>
        <w:t xml:space="preserve">  Given the rapid convergence of these algorithms, it is sufficient to examine the practical convergence result.</w:t>
      </w:r>
    </w:p>
    <w:p w14:paraId="0CBF0810" w14:textId="77777777" w:rsidR="00A16A4C" w:rsidRDefault="00A16A4C" w:rsidP="00EE17D7">
      <w:pPr>
        <w:rPr>
          <w:rFonts w:eastAsia="SimSun"/>
        </w:rPr>
      </w:pPr>
    </w:p>
    <w:p w14:paraId="356842DF" w14:textId="3BF1F79A" w:rsidR="00B3014B" w:rsidRDefault="00305D6E" w:rsidP="00B3014B">
      <w:pPr>
        <w:rPr>
          <w:rFonts w:eastAsia="SimSun"/>
        </w:rPr>
      </w:pPr>
      <w:r>
        <w:rPr>
          <w:rFonts w:eastAsia="SimSun"/>
        </w:rPr>
        <w:t xml:space="preserve">To summarize the results across the scenarios, the average improvement of performance over the baseline TPC error (calculated over all power levels) can be plotted for each simulation case, as shown in </w:t>
      </w:r>
      <w:r>
        <w:rPr>
          <w:rFonts w:eastAsia="SimSun"/>
        </w:rPr>
        <w:fldChar w:fldCharType="begin"/>
      </w:r>
      <w:r>
        <w:rPr>
          <w:rFonts w:eastAsia="SimSun"/>
        </w:rPr>
        <w:instrText xml:space="preserve"> REF _Ref535930401 \h </w:instrText>
      </w:r>
      <w:r>
        <w:rPr>
          <w:rFonts w:eastAsia="SimSun"/>
        </w:rPr>
      </w:r>
      <w:r>
        <w:rPr>
          <w:rFonts w:eastAsia="SimSun"/>
        </w:rPr>
        <w:fldChar w:fldCharType="separate"/>
      </w:r>
      <w:r>
        <w:t xml:space="preserve">Figure </w:t>
      </w:r>
      <w:r>
        <w:rPr>
          <w:noProof/>
        </w:rPr>
        <w:t>3</w:t>
      </w:r>
      <w:r>
        <w:rPr>
          <w:rFonts w:eastAsia="SimSun"/>
        </w:rPr>
        <w:fldChar w:fldCharType="end"/>
      </w:r>
      <w:r>
        <w:rPr>
          <w:rFonts w:eastAsia="SimSun"/>
        </w:rPr>
        <w:t xml:space="preserve"> below.</w:t>
      </w:r>
      <w:r w:rsidR="000549BF">
        <w:rPr>
          <w:rFonts w:eastAsia="SimSun"/>
        </w:rPr>
        <w:t xml:space="preserve">  NOTE: TPC error is plotted as expanded error and corresponds to 1.96 * standard deviation of the TPC error distribution.</w:t>
      </w:r>
      <w:r w:rsidR="002E2A61">
        <w:rPr>
          <w:rFonts w:eastAsia="SimSun"/>
        </w:rPr>
        <w:t xml:space="preserve">  Because the RAN4 #90bis adhoc agreement narrowed the scope of the closed loop requirement modification to be potentially restricted just to the introduction of the monotonicity requirement (which is applicable only at power levels between p_int and p_max), we focus on th</w:t>
      </w:r>
      <w:r w:rsidR="00896C90">
        <w:rPr>
          <w:rFonts w:eastAsia="SimSun"/>
        </w:rPr>
        <w:t>is case.</w:t>
      </w:r>
    </w:p>
    <w:p w14:paraId="4CB4B5AC" w14:textId="4BAA6272" w:rsidR="00896C90" w:rsidRDefault="00896C90" w:rsidP="00B3014B">
      <w:pPr>
        <w:rPr>
          <w:rFonts w:eastAsia="SimSun"/>
        </w:rPr>
      </w:pPr>
    </w:p>
    <w:p w14:paraId="628F9CE2" w14:textId="77777777" w:rsidR="00896C90" w:rsidRDefault="00896C90" w:rsidP="00B3014B">
      <w:pPr>
        <w:rPr>
          <w:rFonts w:eastAsia="SimSun"/>
        </w:rPr>
      </w:pPr>
    </w:p>
    <w:p w14:paraId="4B8F382D" w14:textId="506B0098" w:rsidR="00305D6E" w:rsidRDefault="00305D6E" w:rsidP="00B3014B">
      <w:pPr>
        <w:rPr>
          <w:rFonts w:eastAsia="SimSun"/>
        </w:rPr>
      </w:pPr>
    </w:p>
    <w:p w14:paraId="0435B17D" w14:textId="1135EC1A" w:rsidR="00305D6E" w:rsidRPr="00896C90" w:rsidRDefault="00305D6E" w:rsidP="00896C90">
      <w:pPr>
        <w:jc w:val="center"/>
        <w:rPr>
          <w:rFonts w:eastAsia="SimSun"/>
        </w:rPr>
      </w:pPr>
      <w:r>
        <w:rPr>
          <w:rFonts w:eastAsia="SimSun"/>
        </w:rPr>
        <w:t>a)</w:t>
      </w:r>
      <w:r w:rsidR="00896C90" w:rsidRPr="00896C90">
        <w:rPr>
          <w:noProof/>
        </w:rPr>
        <w:t xml:space="preserve"> </w:t>
      </w:r>
      <w:r w:rsidR="005B722A" w:rsidRPr="005B722A">
        <w:rPr>
          <w:noProof/>
        </w:rPr>
        <w:drawing>
          <wp:inline distT="0" distB="0" distL="0" distR="0" wp14:anchorId="0EFB5E6C" wp14:editId="5C621898">
            <wp:extent cx="3416300" cy="2501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6300" cy="2501900"/>
                    </a:xfrm>
                    <a:prstGeom prst="rect">
                      <a:avLst/>
                    </a:prstGeom>
                  </pic:spPr>
                </pic:pic>
              </a:graphicData>
            </a:graphic>
          </wp:inline>
        </w:drawing>
      </w:r>
      <w:r w:rsidR="00896C90" w:rsidRPr="00896C90">
        <w:rPr>
          <w:noProof/>
        </w:rPr>
        <w:t xml:space="preserve"> </w:t>
      </w:r>
      <w:r w:rsidR="005B722A">
        <w:rPr>
          <w:noProof/>
        </w:rPr>
        <w:br/>
      </w:r>
      <w:r>
        <w:t>b)</w:t>
      </w:r>
      <w:r w:rsidR="00877D7F" w:rsidRPr="00877D7F">
        <w:rPr>
          <w:noProof/>
        </w:rPr>
        <w:t xml:space="preserve"> </w:t>
      </w:r>
      <w:r w:rsidR="005B722A" w:rsidRPr="005B722A">
        <w:rPr>
          <w:noProof/>
        </w:rPr>
        <w:drawing>
          <wp:inline distT="0" distB="0" distL="0" distR="0" wp14:anchorId="145F04A1" wp14:editId="1C4153BB">
            <wp:extent cx="3416300" cy="2501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16300" cy="2501900"/>
                    </a:xfrm>
                    <a:prstGeom prst="rect">
                      <a:avLst/>
                    </a:prstGeom>
                  </pic:spPr>
                </pic:pic>
              </a:graphicData>
            </a:graphic>
          </wp:inline>
        </w:drawing>
      </w:r>
    </w:p>
    <w:p w14:paraId="1380F4B7" w14:textId="2D9A1D0E" w:rsidR="00305D6E" w:rsidRDefault="00305D6E" w:rsidP="00305D6E">
      <w:pPr>
        <w:pStyle w:val="Caption"/>
        <w:jc w:val="center"/>
        <w:rPr>
          <w:rFonts w:eastAsia="SimSun"/>
        </w:rPr>
      </w:pPr>
      <w:bookmarkStart w:id="2" w:name="_Ref535930401"/>
      <w:r>
        <w:t xml:space="preserve">Figure </w:t>
      </w:r>
      <w:r w:rsidR="00976875">
        <w:rPr>
          <w:noProof/>
        </w:rPr>
        <w:fldChar w:fldCharType="begin"/>
      </w:r>
      <w:r w:rsidR="00976875">
        <w:rPr>
          <w:noProof/>
        </w:rPr>
        <w:instrText xml:space="preserve"> SEQ Figure \* ARABIC </w:instrText>
      </w:r>
      <w:r w:rsidR="00976875">
        <w:rPr>
          <w:noProof/>
        </w:rPr>
        <w:fldChar w:fldCharType="separate"/>
      </w:r>
      <w:r>
        <w:rPr>
          <w:noProof/>
        </w:rPr>
        <w:t>3</w:t>
      </w:r>
      <w:r w:rsidR="00976875">
        <w:rPr>
          <w:noProof/>
        </w:rPr>
        <w:fldChar w:fldCharType="end"/>
      </w:r>
      <w:bookmarkEnd w:id="2"/>
      <w:r>
        <w:t xml:space="preserve">: </w:t>
      </w:r>
      <w:r w:rsidR="005B722A">
        <w:t xml:space="preserve">Summary of TPC </w:t>
      </w:r>
      <w:r w:rsidR="000A60AD">
        <w:t>error analysis</w:t>
      </w:r>
      <w:r>
        <w:t xml:space="preserve">; a) </w:t>
      </w:r>
      <w:r w:rsidR="000A60AD">
        <w:t>Practical TPC error</w:t>
      </w:r>
      <w:r>
        <w:t xml:space="preserve">; b) </w:t>
      </w:r>
      <w:r w:rsidR="000A60AD">
        <w:t>Reduction in TPC error relative to Case 1</w:t>
      </w:r>
    </w:p>
    <w:p w14:paraId="324B0D97" w14:textId="04551DE5" w:rsidR="007073C4" w:rsidRDefault="007073C4" w:rsidP="00B3014B">
      <w:pPr>
        <w:rPr>
          <w:rFonts w:eastAsia="SimSun"/>
        </w:rPr>
      </w:pPr>
    </w:p>
    <w:p w14:paraId="50688AF8" w14:textId="4DEA8FA8" w:rsidR="007073C4" w:rsidRDefault="00511233" w:rsidP="00B3014B">
      <w:pPr>
        <w:rPr>
          <w:rFonts w:eastAsia="SimSun"/>
        </w:rPr>
      </w:pPr>
      <w:r w:rsidRPr="001D0421">
        <w:rPr>
          <w:rFonts w:eastAsia="SimSun"/>
          <w:b/>
        </w:rPr>
        <w:t>Observation 1</w:t>
      </w:r>
      <w:r>
        <w:rPr>
          <w:rFonts w:eastAsia="SimSun"/>
        </w:rPr>
        <w:t xml:space="preserve">: </w:t>
      </w:r>
      <w:r w:rsidR="00896C90">
        <w:rPr>
          <w:rFonts w:eastAsia="SimSun"/>
        </w:rPr>
        <w:t xml:space="preserve">The impact of the UE monotonicity requirement on TPC convergence metrics is also dependent on the TPC </w:t>
      </w:r>
      <w:r w:rsidR="005B047D">
        <w:rPr>
          <w:rFonts w:eastAsia="SimSun"/>
        </w:rPr>
        <w:t xml:space="preserve">command calculation </w:t>
      </w:r>
      <w:r w:rsidR="00896C90">
        <w:rPr>
          <w:rFonts w:eastAsia="SimSun"/>
        </w:rPr>
        <w:t>algorithm</w:t>
      </w:r>
      <w:r w:rsidR="00225145">
        <w:rPr>
          <w:rFonts w:eastAsia="SimSun"/>
        </w:rPr>
        <w:t xml:space="preserve"> (Case 3 vs Case 6)</w:t>
      </w:r>
      <w:r w:rsidR="00896C90">
        <w:rPr>
          <w:rFonts w:eastAsia="SimSun"/>
        </w:rPr>
        <w:t>.</w:t>
      </w:r>
    </w:p>
    <w:p w14:paraId="51CA4F36" w14:textId="594D9FA9" w:rsidR="000549BF" w:rsidRDefault="000549BF" w:rsidP="00B3014B">
      <w:pPr>
        <w:rPr>
          <w:rFonts w:eastAsia="SimSun"/>
        </w:rPr>
      </w:pPr>
    </w:p>
    <w:p w14:paraId="6BE15DCC" w14:textId="331C2FC4" w:rsidR="00896C90" w:rsidRDefault="000549BF" w:rsidP="00B3014B">
      <w:pPr>
        <w:rPr>
          <w:rFonts w:eastAsia="SimSun"/>
        </w:rPr>
      </w:pPr>
      <w:r w:rsidRPr="001D0421">
        <w:rPr>
          <w:rFonts w:eastAsia="SimSun"/>
          <w:b/>
        </w:rPr>
        <w:t xml:space="preserve">Observation </w:t>
      </w:r>
      <w:r w:rsidR="005005E4" w:rsidRPr="001D0421">
        <w:rPr>
          <w:rFonts w:eastAsia="SimSun"/>
          <w:b/>
        </w:rPr>
        <w:t>2</w:t>
      </w:r>
      <w:r>
        <w:rPr>
          <w:rFonts w:eastAsia="SimSun"/>
        </w:rPr>
        <w:t>: When considering TPC error over power levels greater than P</w:t>
      </w:r>
      <w:r w:rsidRPr="000549BF">
        <w:rPr>
          <w:rFonts w:eastAsia="SimSun"/>
          <w:vertAlign w:val="subscript"/>
        </w:rPr>
        <w:t>int</w:t>
      </w:r>
      <w:r w:rsidR="00097DB3">
        <w:rPr>
          <w:rFonts w:eastAsia="SimSun"/>
        </w:rPr>
        <w:t xml:space="preserve"> and practical TPC convergence,</w:t>
      </w:r>
      <w:r>
        <w:rPr>
          <w:rFonts w:eastAsia="SimSun"/>
        </w:rPr>
        <w:t xml:space="preserve"> </w:t>
      </w:r>
      <w:r w:rsidR="00DF1C4D">
        <w:rPr>
          <w:rFonts w:eastAsia="SimSun"/>
        </w:rPr>
        <w:t>the</w:t>
      </w:r>
      <w:r w:rsidR="00896C90">
        <w:rPr>
          <w:rFonts w:eastAsia="SimSun"/>
        </w:rPr>
        <w:t xml:space="preserve"> introduction of a</w:t>
      </w:r>
      <w:r w:rsidR="00DF1C4D">
        <w:rPr>
          <w:rFonts w:eastAsia="SimSun"/>
        </w:rPr>
        <w:t xml:space="preserve"> </w:t>
      </w:r>
      <w:r w:rsidR="00896C90">
        <w:rPr>
          <w:rFonts w:eastAsia="SimSun"/>
        </w:rPr>
        <w:t>UE monotonicity requirement in closed loop</w:t>
      </w:r>
      <w:r w:rsidR="00225145">
        <w:rPr>
          <w:rFonts w:eastAsia="SimSun"/>
        </w:rPr>
        <w:t xml:space="preserve"> together with reduced TPC command steps (Case 6)</w:t>
      </w:r>
      <w:r w:rsidR="00896C90">
        <w:rPr>
          <w:rFonts w:eastAsia="SimSun"/>
        </w:rPr>
        <w:t xml:space="preserve"> results in ~</w:t>
      </w:r>
      <w:r w:rsidR="00225145">
        <w:rPr>
          <w:rFonts w:eastAsia="SimSun"/>
        </w:rPr>
        <w:t>3</w:t>
      </w:r>
      <w:r w:rsidR="00896C90">
        <w:rPr>
          <w:rFonts w:eastAsia="SimSun"/>
        </w:rPr>
        <w:t>.0 dB improvement over the baseline</w:t>
      </w:r>
      <w:r w:rsidR="00225145">
        <w:rPr>
          <w:rFonts w:eastAsia="SimSun"/>
        </w:rPr>
        <w:t xml:space="preserve"> (Case 1)</w:t>
      </w:r>
      <w:r w:rsidR="00896C90">
        <w:rPr>
          <w:rFonts w:eastAsia="SimSun"/>
        </w:rPr>
        <w:t xml:space="preserve"> and ~0.75 dB improvement over the case with tightened BS RSRP performance</w:t>
      </w:r>
      <w:r w:rsidR="00225145">
        <w:rPr>
          <w:rFonts w:eastAsia="SimSun"/>
        </w:rPr>
        <w:t xml:space="preserve"> (Case </w:t>
      </w:r>
      <w:r w:rsidR="00250E82">
        <w:rPr>
          <w:rFonts w:eastAsia="SimSun"/>
        </w:rPr>
        <w:t>5</w:t>
      </w:r>
      <w:r w:rsidR="00225145">
        <w:rPr>
          <w:rFonts w:eastAsia="SimSun"/>
        </w:rPr>
        <w:t>)</w:t>
      </w:r>
      <w:r w:rsidR="00896C90">
        <w:rPr>
          <w:rFonts w:eastAsia="SimSun"/>
        </w:rPr>
        <w:t>.</w:t>
      </w:r>
    </w:p>
    <w:p w14:paraId="2C8F0262" w14:textId="2BDA9B67" w:rsidR="00DF1C4D" w:rsidRDefault="00DF1C4D" w:rsidP="00B3014B">
      <w:pPr>
        <w:rPr>
          <w:rFonts w:eastAsia="SimSun"/>
        </w:rPr>
      </w:pPr>
    </w:p>
    <w:p w14:paraId="59E7D1FF" w14:textId="7D30A773" w:rsidR="00896C90" w:rsidRDefault="00C136CF" w:rsidP="00B3014B">
      <w:pPr>
        <w:rPr>
          <w:rFonts w:eastAsia="SimSun"/>
        </w:rPr>
      </w:pPr>
      <w:r>
        <w:rPr>
          <w:rFonts w:eastAsia="SimSun"/>
          <w:b/>
        </w:rPr>
        <w:t>Observation</w:t>
      </w:r>
      <w:r w:rsidR="009932FB" w:rsidRPr="009932FB">
        <w:rPr>
          <w:rFonts w:eastAsia="SimSun"/>
          <w:b/>
        </w:rPr>
        <w:t xml:space="preserve"> </w:t>
      </w:r>
      <w:r>
        <w:rPr>
          <w:rFonts w:eastAsia="SimSun"/>
          <w:b/>
        </w:rPr>
        <w:t>3</w:t>
      </w:r>
      <w:r w:rsidR="009932FB">
        <w:rPr>
          <w:rFonts w:eastAsia="SimSun"/>
        </w:rPr>
        <w:t xml:space="preserve">: Based on the analysis of </w:t>
      </w:r>
      <w:r w:rsidR="00896C90">
        <w:rPr>
          <w:rFonts w:eastAsia="SimSun"/>
        </w:rPr>
        <w:t>TPC error convergence, the monotonicity requirements on the UE in closed loop result in improved network performance.</w:t>
      </w:r>
    </w:p>
    <w:p w14:paraId="4063F491" w14:textId="77777777" w:rsidR="00896C90" w:rsidRDefault="00896C90" w:rsidP="00B3014B">
      <w:pPr>
        <w:rPr>
          <w:rFonts w:eastAsia="SimSun"/>
        </w:rPr>
      </w:pPr>
    </w:p>
    <w:p w14:paraId="18B2DB3A" w14:textId="77777777" w:rsidR="00896C90" w:rsidRDefault="00896C90" w:rsidP="00B3014B">
      <w:r>
        <w:rPr>
          <w:rFonts w:eastAsia="SimSun"/>
        </w:rPr>
        <w:t xml:space="preserve">Within the context of these TPC error convergence simulations, the proposal to </w:t>
      </w:r>
      <w:r>
        <w:t>introduce a requirement on the UE PA calibration at max power level in open loop was also possible to evaluate by defining a threshold on the target output power the UE calculates in open loop above which the UE sets its output power to the maximum with reduced tolerance.  Simulations have not shown any impact on the baseline results from this modification.  One reason for this outcome is that the UE needs to have a sufficiently high path loss to trigger maximum output power operation, but the UE’s estimate of the path loss under low SNR conditions is dominated by the high absolute RSRP error value.</w:t>
      </w:r>
    </w:p>
    <w:p w14:paraId="73E1D345" w14:textId="77777777" w:rsidR="00896C90" w:rsidRDefault="00896C90" w:rsidP="00B3014B"/>
    <w:p w14:paraId="196AD566" w14:textId="6A587AB7" w:rsidR="00DF1C4D" w:rsidRPr="007073C4" w:rsidRDefault="00896C90" w:rsidP="00B3014B">
      <w:pPr>
        <w:rPr>
          <w:rFonts w:eastAsia="SimSun"/>
        </w:rPr>
      </w:pPr>
      <w:r w:rsidRPr="00896C90">
        <w:rPr>
          <w:b/>
        </w:rPr>
        <w:t xml:space="preserve">Observation </w:t>
      </w:r>
      <w:r w:rsidR="00C136CF">
        <w:rPr>
          <w:b/>
        </w:rPr>
        <w:t>4</w:t>
      </w:r>
      <w:r>
        <w:t>: The TPC convergence simulations were unable to determine any impact on the network due to the potential introduction of a requirement on the UE PA calibration at max power level in open loop.</w:t>
      </w:r>
    </w:p>
    <w:p w14:paraId="022DEB65" w14:textId="6CA0B7C7" w:rsidR="00D14C26" w:rsidRPr="00871EA3" w:rsidRDefault="0036017F" w:rsidP="00F93EB0">
      <w:pPr>
        <w:pStyle w:val="Heading1"/>
        <w:rPr>
          <w:lang w:val="en-US"/>
        </w:rPr>
      </w:pPr>
      <w:r>
        <w:rPr>
          <w:lang w:val="en-US"/>
        </w:rPr>
        <w:t>Conclusions</w:t>
      </w:r>
    </w:p>
    <w:p w14:paraId="38AD26A9" w14:textId="4A70AB9A"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A61863" w:rsidRPr="00871EA3">
        <w:t>can be made:</w:t>
      </w:r>
    </w:p>
    <w:p w14:paraId="3E31C800" w14:textId="77777777" w:rsidR="00A61863" w:rsidRDefault="00A61863" w:rsidP="00B9532A"/>
    <w:p w14:paraId="1C96B4A8" w14:textId="77777777" w:rsidR="000323D9" w:rsidRDefault="000323D9" w:rsidP="000323D9">
      <w:pPr>
        <w:rPr>
          <w:rFonts w:eastAsia="SimSun"/>
        </w:rPr>
      </w:pPr>
      <w:r w:rsidRPr="001D0421">
        <w:rPr>
          <w:rFonts w:eastAsia="SimSun"/>
          <w:b/>
        </w:rPr>
        <w:t>Observation 1</w:t>
      </w:r>
      <w:r>
        <w:rPr>
          <w:rFonts w:eastAsia="SimSun"/>
        </w:rPr>
        <w:t>: The impact of the UE monotonicity requirement on TPC convergence metrics is also dependent on the TPC command calculation algorithm.</w:t>
      </w:r>
    </w:p>
    <w:p w14:paraId="5C9D548A" w14:textId="77777777" w:rsidR="000323D9" w:rsidRDefault="000323D9" w:rsidP="000323D9">
      <w:pPr>
        <w:rPr>
          <w:rFonts w:eastAsia="SimSun"/>
        </w:rPr>
      </w:pPr>
    </w:p>
    <w:p w14:paraId="4A9177EA" w14:textId="3F6FAB01" w:rsidR="00225145" w:rsidRDefault="00225145" w:rsidP="00225145">
      <w:pPr>
        <w:rPr>
          <w:rFonts w:eastAsia="SimSun"/>
        </w:rPr>
      </w:pPr>
      <w:r w:rsidRPr="001D0421">
        <w:rPr>
          <w:rFonts w:eastAsia="SimSun"/>
          <w:b/>
        </w:rPr>
        <w:t>Observation 2</w:t>
      </w:r>
      <w:r>
        <w:rPr>
          <w:rFonts w:eastAsia="SimSun"/>
        </w:rPr>
        <w:t>: When considering TPC error over power levels greater than P</w:t>
      </w:r>
      <w:r w:rsidRPr="000549BF">
        <w:rPr>
          <w:rFonts w:eastAsia="SimSun"/>
          <w:vertAlign w:val="subscript"/>
        </w:rPr>
        <w:t>int</w:t>
      </w:r>
      <w:r>
        <w:rPr>
          <w:rFonts w:eastAsia="SimSun"/>
        </w:rPr>
        <w:t xml:space="preserve"> and practical TPC convergence, the introduction of a UE monotonicity requirement in closed loop together with reduced TPC command steps (Case 6) results in ~3.0 dB improvement over the baseline (Case 1) and ~0.75 dB improvement over the case with tightened BS RSRP performance (Case </w:t>
      </w:r>
      <w:r w:rsidR="00250E82">
        <w:rPr>
          <w:rFonts w:eastAsia="SimSun"/>
        </w:rPr>
        <w:t>5</w:t>
      </w:r>
      <w:r>
        <w:rPr>
          <w:rFonts w:eastAsia="SimSun"/>
        </w:rPr>
        <w:t>).</w:t>
      </w:r>
    </w:p>
    <w:p w14:paraId="7EBDD58B" w14:textId="77777777" w:rsidR="000323D9" w:rsidRDefault="000323D9" w:rsidP="000323D9">
      <w:pPr>
        <w:rPr>
          <w:rFonts w:eastAsia="SimSun"/>
        </w:rPr>
      </w:pPr>
    </w:p>
    <w:p w14:paraId="53B62D88" w14:textId="77777777" w:rsidR="000323D9" w:rsidRDefault="000323D9" w:rsidP="000323D9">
      <w:pPr>
        <w:rPr>
          <w:rFonts w:eastAsia="SimSun"/>
        </w:rPr>
      </w:pPr>
      <w:r>
        <w:rPr>
          <w:rFonts w:eastAsia="SimSun"/>
          <w:b/>
        </w:rPr>
        <w:t>Observation</w:t>
      </w:r>
      <w:r w:rsidRPr="009932FB">
        <w:rPr>
          <w:rFonts w:eastAsia="SimSun"/>
          <w:b/>
        </w:rPr>
        <w:t xml:space="preserve"> </w:t>
      </w:r>
      <w:r>
        <w:rPr>
          <w:rFonts w:eastAsia="SimSun"/>
          <w:b/>
        </w:rPr>
        <w:t>3</w:t>
      </w:r>
      <w:r>
        <w:rPr>
          <w:rFonts w:eastAsia="SimSun"/>
        </w:rPr>
        <w:t>: Based on the analysis of TPC error convergence, the monotonicity requirements on the UE in closed loop result in improved network performance.</w:t>
      </w:r>
    </w:p>
    <w:p w14:paraId="0EFD93F3" w14:textId="77777777" w:rsidR="000323D9" w:rsidRDefault="000323D9" w:rsidP="000323D9">
      <w:pPr>
        <w:rPr>
          <w:rFonts w:eastAsia="SimSun"/>
        </w:rPr>
      </w:pPr>
    </w:p>
    <w:p w14:paraId="53AE1805" w14:textId="77777777" w:rsidR="000323D9" w:rsidRPr="007073C4" w:rsidRDefault="000323D9" w:rsidP="000323D9">
      <w:pPr>
        <w:rPr>
          <w:rFonts w:eastAsia="SimSun"/>
        </w:rPr>
      </w:pPr>
      <w:r w:rsidRPr="00896C90">
        <w:rPr>
          <w:b/>
        </w:rPr>
        <w:t xml:space="preserve">Observation </w:t>
      </w:r>
      <w:r>
        <w:rPr>
          <w:b/>
        </w:rPr>
        <w:t>4</w:t>
      </w:r>
      <w:r>
        <w:t>: The TPC convergence simulations were unable to determine any impact on the network due to the potential introduction of a requirement on the UE PA calibration at max power level in open loop.</w:t>
      </w:r>
    </w:p>
    <w:p w14:paraId="47BA569A" w14:textId="77777777" w:rsidR="0017048A" w:rsidRPr="00871EA3" w:rsidRDefault="0017048A" w:rsidP="00342BBF">
      <w:pPr>
        <w:pStyle w:val="Heading1"/>
        <w:rPr>
          <w:lang w:val="en-US"/>
        </w:rPr>
      </w:pPr>
      <w:r w:rsidRPr="00871EA3">
        <w:rPr>
          <w:lang w:val="en-US"/>
        </w:rPr>
        <w:t>References</w:t>
      </w:r>
    </w:p>
    <w:p w14:paraId="32EC013D" w14:textId="668B6245" w:rsidR="005007F2" w:rsidRDefault="0036017F" w:rsidP="00A60163">
      <w:pPr>
        <w:widowControl w:val="0"/>
        <w:numPr>
          <w:ilvl w:val="0"/>
          <w:numId w:val="5"/>
        </w:numPr>
      </w:pPr>
      <w:bookmarkStart w:id="3" w:name="_Ref525858808"/>
      <w:r>
        <w:t>TS38.101-2 v15.3.0</w:t>
      </w:r>
      <w:bookmarkEnd w:id="3"/>
    </w:p>
    <w:p w14:paraId="58F267F7" w14:textId="35CB5397" w:rsidR="0036017F" w:rsidRDefault="0036017F" w:rsidP="00A60163">
      <w:pPr>
        <w:widowControl w:val="0"/>
        <w:numPr>
          <w:ilvl w:val="0"/>
          <w:numId w:val="5"/>
        </w:numPr>
      </w:pPr>
      <w:bookmarkStart w:id="4" w:name="_Ref525858913"/>
      <w:r w:rsidRPr="0036017F">
        <w:t>R4-1809791</w:t>
      </w:r>
      <w:r>
        <w:t>, “</w:t>
      </w:r>
      <w:r w:rsidRPr="0036017F">
        <w:t>Network Performance Analysis for Power Control Tolerance</w:t>
      </w:r>
      <w:r>
        <w:t>,” Apple Inc., 3GPP RAN4 #88, August 2018</w:t>
      </w:r>
      <w:bookmarkEnd w:id="4"/>
    </w:p>
    <w:p w14:paraId="45698189" w14:textId="647EA9B3" w:rsidR="00BA2873" w:rsidRDefault="00BA2873" w:rsidP="00A60163">
      <w:pPr>
        <w:widowControl w:val="0"/>
        <w:numPr>
          <w:ilvl w:val="0"/>
          <w:numId w:val="5"/>
        </w:numPr>
      </w:pPr>
      <w:bookmarkStart w:id="5" w:name="_Ref525859964"/>
      <w:r w:rsidRPr="00BA2873">
        <w:t>L. J. Greenste</w:t>
      </w:r>
      <w:r>
        <w:t>in, D. G. Michelson, V. Erceg, “</w:t>
      </w:r>
      <w:r w:rsidRPr="00BA2873">
        <w:t>Moment-Method Est</w:t>
      </w:r>
      <w:r>
        <w:t>imation of the Ricean K-Factor,”</w:t>
      </w:r>
      <w:r w:rsidRPr="00BA2873">
        <w:t xml:space="preserve"> IEEE June 199</w:t>
      </w:r>
      <w:r>
        <w:t>9</w:t>
      </w:r>
      <w:bookmarkEnd w:id="5"/>
    </w:p>
    <w:p w14:paraId="7880F137" w14:textId="3C7F5C1C" w:rsidR="00546E72" w:rsidRDefault="00546E72" w:rsidP="00A60163">
      <w:pPr>
        <w:widowControl w:val="0"/>
        <w:numPr>
          <w:ilvl w:val="0"/>
          <w:numId w:val="5"/>
        </w:numPr>
      </w:pPr>
      <w:r w:rsidRPr="00546E72">
        <w:t>R4-1812001</w:t>
      </w:r>
      <w:r w:rsidR="0036017F">
        <w:t>, “RAN4 #88 meeting report,” 3GPP RAN4</w:t>
      </w:r>
    </w:p>
    <w:p w14:paraId="3C7D63AC" w14:textId="71CC7A29" w:rsidR="00546E72" w:rsidRDefault="00546E72" w:rsidP="00A60163">
      <w:pPr>
        <w:widowControl w:val="0"/>
        <w:numPr>
          <w:ilvl w:val="0"/>
          <w:numId w:val="5"/>
        </w:numPr>
      </w:pPr>
      <w:bookmarkStart w:id="6" w:name="_Ref535916320"/>
      <w:r w:rsidRPr="00546E72">
        <w:t>R4-1812394</w:t>
      </w:r>
      <w:r>
        <w:t>, “</w:t>
      </w:r>
      <w:r w:rsidRPr="00546E72">
        <w:t>Further analysis of FR2 power control tolerance</w:t>
      </w:r>
      <w:r>
        <w:t>,” Apple Inc., 3GPP RAN4 #88bis, October 2018</w:t>
      </w:r>
      <w:bookmarkEnd w:id="6"/>
    </w:p>
    <w:p w14:paraId="4C777BD1" w14:textId="06BF41EB" w:rsidR="00546E72" w:rsidRDefault="00546E72" w:rsidP="00A60163">
      <w:pPr>
        <w:widowControl w:val="0"/>
        <w:numPr>
          <w:ilvl w:val="0"/>
          <w:numId w:val="5"/>
        </w:numPr>
      </w:pPr>
      <w:bookmarkStart w:id="7" w:name="_Ref535916663"/>
      <w:r w:rsidRPr="00546E72">
        <w:t>R4-1814701</w:t>
      </w:r>
      <w:r>
        <w:t>, “</w:t>
      </w:r>
      <w:r w:rsidRPr="00546E72">
        <w:t>Draft CR to TS38.101-2 correcting the TPC requirement</w:t>
      </w:r>
      <w:r>
        <w:t>,” Apple Inc., 3GPP RAN4 #90, November 2018</w:t>
      </w:r>
      <w:bookmarkEnd w:id="7"/>
    </w:p>
    <w:p w14:paraId="1ADD45CC" w14:textId="45424B1D" w:rsidR="0036017F" w:rsidRDefault="0036017F" w:rsidP="00A60163">
      <w:pPr>
        <w:widowControl w:val="0"/>
        <w:numPr>
          <w:ilvl w:val="0"/>
          <w:numId w:val="5"/>
        </w:numPr>
      </w:pPr>
      <w:r>
        <w:t xml:space="preserve"> </w:t>
      </w:r>
      <w:bookmarkStart w:id="8" w:name="_Ref535916560"/>
      <w:r w:rsidR="00546E72" w:rsidRPr="00546E72">
        <w:t>R4-1816021</w:t>
      </w:r>
      <w:r w:rsidR="00546E72">
        <w:t>, “</w:t>
      </w:r>
      <w:r w:rsidR="00546E72" w:rsidRPr="00546E72">
        <w:t>Open and closed-loop power tolerance</w:t>
      </w:r>
      <w:r w:rsidR="00546E72">
        <w:t>,” Ericsson, 3GPP RAN4 #89, November 2018</w:t>
      </w:r>
      <w:bookmarkEnd w:id="8"/>
    </w:p>
    <w:p w14:paraId="1B487D84" w14:textId="31CEF3E0" w:rsidR="00117D3C" w:rsidRDefault="00117D3C" w:rsidP="00A60163">
      <w:pPr>
        <w:widowControl w:val="0"/>
        <w:numPr>
          <w:ilvl w:val="0"/>
          <w:numId w:val="5"/>
        </w:numPr>
      </w:pPr>
      <w:bookmarkStart w:id="9" w:name="_Ref7693909"/>
      <w:r w:rsidRPr="00117D3C">
        <w:lastRenderedPageBreak/>
        <w:t>R4-1903064</w:t>
      </w:r>
      <w:r>
        <w:t>, “</w:t>
      </w:r>
      <w:r w:rsidRPr="00117D3C">
        <w:t>Updated analysis of FR2 power control tolerance</w:t>
      </w:r>
      <w:r>
        <w:t>,” Apple Inc., 3GPP RAN4 #90bis, April 2019</w:t>
      </w:r>
      <w:bookmarkEnd w:id="9"/>
    </w:p>
    <w:p w14:paraId="6B6EA865" w14:textId="19BB2CE9" w:rsidR="00117D3C" w:rsidRDefault="00117D3C" w:rsidP="00A60163">
      <w:pPr>
        <w:widowControl w:val="0"/>
        <w:numPr>
          <w:ilvl w:val="0"/>
          <w:numId w:val="5"/>
        </w:numPr>
      </w:pPr>
      <w:r w:rsidRPr="00117D3C">
        <w:t>R4-1904990</w:t>
      </w:r>
      <w:r>
        <w:t>, “</w:t>
      </w:r>
      <w:r w:rsidR="002F1B88" w:rsidRPr="002F1B88">
        <w:t>FR2 TPC adhoc minutes</w:t>
      </w:r>
      <w:r w:rsidR="002F1B88">
        <w:t>,” Apple Inc., 3GPP RAN4 #90bis, April 2019</w:t>
      </w:r>
    </w:p>
    <w:p w14:paraId="5E0B0D33" w14:textId="77777777" w:rsidR="00341803" w:rsidRDefault="00341803" w:rsidP="00341803">
      <w:pPr>
        <w:widowControl w:val="0"/>
      </w:pPr>
    </w:p>
    <w:p w14:paraId="3F97CF13" w14:textId="6814D104" w:rsidR="00341803" w:rsidRPr="00C53FBA" w:rsidRDefault="00341803" w:rsidP="00C53FBA">
      <w:pPr>
        <w:pStyle w:val="Heading1"/>
        <w:numPr>
          <w:ilvl w:val="0"/>
          <w:numId w:val="0"/>
        </w:numPr>
        <w:ind w:left="567" w:hanging="567"/>
      </w:pPr>
      <w:bookmarkStart w:id="10" w:name="_GoBack"/>
      <w:bookmarkEnd w:id="10"/>
      <w:r>
        <w:t>Annex</w:t>
      </w:r>
    </w:p>
    <w:p w14:paraId="23E451CA" w14:textId="3979A7FA" w:rsidR="00305D6E" w:rsidRDefault="002F1B88" w:rsidP="00546E72">
      <w:pPr>
        <w:widowControl w:val="0"/>
      </w:pPr>
      <w:r w:rsidRPr="002F1B88">
        <w:rPr>
          <w:noProof/>
        </w:rPr>
        <w:drawing>
          <wp:inline distT="0" distB="0" distL="0" distR="0" wp14:anchorId="67372BF3" wp14:editId="53800D23">
            <wp:extent cx="3657600" cy="27431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2743105"/>
                    </a:xfrm>
                    <a:prstGeom prst="rect">
                      <a:avLst/>
                    </a:prstGeom>
                  </pic:spPr>
                </pic:pic>
              </a:graphicData>
            </a:graphic>
          </wp:inline>
        </w:drawing>
      </w:r>
    </w:p>
    <w:p w14:paraId="0B2DF9DD" w14:textId="5557F7AC" w:rsidR="002F1B88" w:rsidRDefault="002F1B88" w:rsidP="00546E72">
      <w:pPr>
        <w:widowControl w:val="0"/>
      </w:pPr>
      <w:r w:rsidRPr="002F1B88">
        <w:rPr>
          <w:noProof/>
        </w:rPr>
        <w:drawing>
          <wp:inline distT="0" distB="0" distL="0" distR="0" wp14:anchorId="58835B4A" wp14:editId="6C06561E">
            <wp:extent cx="3657600" cy="27431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2743105"/>
                    </a:xfrm>
                    <a:prstGeom prst="rect">
                      <a:avLst/>
                    </a:prstGeom>
                  </pic:spPr>
                </pic:pic>
              </a:graphicData>
            </a:graphic>
          </wp:inline>
        </w:drawing>
      </w:r>
    </w:p>
    <w:p w14:paraId="2AC56477" w14:textId="5825B98D" w:rsidR="002F1B88" w:rsidRDefault="002F1B88" w:rsidP="00546E72">
      <w:pPr>
        <w:widowControl w:val="0"/>
      </w:pPr>
      <w:r w:rsidRPr="002F1B88">
        <w:rPr>
          <w:noProof/>
        </w:rPr>
        <w:lastRenderedPageBreak/>
        <w:drawing>
          <wp:inline distT="0" distB="0" distL="0" distR="0" wp14:anchorId="3A0A5935" wp14:editId="2E7BC5B3">
            <wp:extent cx="3657600" cy="27431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57600" cy="2743105"/>
                    </a:xfrm>
                    <a:prstGeom prst="rect">
                      <a:avLst/>
                    </a:prstGeom>
                  </pic:spPr>
                </pic:pic>
              </a:graphicData>
            </a:graphic>
          </wp:inline>
        </w:drawing>
      </w:r>
    </w:p>
    <w:p w14:paraId="71492F5F" w14:textId="1E21336D" w:rsidR="002F1B88" w:rsidRDefault="002F1B88" w:rsidP="00546E72">
      <w:pPr>
        <w:widowControl w:val="0"/>
      </w:pPr>
      <w:r w:rsidRPr="002F1B88">
        <w:rPr>
          <w:noProof/>
        </w:rPr>
        <w:drawing>
          <wp:inline distT="0" distB="0" distL="0" distR="0" wp14:anchorId="6558D1BF" wp14:editId="32D8CC33">
            <wp:extent cx="3657600" cy="27431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7600" cy="2743105"/>
                    </a:xfrm>
                    <a:prstGeom prst="rect">
                      <a:avLst/>
                    </a:prstGeom>
                  </pic:spPr>
                </pic:pic>
              </a:graphicData>
            </a:graphic>
          </wp:inline>
        </w:drawing>
      </w:r>
    </w:p>
    <w:p w14:paraId="7ABEA234" w14:textId="307BDDBA" w:rsidR="002F1B88" w:rsidRDefault="002F1B88" w:rsidP="00546E72">
      <w:pPr>
        <w:widowControl w:val="0"/>
      </w:pPr>
      <w:r w:rsidRPr="002F1B88">
        <w:rPr>
          <w:noProof/>
        </w:rPr>
        <w:drawing>
          <wp:inline distT="0" distB="0" distL="0" distR="0" wp14:anchorId="02112ED7" wp14:editId="26D92A94">
            <wp:extent cx="3657600" cy="27431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57600" cy="2743105"/>
                    </a:xfrm>
                    <a:prstGeom prst="rect">
                      <a:avLst/>
                    </a:prstGeom>
                  </pic:spPr>
                </pic:pic>
              </a:graphicData>
            </a:graphic>
          </wp:inline>
        </w:drawing>
      </w:r>
    </w:p>
    <w:p w14:paraId="1AF5F96C" w14:textId="7007554B" w:rsidR="002F1B88" w:rsidRDefault="002F1B88" w:rsidP="00546E72">
      <w:pPr>
        <w:widowControl w:val="0"/>
      </w:pPr>
      <w:r w:rsidRPr="002F1B88">
        <w:rPr>
          <w:noProof/>
        </w:rPr>
        <w:lastRenderedPageBreak/>
        <w:drawing>
          <wp:inline distT="0" distB="0" distL="0" distR="0" wp14:anchorId="646005A6" wp14:editId="517792FE">
            <wp:extent cx="3657600" cy="27431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57600" cy="2743105"/>
                    </a:xfrm>
                    <a:prstGeom prst="rect">
                      <a:avLst/>
                    </a:prstGeom>
                  </pic:spPr>
                </pic:pic>
              </a:graphicData>
            </a:graphic>
          </wp:inline>
        </w:drawing>
      </w:r>
    </w:p>
    <w:p w14:paraId="774865BF" w14:textId="77777777" w:rsidR="00546E72" w:rsidRPr="00871EA3" w:rsidRDefault="00546E72" w:rsidP="00546E72">
      <w:pPr>
        <w:widowControl w:val="0"/>
      </w:pPr>
    </w:p>
    <w:sectPr w:rsidR="00546E72" w:rsidRPr="00871EA3" w:rsidSect="00C775EF">
      <w:headerReference w:type="even" r:id="rId21"/>
      <w:footerReference w:type="even" r:id="rId22"/>
      <w:footerReference w:type="default" r:id="rId2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1BEBD" w14:textId="77777777" w:rsidR="00C55A67" w:rsidRDefault="00C55A67">
      <w:r>
        <w:separator/>
      </w:r>
    </w:p>
  </w:endnote>
  <w:endnote w:type="continuationSeparator" w:id="0">
    <w:p w14:paraId="015A92C9" w14:textId="77777777" w:rsidR="00C55A67" w:rsidRDefault="00C55A67">
      <w:r>
        <w:continuationSeparator/>
      </w:r>
    </w:p>
  </w:endnote>
  <w:endnote w:type="continuationNotice" w:id="1">
    <w:p w14:paraId="2F22D86F" w14:textId="77777777" w:rsidR="00C55A67" w:rsidRDefault="00C55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A13BF" w14:textId="77777777" w:rsidR="00C55A67" w:rsidRDefault="00C55A67">
      <w:r>
        <w:separator/>
      </w:r>
    </w:p>
  </w:footnote>
  <w:footnote w:type="continuationSeparator" w:id="0">
    <w:p w14:paraId="76CDE26E" w14:textId="77777777" w:rsidR="00C55A67" w:rsidRDefault="00C55A67">
      <w:r>
        <w:continuationSeparator/>
      </w:r>
    </w:p>
  </w:footnote>
  <w:footnote w:type="continuationNotice" w:id="1">
    <w:p w14:paraId="372DE38F" w14:textId="77777777" w:rsidR="00C55A67" w:rsidRDefault="00C55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054AF7"/>
    <w:multiLevelType w:val="hybridMultilevel"/>
    <w:tmpl w:val="E89063C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6"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14"/>
  </w:num>
  <w:num w:numId="9">
    <w:abstractNumId w:val="16"/>
  </w:num>
  <w:num w:numId="10">
    <w:abstractNumId w:val="26"/>
  </w:num>
  <w:num w:numId="11">
    <w:abstractNumId w:val="4"/>
  </w:num>
  <w:num w:numId="12">
    <w:abstractNumId w:val="2"/>
  </w:num>
  <w:num w:numId="13">
    <w:abstractNumId w:val="17"/>
  </w:num>
  <w:num w:numId="14">
    <w:abstractNumId w:val="22"/>
  </w:num>
  <w:num w:numId="15">
    <w:abstractNumId w:val="21"/>
  </w:num>
  <w:num w:numId="16">
    <w:abstractNumId w:val="7"/>
  </w:num>
  <w:num w:numId="17">
    <w:abstractNumId w:val="15"/>
  </w:num>
  <w:num w:numId="18">
    <w:abstractNumId w:val="18"/>
  </w:num>
  <w:num w:numId="19">
    <w:abstractNumId w:val="11"/>
  </w:num>
  <w:num w:numId="20">
    <w:abstractNumId w:val="13"/>
  </w:num>
  <w:num w:numId="21">
    <w:abstractNumId w:val="20"/>
  </w:num>
  <w:num w:numId="22">
    <w:abstractNumId w:val="0"/>
  </w:num>
  <w:num w:numId="23">
    <w:abstractNumId w:val="6"/>
  </w:num>
  <w:num w:numId="24">
    <w:abstractNumId w:val="12"/>
  </w:num>
  <w:num w:numId="25">
    <w:abstractNumId w:val="3"/>
  </w:num>
  <w:num w:numId="26">
    <w:abstractNumId w:val="23"/>
  </w:num>
  <w:num w:numId="2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3D9"/>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0A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17D3C"/>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4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0E82"/>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68"/>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61"/>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88"/>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47D"/>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22A"/>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19"/>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22"/>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06B"/>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62B"/>
    <w:rsid w:val="007F3F4B"/>
    <w:rsid w:val="007F3FB0"/>
    <w:rsid w:val="007F43A9"/>
    <w:rsid w:val="007F4CEC"/>
    <w:rsid w:val="007F5608"/>
    <w:rsid w:val="007F5874"/>
    <w:rsid w:val="007F5D4A"/>
    <w:rsid w:val="007F6562"/>
    <w:rsid w:val="007F65F2"/>
    <w:rsid w:val="007F6729"/>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C90"/>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1B3"/>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38F9"/>
    <w:rsid w:val="00913B37"/>
    <w:rsid w:val="00913EDB"/>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875"/>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2FB"/>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A8F"/>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4C8E"/>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E53"/>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2CC"/>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6CF"/>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3FBA"/>
    <w:rsid w:val="00C544DE"/>
    <w:rsid w:val="00C54568"/>
    <w:rsid w:val="00C54C62"/>
    <w:rsid w:val="00C55A67"/>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96B"/>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30"/>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4D3"/>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18755">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086741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15980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316A594-59B1-0049-9C5F-867983450A8D}">
  <ds:schemaRefs>
    <ds:schemaRef ds:uri="http://schemas.openxmlformats.org/officeDocument/2006/bibliography"/>
  </ds:schemaRefs>
</ds:datastoreItem>
</file>

<file path=customXml/itemProps4.xml><?xml version="1.0" encoding="utf-8"?>
<ds:datastoreItem xmlns:ds="http://schemas.openxmlformats.org/officeDocument/2006/customXml" ds:itemID="{8FC15F50-B4B3-A447-9648-979F0CFC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285</TotalTime>
  <Pages>7</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89</cp:revision>
  <cp:lastPrinted>2017-11-08T23:02:00Z</cp:lastPrinted>
  <dcterms:created xsi:type="dcterms:W3CDTF">2018-09-26T22:02:00Z</dcterms:created>
  <dcterms:modified xsi:type="dcterms:W3CDTF">2019-05-03T21:17:00Z</dcterms:modified>
  <cp:category/>
</cp:coreProperties>
</file>