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37970E6C"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CD110C">
        <w:rPr>
          <w:rFonts w:cs="Arial"/>
          <w:sz w:val="24"/>
        </w:rPr>
        <w:t>90</w:t>
      </w:r>
      <w:r w:rsidR="004C43A9">
        <w:rPr>
          <w:rFonts w:cs="Arial"/>
          <w:sz w:val="24"/>
        </w:rPr>
        <w:t>bis</w:t>
      </w:r>
      <w:r>
        <w:rPr>
          <w:rFonts w:cs="Arial"/>
          <w:i/>
          <w:sz w:val="24"/>
        </w:rPr>
        <w:tab/>
      </w:r>
      <w:r>
        <w:rPr>
          <w:rFonts w:cs="Arial"/>
          <w:iCs/>
          <w:sz w:val="24"/>
        </w:rPr>
        <w:t>R4-</w:t>
      </w:r>
      <w:r w:rsidR="00B92E34">
        <w:rPr>
          <w:rFonts w:cs="Arial"/>
          <w:iCs/>
          <w:sz w:val="24"/>
        </w:rPr>
        <w:t>1903451</w:t>
      </w:r>
    </w:p>
    <w:p w14:paraId="1BC12648" w14:textId="1EEE91EC" w:rsidR="003B61A8" w:rsidRDefault="004C43A9" w:rsidP="003B61A8">
      <w:pPr>
        <w:pStyle w:val="Header"/>
        <w:tabs>
          <w:tab w:val="right" w:pos="10206"/>
        </w:tabs>
        <w:spacing w:after="120"/>
        <w:rPr>
          <w:rFonts w:cs="Arial"/>
          <w:sz w:val="24"/>
        </w:rPr>
      </w:pPr>
      <w:r>
        <w:rPr>
          <w:rFonts w:cs="Arial"/>
          <w:sz w:val="24"/>
        </w:rPr>
        <w:t>Xian</w:t>
      </w:r>
      <w:r w:rsidR="0062745C">
        <w:rPr>
          <w:rFonts w:cs="Arial"/>
          <w:sz w:val="24"/>
        </w:rPr>
        <w:t xml:space="preserve">, </w:t>
      </w:r>
      <w:r>
        <w:rPr>
          <w:rFonts w:cs="Arial"/>
          <w:sz w:val="24"/>
        </w:rPr>
        <w:t>China</w:t>
      </w:r>
      <w:r w:rsidR="003B61A8">
        <w:rPr>
          <w:rFonts w:cs="Arial"/>
          <w:sz w:val="24"/>
        </w:rPr>
        <w:t xml:space="preserve">, </w:t>
      </w:r>
      <w:r w:rsidR="00CD2E52">
        <w:rPr>
          <w:rFonts w:cs="Arial"/>
          <w:sz w:val="24"/>
        </w:rPr>
        <w:t>8</w:t>
      </w:r>
      <w:r w:rsidR="00CD2E52" w:rsidRPr="007170B2">
        <w:rPr>
          <w:rFonts w:cs="Arial"/>
          <w:sz w:val="24"/>
          <w:vertAlign w:val="superscript"/>
        </w:rPr>
        <w:t>th</w:t>
      </w:r>
      <w:r w:rsidR="00E448DE">
        <w:rPr>
          <w:rFonts w:cs="Arial"/>
          <w:sz w:val="24"/>
          <w:vertAlign w:val="superscript"/>
        </w:rPr>
        <w:t xml:space="preserve"> </w:t>
      </w:r>
      <w:r w:rsidR="004B372C">
        <w:rPr>
          <w:rFonts w:cs="Arial"/>
          <w:sz w:val="24"/>
        </w:rPr>
        <w:t xml:space="preserve">– </w:t>
      </w:r>
      <w:r w:rsidR="002B0B48">
        <w:rPr>
          <w:rFonts w:cs="Arial"/>
          <w:sz w:val="24"/>
        </w:rPr>
        <w:t>1</w:t>
      </w:r>
      <w:r w:rsidR="00CD2E52">
        <w:rPr>
          <w:rFonts w:cs="Arial"/>
          <w:sz w:val="24"/>
        </w:rPr>
        <w:t>2</w:t>
      </w:r>
      <w:r w:rsidR="00CD2E52" w:rsidRPr="00E448DE">
        <w:rPr>
          <w:rFonts w:cs="Arial"/>
          <w:sz w:val="24"/>
          <w:vertAlign w:val="superscript"/>
        </w:rPr>
        <w:t>th</w:t>
      </w:r>
      <w:r w:rsidR="00CD2E52">
        <w:rPr>
          <w:rFonts w:cs="Arial"/>
          <w:sz w:val="24"/>
        </w:rPr>
        <w:t xml:space="preserve"> April</w:t>
      </w:r>
      <w:r w:rsidR="003B61A8">
        <w:rPr>
          <w:rFonts w:cs="Arial"/>
          <w:sz w:val="24"/>
        </w:rPr>
        <w:t xml:space="preserve"> 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D133618"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bookmarkStart w:id="1" w:name="_Hlk4669143"/>
      <w:r w:rsidR="008F534D" w:rsidRPr="00BA555E">
        <w:rPr>
          <w:rFonts w:ascii="Arial" w:hAnsi="Arial" w:cs="Arial"/>
        </w:rPr>
        <w:t>Investigation into base station spurious emissions: models and measurement</w:t>
      </w:r>
      <w:r w:rsidR="008F534D">
        <w:rPr>
          <w:rFonts w:ascii="Arial" w:hAnsi="Arial" w:cs="Arial"/>
        </w:rPr>
        <w:t>s</w:t>
      </w:r>
      <w:bookmarkEnd w:id="1"/>
    </w:p>
    <w:p w14:paraId="72798C4E" w14:textId="56AAB437"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F02CD7">
        <w:rPr>
          <w:rFonts w:ascii="Arial" w:hAnsi="Arial" w:cs="Arial"/>
          <w:bCs/>
          <w:lang w:val="sv-SE"/>
        </w:rPr>
        <w:t>6.8.5.1</w:t>
      </w:r>
    </w:p>
    <w:p w14:paraId="3C088A4A" w14:textId="17FEF48E"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62745C">
        <w:rPr>
          <w:rFonts w:ascii="Arial" w:hAnsi="Arial" w:cs="Arial"/>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7538F62B" w14:textId="77777777" w:rsidR="0031629E" w:rsidRDefault="0031629E" w:rsidP="0031629E">
      <w:r>
        <w:t xml:space="preserve">A lot of attention has been paid to the measurement of spurious emissions. One of the reasons why this topic is so hard is because spurs are, by nature, unpredictable. As such, it is hard to devise fast, cost-efficient, accurate and repeatable measurement methodologies. </w:t>
      </w:r>
    </w:p>
    <w:p w14:paraId="2548B35A" w14:textId="32781FC6" w:rsidR="0031629E" w:rsidRDefault="0031629E" w:rsidP="0031629E">
      <w:r>
        <w:t xml:space="preserve">To improve our understanding of what </w:t>
      </w:r>
      <w:r w:rsidR="00F02CD7">
        <w:t>spurious emissions</w:t>
      </w:r>
      <w:r>
        <w:t xml:space="preserve"> </w:t>
      </w:r>
      <w:r w:rsidR="00970CAD">
        <w:t xml:space="preserve">spatial characteristics </w:t>
      </w:r>
      <w:r>
        <w:t xml:space="preserve">look like and what the impact of their characteristics are on the effectiveness and overall performance of different measurement methodologies, we have </w:t>
      </w:r>
      <w:proofErr w:type="gramStart"/>
      <w:r>
        <w:t>conducted an investigation into</w:t>
      </w:r>
      <w:proofErr w:type="gramEnd"/>
      <w:r>
        <w:t xml:space="preserve"> what these spurs might look like. </w:t>
      </w:r>
    </w:p>
    <w:p w14:paraId="1CFB715E" w14:textId="32A45BA1" w:rsidR="0031629E" w:rsidRPr="007D610C" w:rsidRDefault="0031629E" w:rsidP="00F02CD7">
      <w:r>
        <w:t>In this discussion paper we look at a model which is published in literature to estimate the maximal directivity from a source of given size and compare this with actual results from our own measurement campaign. From these we can draw some conclusions about the general characteristics of spurs.</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72049BF9" w14:textId="77777777" w:rsidR="001F547D" w:rsidRDefault="001F547D" w:rsidP="0062745C">
      <w:pPr>
        <w:pStyle w:val="BodyText"/>
      </w:pPr>
    </w:p>
    <w:p w14:paraId="4A47318F" w14:textId="28451AC9" w:rsidR="00762BDA" w:rsidRPr="00663F68" w:rsidRDefault="00762BDA" w:rsidP="00663F68">
      <w:pPr>
        <w:pStyle w:val="BodyText"/>
        <w:numPr>
          <w:ilvl w:val="1"/>
          <w:numId w:val="5"/>
        </w:numPr>
        <w:ind w:hanging="720"/>
        <w:rPr>
          <w:rFonts w:ascii="Arial" w:hAnsi="Arial" w:cs="Arial"/>
        </w:rPr>
      </w:pPr>
      <w:r w:rsidRPr="00663F68">
        <w:rPr>
          <w:rFonts w:ascii="Arial" w:hAnsi="Arial" w:cs="Arial"/>
        </w:rPr>
        <w:t>Model for spurs: theory and validation</w:t>
      </w:r>
    </w:p>
    <w:p w14:paraId="558E04BB" w14:textId="665C08E0" w:rsidR="001F547D" w:rsidRPr="00762BDA" w:rsidRDefault="001F547D" w:rsidP="00663F68">
      <w:pPr>
        <w:pStyle w:val="BodyText"/>
      </w:pPr>
      <w:r>
        <w:t>NIST (National Institute of Standards and Technology, USA) has conducted investigations into what the emissions of electrically large sources might look like [1,2]</w:t>
      </w:r>
      <w:r>
        <w:rPr>
          <w:bCs/>
        </w:rPr>
        <w:t xml:space="preserve">. In this publication a theoretical model is proposed for estimating the maximal directivity of an unintentional emitter. The model is validated with measurements and simulations. </w:t>
      </w:r>
    </w:p>
    <w:p w14:paraId="44584A7B" w14:textId="77777777" w:rsidR="001F547D" w:rsidRDefault="001F547D" w:rsidP="001F547D">
      <w:pPr>
        <w:spacing w:after="100" w:afterAutospacing="1"/>
        <w:rPr>
          <w:bCs/>
        </w:rPr>
      </w:pPr>
      <w:r>
        <w:rPr>
          <w:bCs/>
        </w:rPr>
        <w:t>Maximal directivity is estimated from the far-field pattern of the emitter. This is calculated from a Spherical Wave Expansion, where it is assumed that the expansion coefficients are independent random variables. This leads to following formula for the estimated directivity:</w:t>
      </w:r>
    </w:p>
    <w:p w14:paraId="0A2E34A4" w14:textId="77777777" w:rsidR="001F547D" w:rsidRDefault="001F547D" w:rsidP="001F547D">
      <w:pPr>
        <w:spacing w:after="100" w:afterAutospacing="1"/>
        <w:ind w:left="720"/>
        <w:jc w:val="center"/>
        <w:rPr>
          <w:bCs/>
        </w:rPr>
      </w:pPr>
      <w:r>
        <w:rPr>
          <w:noProof/>
        </w:rPr>
        <w:drawing>
          <wp:inline distT="0" distB="0" distL="0" distR="0" wp14:anchorId="33ACF20C" wp14:editId="0CCE8EA1">
            <wp:extent cx="3190875" cy="1047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90875" cy="1047750"/>
                    </a:xfrm>
                    <a:prstGeom prst="rect">
                      <a:avLst/>
                    </a:prstGeom>
                  </pic:spPr>
                </pic:pic>
              </a:graphicData>
            </a:graphic>
          </wp:inline>
        </w:drawing>
      </w:r>
    </w:p>
    <w:p w14:paraId="29A636E5" w14:textId="77777777" w:rsidR="001F547D" w:rsidRDefault="001F547D" w:rsidP="001F547D">
      <w:pPr>
        <w:spacing w:after="100" w:afterAutospacing="1"/>
        <w:rPr>
          <w:bCs/>
        </w:rPr>
      </w:pPr>
      <w:r>
        <w:rPr>
          <w:bCs/>
        </w:rPr>
        <w:t>And peak to average power ratio (which is equal to the directivity):</w:t>
      </w:r>
    </w:p>
    <w:p w14:paraId="6894B552" w14:textId="77777777" w:rsidR="001F547D" w:rsidRDefault="001F547D" w:rsidP="001F547D">
      <w:pPr>
        <w:spacing w:after="100" w:afterAutospacing="1"/>
        <w:jc w:val="center"/>
        <w:rPr>
          <w:bCs/>
        </w:rPr>
      </w:pPr>
      <w:r>
        <w:rPr>
          <w:noProof/>
        </w:rPr>
        <w:drawing>
          <wp:inline distT="0" distB="0" distL="0" distR="0" wp14:anchorId="6B4268EA" wp14:editId="6DBFBC36">
            <wp:extent cx="3200400" cy="7334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00400" cy="733425"/>
                    </a:xfrm>
                    <a:prstGeom prst="rect">
                      <a:avLst/>
                    </a:prstGeom>
                  </pic:spPr>
                </pic:pic>
              </a:graphicData>
            </a:graphic>
          </wp:inline>
        </w:drawing>
      </w:r>
    </w:p>
    <w:p w14:paraId="2BFD0B98" w14:textId="77777777" w:rsidR="001F547D" w:rsidRDefault="001F547D" w:rsidP="001F547D">
      <w:pPr>
        <w:spacing w:after="100" w:afterAutospacing="1"/>
        <w:rPr>
          <w:bCs/>
        </w:rPr>
      </w:pPr>
      <w:r>
        <w:rPr>
          <w:bCs/>
        </w:rPr>
        <w:t xml:space="preserve">With </w:t>
      </w:r>
      <w:r w:rsidRPr="007A13C0">
        <w:rPr>
          <w:bCs/>
          <w:i/>
        </w:rPr>
        <w:t>k</w:t>
      </w:r>
      <w:r>
        <w:rPr>
          <w:bCs/>
        </w:rPr>
        <w:t xml:space="preserve"> being the wavenumber and </w:t>
      </w:r>
      <w:proofErr w:type="gramStart"/>
      <w:r w:rsidRPr="007A13C0">
        <w:rPr>
          <w:bCs/>
          <w:i/>
        </w:rPr>
        <w:t>a</w:t>
      </w:r>
      <w:r>
        <w:rPr>
          <w:bCs/>
        </w:rPr>
        <w:t xml:space="preserve"> the</w:t>
      </w:r>
      <w:proofErr w:type="gramEnd"/>
      <w:r>
        <w:rPr>
          <w:bCs/>
        </w:rPr>
        <w:t xml:space="preserve"> radius of smallest sphere enclosing the EUT. A complete derivation can be found in [1].</w:t>
      </w:r>
    </w:p>
    <w:p w14:paraId="4C55036E" w14:textId="0C913ED3" w:rsidR="001F547D" w:rsidRDefault="00525FF3" w:rsidP="001F547D">
      <w:pPr>
        <w:spacing w:after="100" w:afterAutospacing="1"/>
        <w:rPr>
          <w:bCs/>
        </w:rPr>
      </w:pPr>
      <w:r>
        <w:rPr>
          <w:bCs/>
        </w:rPr>
        <w:t>Figure 2.1-1</w:t>
      </w:r>
      <w:r w:rsidR="001F547D">
        <w:rPr>
          <w:bCs/>
        </w:rPr>
        <w:t xml:space="preserve"> the maximal directivity of an electrically large source as predicted by the model, evaluated in simulations and measured. The maximal directivity value only gradually increases with frequency and dimension (represented by ka) and remains below 10 </w:t>
      </w:r>
      <w:proofErr w:type="spellStart"/>
      <w:r w:rsidR="001F547D">
        <w:rPr>
          <w:bCs/>
        </w:rPr>
        <w:t>dB.</w:t>
      </w:r>
      <w:proofErr w:type="spellEnd"/>
      <w:r w:rsidR="001F547D">
        <w:rPr>
          <w:bCs/>
        </w:rPr>
        <w:t xml:space="preserve"> To show what this means for a real base station </w:t>
      </w:r>
      <w:r w:rsidR="001F547D" w:rsidRPr="00CE7846">
        <w:rPr>
          <w:bCs/>
        </w:rPr>
        <w:t xml:space="preserve">Figure </w:t>
      </w:r>
      <w:r w:rsidR="007D4528">
        <w:rPr>
          <w:bCs/>
        </w:rPr>
        <w:t>2.1-</w:t>
      </w:r>
      <w:r w:rsidR="001F547D" w:rsidRPr="00CE7846">
        <w:rPr>
          <w:bCs/>
        </w:rPr>
        <w:t>2</w:t>
      </w:r>
      <w:r w:rsidR="001F547D">
        <w:rPr>
          <w:bCs/>
        </w:rPr>
        <w:t xml:space="preserve"> shows the maximal </w:t>
      </w:r>
      <w:r w:rsidR="001F547D">
        <w:rPr>
          <w:bCs/>
        </w:rPr>
        <w:lastRenderedPageBreak/>
        <w:t>estimated directivity for an EUT, using the NIST model, with largest dimension equal to 0.5 m and 1 m in function of frequency. The same trend is seen here.</w:t>
      </w:r>
    </w:p>
    <w:p w14:paraId="7471642E" w14:textId="77777777" w:rsidR="001F547D" w:rsidRDefault="001F547D" w:rsidP="001F547D">
      <w:pPr>
        <w:keepNext/>
        <w:spacing w:after="100" w:afterAutospacing="1"/>
        <w:jc w:val="center"/>
      </w:pPr>
      <w:r w:rsidRPr="00F138E0">
        <w:rPr>
          <w:bCs/>
          <w:noProof/>
        </w:rPr>
        <w:drawing>
          <wp:inline distT="0" distB="0" distL="0" distR="0" wp14:anchorId="6FA45056" wp14:editId="0DAAE2AA">
            <wp:extent cx="3567121" cy="3412546"/>
            <wp:effectExtent l="0" t="0" r="0" b="0"/>
            <wp:docPr id="6" name="Picture 5">
              <a:extLst xmlns:a="http://schemas.openxmlformats.org/drawingml/2006/main">
                <a:ext uri="{FF2B5EF4-FFF2-40B4-BE49-F238E27FC236}">
                  <a16:creationId xmlns:a16="http://schemas.microsoft.com/office/drawing/2014/main" id="{B1DD65B4-0A90-4A23-B913-23C081148B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1DD65B4-0A90-4A23-B913-23C081148BD4}"/>
                        </a:ext>
                      </a:extLst>
                    </pic:cNvPr>
                    <pic:cNvPicPr>
                      <a:picLocks noChangeAspect="1"/>
                    </pic:cNvPicPr>
                  </pic:nvPicPr>
                  <pic:blipFill>
                    <a:blip r:embed="rId11"/>
                    <a:stretch>
                      <a:fillRect/>
                    </a:stretch>
                  </pic:blipFill>
                  <pic:spPr>
                    <a:xfrm>
                      <a:off x="0" y="0"/>
                      <a:ext cx="3567121" cy="3412546"/>
                    </a:xfrm>
                    <a:prstGeom prst="rect">
                      <a:avLst/>
                    </a:prstGeom>
                  </pic:spPr>
                </pic:pic>
              </a:graphicData>
            </a:graphic>
          </wp:inline>
        </w:drawing>
      </w:r>
    </w:p>
    <w:p w14:paraId="3D1D3504" w14:textId="79D72602" w:rsidR="001F547D" w:rsidRDefault="001F547D" w:rsidP="001F547D">
      <w:pPr>
        <w:pStyle w:val="Caption"/>
        <w:jc w:val="center"/>
      </w:pPr>
      <w:bookmarkStart w:id="2" w:name="_Ref4142067"/>
      <w:r>
        <w:t xml:space="preserve">Figure </w:t>
      </w:r>
      <w:bookmarkEnd w:id="2"/>
      <w:r w:rsidR="006E7FE2">
        <w:t xml:space="preserve">2.1-1: </w:t>
      </w:r>
      <w:r w:rsidRPr="009E2226">
        <w:t>The peak to average ratio</w:t>
      </w:r>
      <w:r>
        <w:t xml:space="preserve"> is relatively low </w:t>
      </w:r>
      <w:r w:rsidRPr="009E2226">
        <w:t>(Scale in figure is linear)</w:t>
      </w:r>
      <w:r>
        <w:t>.</w:t>
      </w:r>
      <w:r w:rsidRPr="009E2226">
        <w:t xml:space="preserve"> </w:t>
      </w:r>
      <w:r>
        <w:t>The theoretical estimate from NIST agrees well with simulation and measurement.</w:t>
      </w:r>
    </w:p>
    <w:p w14:paraId="4DDA0E91" w14:textId="416DA39F" w:rsidR="001060DB" w:rsidRDefault="001060DB" w:rsidP="001060DB"/>
    <w:p w14:paraId="262AE786" w14:textId="77777777" w:rsidR="001060DB" w:rsidRPr="001060DB" w:rsidRDefault="001060DB" w:rsidP="001060DB">
      <w:bookmarkStart w:id="3" w:name="_GoBack"/>
      <w:bookmarkEnd w:id="3"/>
    </w:p>
    <w:p w14:paraId="2487C17B" w14:textId="77777777" w:rsidR="001F547D" w:rsidRDefault="001F547D" w:rsidP="001F547D">
      <w:pPr>
        <w:keepNext/>
        <w:jc w:val="center"/>
      </w:pPr>
      <w:r>
        <w:rPr>
          <w:noProof/>
        </w:rPr>
        <w:drawing>
          <wp:inline distT="0" distB="0" distL="0" distR="0" wp14:anchorId="6FC64B21" wp14:editId="253D13BF">
            <wp:extent cx="4629150" cy="2743200"/>
            <wp:effectExtent l="0" t="0" r="0" b="0"/>
            <wp:docPr id="3" name="Chart 3">
              <a:extLst xmlns:a="http://schemas.openxmlformats.org/drawingml/2006/main">
                <a:ext uri="{FF2B5EF4-FFF2-40B4-BE49-F238E27FC236}">
                  <a16:creationId xmlns:a16="http://schemas.microsoft.com/office/drawing/2014/main" id="{85D0135E-3DB4-4CF3-B761-BDE618E4E83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7165C29" w14:textId="0A28ECE6" w:rsidR="001F547D" w:rsidRPr="00E87D0B" w:rsidRDefault="001F547D" w:rsidP="001F547D">
      <w:pPr>
        <w:pStyle w:val="Caption"/>
        <w:jc w:val="center"/>
      </w:pPr>
      <w:bookmarkStart w:id="4" w:name="_Ref4145272"/>
      <w:r>
        <w:t xml:space="preserve">Figure </w:t>
      </w:r>
      <w:bookmarkEnd w:id="4"/>
      <w:r w:rsidR="006E7FE2">
        <w:t xml:space="preserve">2.1-2: </w:t>
      </w:r>
      <w:r>
        <w:t>Maximal estimated directivity bases on NIST model in function of frequency for a device with largest dimensions 0.5 m (blue) and 1m (red)</w:t>
      </w:r>
    </w:p>
    <w:p w14:paraId="7FDA4784" w14:textId="0026B2D9" w:rsidR="001F547D" w:rsidRDefault="00525FF3" w:rsidP="001F547D">
      <w:pPr>
        <w:keepNext/>
        <w:spacing w:after="100" w:afterAutospacing="1"/>
      </w:pPr>
      <w:r>
        <w:lastRenderedPageBreak/>
        <w:t>Figure 2.1-3</w:t>
      </w:r>
      <w:r w:rsidR="001F547D">
        <w:t xml:space="preserve"> shows the measured radiation pattern at two different frequencies (low and high). We see a hedgehog-like pattern: multiple peaks in arbitrary directions, varying with frequency. It can clearly be seen that the number of peaks increases with frequency and that their beam width -on average- decreases as well. </w:t>
      </w:r>
    </w:p>
    <w:p w14:paraId="73F67CC0" w14:textId="77777777" w:rsidR="001F547D" w:rsidRDefault="001F547D" w:rsidP="001F547D">
      <w:pPr>
        <w:keepNext/>
        <w:spacing w:after="100" w:afterAutospacing="1"/>
        <w:jc w:val="center"/>
      </w:pPr>
      <w:r w:rsidRPr="00F138E0">
        <w:rPr>
          <w:bCs/>
          <w:noProof/>
        </w:rPr>
        <w:drawing>
          <wp:inline distT="0" distB="0" distL="0" distR="0" wp14:anchorId="332B4973" wp14:editId="1EAD8A0F">
            <wp:extent cx="2528652" cy="4941783"/>
            <wp:effectExtent l="0" t="0" r="5080" b="0"/>
            <wp:docPr id="4" name="Picture 3">
              <a:extLst xmlns:a="http://schemas.openxmlformats.org/drawingml/2006/main">
                <a:ext uri="{FF2B5EF4-FFF2-40B4-BE49-F238E27FC236}">
                  <a16:creationId xmlns:a16="http://schemas.microsoft.com/office/drawing/2014/main" id="{47824FAF-B16A-4A50-92D8-7EA249F1AD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7824FAF-B16A-4A50-92D8-7EA249F1AD2D}"/>
                        </a:ext>
                      </a:extLst>
                    </pic:cNvPr>
                    <pic:cNvPicPr>
                      <a:picLocks noChangeAspect="1"/>
                    </pic:cNvPicPr>
                  </pic:nvPicPr>
                  <pic:blipFill>
                    <a:blip r:embed="rId13"/>
                    <a:stretch>
                      <a:fillRect/>
                    </a:stretch>
                  </pic:blipFill>
                  <pic:spPr>
                    <a:xfrm>
                      <a:off x="0" y="0"/>
                      <a:ext cx="2536781" cy="4957669"/>
                    </a:xfrm>
                    <a:prstGeom prst="rect">
                      <a:avLst/>
                    </a:prstGeom>
                  </pic:spPr>
                </pic:pic>
              </a:graphicData>
            </a:graphic>
          </wp:inline>
        </w:drawing>
      </w:r>
    </w:p>
    <w:p w14:paraId="521CBDDF" w14:textId="22BA39E9" w:rsidR="001F547D" w:rsidRDefault="001F547D" w:rsidP="001F547D">
      <w:pPr>
        <w:pStyle w:val="Caption"/>
        <w:jc w:val="center"/>
      </w:pPr>
      <w:bookmarkStart w:id="5" w:name="_Ref4142307"/>
      <w:r>
        <w:t xml:space="preserve">Figure </w:t>
      </w:r>
      <w:r w:rsidR="006E7FE2">
        <w:t>2.1-</w:t>
      </w:r>
      <w:bookmarkEnd w:id="5"/>
      <w:r w:rsidR="006E7FE2">
        <w:t xml:space="preserve">3: </w:t>
      </w:r>
      <w:r>
        <w:t>Hedgehog like radiation pattern from spur at two different frequencies. The magnitude and direction of the peaks is frequency dependent. (Image from [1]). (Scale of plot is linear with range ~ 10 dB)</w:t>
      </w:r>
    </w:p>
    <w:p w14:paraId="21000EFA" w14:textId="77777777" w:rsidR="00214579" w:rsidRPr="00214579" w:rsidRDefault="00214579" w:rsidP="00214579"/>
    <w:p w14:paraId="52BD60EA" w14:textId="65C46393" w:rsidR="00836FDE" w:rsidRDefault="000B0504" w:rsidP="00836FDE">
      <w:pPr>
        <w:pStyle w:val="BodyText"/>
        <w:numPr>
          <w:ilvl w:val="1"/>
          <w:numId w:val="5"/>
        </w:numPr>
        <w:ind w:hanging="720"/>
        <w:rPr>
          <w:rFonts w:ascii="Arial" w:hAnsi="Arial" w:cs="Arial"/>
        </w:rPr>
      </w:pPr>
      <w:r>
        <w:rPr>
          <w:rFonts w:ascii="Arial" w:hAnsi="Arial" w:cs="Arial"/>
        </w:rPr>
        <w:t>Results from measurement campaign on actual EUTs</w:t>
      </w:r>
    </w:p>
    <w:p w14:paraId="1741CB1D" w14:textId="77777777" w:rsidR="003D1923" w:rsidRDefault="003D1923" w:rsidP="003D1923">
      <w:pPr>
        <w:spacing w:after="100" w:afterAutospacing="1"/>
        <w:rPr>
          <w:bCs/>
        </w:rPr>
      </w:pPr>
      <w:r>
        <w:rPr>
          <w:bCs/>
        </w:rPr>
        <w:t xml:space="preserve">To evaluate the theoretical model described above, we compare it with actual measurement data of spurs. </w:t>
      </w:r>
      <w:r>
        <w:rPr>
          <w:bCs/>
        </w:rPr>
        <w:fldChar w:fldCharType="begin"/>
      </w:r>
      <w:r>
        <w:rPr>
          <w:bCs/>
        </w:rPr>
        <w:instrText xml:space="preserve"> REF _Ref4587491 \h </w:instrText>
      </w:r>
      <w:r>
        <w:rPr>
          <w:bCs/>
        </w:rPr>
      </w:r>
      <w:r>
        <w:rPr>
          <w:bCs/>
        </w:rPr>
        <w:fldChar w:fldCharType="separate"/>
      </w:r>
      <w:r>
        <w:t xml:space="preserve">Figure </w:t>
      </w:r>
      <w:r>
        <w:rPr>
          <w:noProof/>
        </w:rPr>
        <w:t>4</w:t>
      </w:r>
      <w:r>
        <w:rPr>
          <w:bCs/>
        </w:rPr>
        <w:fldChar w:fldCharType="end"/>
      </w:r>
      <w:r>
        <w:rPr>
          <w:bCs/>
        </w:rPr>
        <w:t xml:space="preserve"> shows the measured directivity of two spurs: a low frequency (i.e. the spur frequency is much lower than the EUT’s operating frequency) and a high frequency spur (spur frequency is higher than the operating band). The trends that are predicted in the NIST model are also seen here: there are many peaks, their </w:t>
      </w:r>
      <w:proofErr w:type="spellStart"/>
      <w:r>
        <w:rPr>
          <w:bCs/>
        </w:rPr>
        <w:t>beamwidth</w:t>
      </w:r>
      <w:proofErr w:type="spellEnd"/>
      <w:r>
        <w:rPr>
          <w:bCs/>
        </w:rPr>
        <w:t xml:space="preserve"> reduces with increasing frequency and their direction is highly random. The maximal peak directivity (peak to average ratio) is also in line with what is predicted: around 10 dB in both cases. </w:t>
      </w:r>
    </w:p>
    <w:p w14:paraId="5219D6D9" w14:textId="77777777" w:rsidR="003D1923" w:rsidRDefault="003D1923" w:rsidP="003D1923">
      <w:pPr>
        <w:spacing w:after="100" w:afterAutospacing="1"/>
        <w:rPr>
          <w:bCs/>
        </w:rPr>
      </w:pPr>
      <w:r>
        <w:rPr>
          <w:bCs/>
        </w:rPr>
        <w:t xml:space="preserve">Differences between theory and practice can also be noted: the peak distribution, although still highly unpredictable, is less uniform than the NIST model and measurements predict. Which is to be expected. In [1] measurements and simulations are on a box with </w:t>
      </w:r>
      <w:proofErr w:type="gramStart"/>
      <w:r>
        <w:rPr>
          <w:bCs/>
        </w:rPr>
        <w:t>a large number of</w:t>
      </w:r>
      <w:proofErr w:type="gramEnd"/>
      <w:r>
        <w:rPr>
          <w:bCs/>
        </w:rPr>
        <w:t xml:space="preserve"> holes, randomly drilled in the surface, while the plotted spurs are from an actual EUT and the influence of the casing is noticeable.</w:t>
      </w:r>
    </w:p>
    <w:p w14:paraId="44542F54" w14:textId="77777777" w:rsidR="003D1923" w:rsidRDefault="003D1923" w:rsidP="003D1923">
      <w:pPr>
        <w:keepNext/>
        <w:spacing w:after="100" w:afterAutospacing="1"/>
        <w:jc w:val="center"/>
      </w:pPr>
      <w:r>
        <w:rPr>
          <w:bCs/>
          <w:noProof/>
        </w:rPr>
        <w:lastRenderedPageBreak/>
        <w:drawing>
          <wp:inline distT="0" distB="0" distL="0" distR="0" wp14:anchorId="6E15F611" wp14:editId="5B8DD758">
            <wp:extent cx="3600000" cy="2701072"/>
            <wp:effectExtent l="0" t="0" r="63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0000" cy="2701072"/>
                    </a:xfrm>
                    <a:prstGeom prst="rect">
                      <a:avLst/>
                    </a:prstGeom>
                    <a:noFill/>
                    <a:ln>
                      <a:noFill/>
                    </a:ln>
                  </pic:spPr>
                </pic:pic>
              </a:graphicData>
            </a:graphic>
          </wp:inline>
        </w:drawing>
      </w:r>
      <w:r>
        <w:rPr>
          <w:noProof/>
        </w:rPr>
        <w:drawing>
          <wp:inline distT="0" distB="0" distL="0" distR="0" wp14:anchorId="6B8B3DD5" wp14:editId="57CFFFAD">
            <wp:extent cx="3600000" cy="2701072"/>
            <wp:effectExtent l="0" t="0" r="635"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00000" cy="2701072"/>
                    </a:xfrm>
                    <a:prstGeom prst="rect">
                      <a:avLst/>
                    </a:prstGeom>
                    <a:noFill/>
                    <a:ln>
                      <a:noFill/>
                    </a:ln>
                  </pic:spPr>
                </pic:pic>
              </a:graphicData>
            </a:graphic>
          </wp:inline>
        </w:drawing>
      </w:r>
    </w:p>
    <w:p w14:paraId="6CA883F4" w14:textId="09EC4BB0" w:rsidR="003D1923" w:rsidRDefault="003D1923" w:rsidP="003D1923">
      <w:pPr>
        <w:pStyle w:val="Caption"/>
        <w:jc w:val="center"/>
        <w:rPr>
          <w:bCs w:val="0"/>
        </w:rPr>
      </w:pPr>
      <w:bookmarkStart w:id="6" w:name="_Ref4587491"/>
      <w:r>
        <w:t xml:space="preserve">Figure </w:t>
      </w:r>
      <w:r w:rsidR="00214579">
        <w:t>2.</w:t>
      </w:r>
      <w:bookmarkEnd w:id="6"/>
      <w:r w:rsidR="00214579">
        <w:t xml:space="preserve">2-1: </w:t>
      </w:r>
      <w:r>
        <w:t xml:space="preserve">Measured spurs of an actual EUT: low frequency (above) and high frequency (below). A hedgehog-like </w:t>
      </w:r>
      <w:r>
        <w:rPr>
          <w:noProof/>
        </w:rPr>
        <w:t>pattern is seen again.</w:t>
      </w:r>
    </w:p>
    <w:p w14:paraId="17DB0AB3" w14:textId="77777777" w:rsidR="003D1923" w:rsidRPr="00713672" w:rsidRDefault="003D1923" w:rsidP="003D1923">
      <w:pPr>
        <w:rPr>
          <w:bCs/>
        </w:rPr>
      </w:pPr>
      <w:r w:rsidRPr="00713672">
        <w:rPr>
          <w:bCs/>
        </w:rPr>
        <w:t>This is a first investigation into what the pattern and directivity of spurs might look like. Since this might have a significant impact on the outcome and reliability of a chosen test method, we will continue this investigation with more measurements and in-depth study of the modelling.</w:t>
      </w:r>
    </w:p>
    <w:p w14:paraId="49362D99" w14:textId="77777777" w:rsidR="003D1923" w:rsidRDefault="003D1923" w:rsidP="003D1923">
      <w:pPr>
        <w:pStyle w:val="BodyText"/>
      </w:pPr>
    </w:p>
    <w:p w14:paraId="3E8025BE" w14:textId="77777777" w:rsidR="003D1923" w:rsidRDefault="003D1923" w:rsidP="003D1923">
      <w:pPr>
        <w:pStyle w:val="BodyText"/>
      </w:pPr>
    </w:p>
    <w:p w14:paraId="5534B7B9" w14:textId="77777777" w:rsidR="003D1923" w:rsidRDefault="003D1923" w:rsidP="003D1923">
      <w:pPr>
        <w:pStyle w:val="BodyText"/>
        <w:rPr>
          <w:b/>
          <w:u w:val="single"/>
        </w:rPr>
      </w:pPr>
      <w:r w:rsidRPr="00E3315D">
        <w:rPr>
          <w:b/>
          <w:u w:val="single"/>
        </w:rPr>
        <w:t>Observation:</w:t>
      </w:r>
    </w:p>
    <w:p w14:paraId="62791BE8" w14:textId="77777777" w:rsidR="003D1923" w:rsidRDefault="003D1923" w:rsidP="003D1923">
      <w:pPr>
        <w:pStyle w:val="BodyText"/>
      </w:pPr>
      <w:r>
        <w:t xml:space="preserve">Spurs have a hedgehog-like radiation pattern. Multiple peaks exist and are unpredictable. The number, the orientation and the </w:t>
      </w:r>
      <w:proofErr w:type="spellStart"/>
      <w:r>
        <w:t>beamwidth</w:t>
      </w:r>
      <w:proofErr w:type="spellEnd"/>
      <w:r>
        <w:t xml:space="preserve"> vary with frequency.</w:t>
      </w:r>
    </w:p>
    <w:p w14:paraId="5B307C1B" w14:textId="77777777" w:rsidR="003D1923" w:rsidRDefault="003D1923" w:rsidP="003D1923">
      <w:pPr>
        <w:pStyle w:val="BodyText"/>
      </w:pPr>
      <w:r>
        <w:t>For a realistic spur, the orientation of the peaks is not uniformly distributed, but some angular ranges have more than others and consequently within these angular ranges the radiated power will be higher.</w:t>
      </w:r>
    </w:p>
    <w:p w14:paraId="3A2CF0F8" w14:textId="77777777" w:rsidR="000B0504" w:rsidRPr="00900537" w:rsidRDefault="000B0504" w:rsidP="00663F68">
      <w:pPr>
        <w:pStyle w:val="BodyText"/>
      </w:pPr>
    </w:p>
    <w:p w14:paraId="48651DD2" w14:textId="77777777" w:rsidR="004B372C" w:rsidRDefault="004B372C" w:rsidP="0062745C">
      <w:pPr>
        <w:pStyle w:val="BodyText"/>
      </w:pPr>
    </w:p>
    <w:p w14:paraId="6A35EB29" w14:textId="77777777" w:rsidR="004B372C" w:rsidRDefault="004B372C" w:rsidP="0062745C">
      <w:pPr>
        <w:pStyle w:val="BodyText"/>
      </w:pPr>
    </w:p>
    <w:p w14:paraId="318B76FC" w14:textId="0B78AAEB" w:rsidR="004B372C" w:rsidRDefault="004B372C" w:rsidP="0062745C">
      <w:pPr>
        <w:pStyle w:val="BodyText"/>
      </w:pPr>
    </w:p>
    <w:p w14:paraId="2F41BEFB" w14:textId="77777777" w:rsidR="00214579" w:rsidRDefault="00214579" w:rsidP="0062745C">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09D23763" w14:textId="54EBEE2A" w:rsidR="0014428D" w:rsidRDefault="0014428D" w:rsidP="0014428D">
      <w:r>
        <w:t xml:space="preserve">This contribution takes a closer look at the radiation characteristics of spurs. A theoretical model based on NIST publications was investigated and compared to measurement results of </w:t>
      </w:r>
      <w:r w:rsidR="00C82E15">
        <w:t>a</w:t>
      </w:r>
      <w:r>
        <w:t xml:space="preserve"> spurious emissions with higher and lower frequency than the operating band.</w:t>
      </w:r>
    </w:p>
    <w:p w14:paraId="188A849B" w14:textId="4BE0D5D8" w:rsidR="003B61A8" w:rsidRPr="007D610C" w:rsidRDefault="0014428D" w:rsidP="00214579">
      <w:r>
        <w:t xml:space="preserve">The pattern of a spur is hedgehog like and highly unpredictable. The number of peaks varies strongly with frequency. The maximal directivity is lower than the maximal directivity calculated from the dimensions of the device. In both model and the measurements, the maximally observed directivity was around 10 </w:t>
      </w:r>
      <w:proofErr w:type="spellStart"/>
      <w:r>
        <w:t>dB.</w:t>
      </w:r>
      <w:proofErr w:type="spellEnd"/>
      <w:r>
        <w:t xml:space="preserve"> We also noticed influence of the device’s casing on the angular distribution of peaks. With a high density of peaks in certain angular ranges and lower density in others.</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5329FB2" w14:textId="20E3D2CC" w:rsidR="004A5F0C" w:rsidRDefault="004B6731" w:rsidP="004A5F0C">
      <w:pPr>
        <w:ind w:left="567" w:hanging="567"/>
      </w:pPr>
      <w:r>
        <w:t>[1]</w:t>
      </w:r>
      <w:r w:rsidR="004A5F0C">
        <w:tab/>
      </w:r>
      <w:r>
        <w:tab/>
      </w:r>
      <w:r w:rsidRPr="008B62E9">
        <w:t>P. F. Wilson, D. A. Hill and C. L. Holloway, "On determining the maximum emissions from electrically large sources," in IEEE Transactions on Electromagnetic Compatibility, vol. 44, no. 1, pp. 79-86, Feb. 2002</w:t>
      </w:r>
    </w:p>
    <w:p w14:paraId="7185828F" w14:textId="5F1AB319" w:rsidR="005C7173" w:rsidRDefault="004B6731" w:rsidP="004A5F0C">
      <w:pPr>
        <w:ind w:left="567" w:hanging="567"/>
      </w:pPr>
      <w:r>
        <w:t>[2]</w:t>
      </w:r>
      <w:r w:rsidR="004A5F0C">
        <w:tab/>
      </w:r>
      <w:r>
        <w:tab/>
      </w:r>
      <w:r w:rsidRPr="008B62E9">
        <w:t>P. F. Wilson, "Radiation patterns of unintentional antennas: Estimates, simulations, and measurements," 2010 Asia-Pacific International Symposium on Electromagnetic Compatibility, Beijing, 2010, pp. 985-989.</w:t>
      </w:r>
      <w:r w:rsidR="00663F68" w:rsidDel="00663F68">
        <w:t xml:space="preserve"> </w:t>
      </w:r>
      <w:bookmarkEnd w:id="0"/>
    </w:p>
    <w:sectPr w:rsidR="005C717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CF18F" w14:textId="77777777" w:rsidR="00562810" w:rsidRDefault="00562810">
      <w:r>
        <w:separator/>
      </w:r>
    </w:p>
  </w:endnote>
  <w:endnote w:type="continuationSeparator" w:id="0">
    <w:p w14:paraId="4CF99320" w14:textId="77777777" w:rsidR="00562810" w:rsidRDefault="00562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F300D"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79175" w14:textId="77777777" w:rsidR="00562810" w:rsidRDefault="00562810">
      <w:r>
        <w:separator/>
      </w:r>
    </w:p>
  </w:footnote>
  <w:footnote w:type="continuationSeparator" w:id="0">
    <w:p w14:paraId="6A1241C6" w14:textId="77777777" w:rsidR="00562810" w:rsidRDefault="00562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65FF5" w14:textId="77777777" w:rsidR="00EF1FC5" w:rsidRDefault="00EF1FC5">
    <w:pPr>
      <w:framePr w:h="284" w:hRule="exact" w:wrap="around" w:vAnchor="text" w:hAnchor="margin" w:xAlign="right" w:y="1"/>
      <w:rPr>
        <w:rFonts w:ascii="Arial" w:hAnsi="Arial" w:cs="Arial"/>
        <w:b/>
        <w:sz w:val="18"/>
        <w:szCs w:val="18"/>
      </w:rPr>
    </w:pPr>
  </w:p>
  <w:p w14:paraId="528BFD4A"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5F80DE11" w14:textId="77777777" w:rsidR="00EF1FC5" w:rsidRDefault="00EF1FC5">
    <w:pPr>
      <w:framePr w:h="284" w:hRule="exact" w:wrap="around" w:vAnchor="text" w:hAnchor="margin" w:y="7"/>
      <w:rPr>
        <w:rFonts w:ascii="Arial" w:hAnsi="Arial" w:cs="Arial"/>
        <w:b/>
        <w:sz w:val="18"/>
        <w:szCs w:val="18"/>
      </w:rPr>
    </w:pPr>
  </w:p>
  <w:p w14:paraId="6DD41860"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multilevel"/>
    <w:tmpl w:val="DD966E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0CC"/>
    <w:rsid w:val="000655A6"/>
    <w:rsid w:val="00080512"/>
    <w:rsid w:val="00094D53"/>
    <w:rsid w:val="00096009"/>
    <w:rsid w:val="000A5FCB"/>
    <w:rsid w:val="000B0504"/>
    <w:rsid w:val="000D58AB"/>
    <w:rsid w:val="000D696C"/>
    <w:rsid w:val="000E1DEA"/>
    <w:rsid w:val="000E632F"/>
    <w:rsid w:val="000F0805"/>
    <w:rsid w:val="000F6900"/>
    <w:rsid w:val="001060DB"/>
    <w:rsid w:val="00106F91"/>
    <w:rsid w:val="0014428D"/>
    <w:rsid w:val="00155B44"/>
    <w:rsid w:val="00176C71"/>
    <w:rsid w:val="001862BC"/>
    <w:rsid w:val="001C1DF4"/>
    <w:rsid w:val="001D02C2"/>
    <w:rsid w:val="001E62AA"/>
    <w:rsid w:val="001F168B"/>
    <w:rsid w:val="001F33FD"/>
    <w:rsid w:val="001F547D"/>
    <w:rsid w:val="00214579"/>
    <w:rsid w:val="00231DE5"/>
    <w:rsid w:val="0023254C"/>
    <w:rsid w:val="002347A2"/>
    <w:rsid w:val="00241D8F"/>
    <w:rsid w:val="00244352"/>
    <w:rsid w:val="00280CDB"/>
    <w:rsid w:val="002A0978"/>
    <w:rsid w:val="002B067D"/>
    <w:rsid w:val="002B0AA9"/>
    <w:rsid w:val="002B0B48"/>
    <w:rsid w:val="002E2D39"/>
    <w:rsid w:val="002F1E03"/>
    <w:rsid w:val="0031629E"/>
    <w:rsid w:val="003172DC"/>
    <w:rsid w:val="003348D7"/>
    <w:rsid w:val="0035462D"/>
    <w:rsid w:val="00361E87"/>
    <w:rsid w:val="003B1D4A"/>
    <w:rsid w:val="003B61A8"/>
    <w:rsid w:val="003C3971"/>
    <w:rsid w:val="003D1923"/>
    <w:rsid w:val="004239C7"/>
    <w:rsid w:val="004A4210"/>
    <w:rsid w:val="004A5F0C"/>
    <w:rsid w:val="004B372C"/>
    <w:rsid w:val="004B5078"/>
    <w:rsid w:val="004B6731"/>
    <w:rsid w:val="004C43A9"/>
    <w:rsid w:val="004D3578"/>
    <w:rsid w:val="004E0C1D"/>
    <w:rsid w:val="004E213A"/>
    <w:rsid w:val="004E29CC"/>
    <w:rsid w:val="004F4D5A"/>
    <w:rsid w:val="00525FF3"/>
    <w:rsid w:val="00543E6C"/>
    <w:rsid w:val="00562810"/>
    <w:rsid w:val="00565087"/>
    <w:rsid w:val="00592A9D"/>
    <w:rsid w:val="00594E26"/>
    <w:rsid w:val="005B3C73"/>
    <w:rsid w:val="005B4A0A"/>
    <w:rsid w:val="005C2897"/>
    <w:rsid w:val="005C7173"/>
    <w:rsid w:val="005D2E01"/>
    <w:rsid w:val="005D3EE8"/>
    <w:rsid w:val="00604AF7"/>
    <w:rsid w:val="00612061"/>
    <w:rsid w:val="00614FDF"/>
    <w:rsid w:val="0062745C"/>
    <w:rsid w:val="006437A9"/>
    <w:rsid w:val="006639DB"/>
    <w:rsid w:val="00663F68"/>
    <w:rsid w:val="00674E7D"/>
    <w:rsid w:val="006D1100"/>
    <w:rsid w:val="006E5C86"/>
    <w:rsid w:val="006E7FE2"/>
    <w:rsid w:val="007148E4"/>
    <w:rsid w:val="007170B2"/>
    <w:rsid w:val="00734A5B"/>
    <w:rsid w:val="00744E76"/>
    <w:rsid w:val="007577CB"/>
    <w:rsid w:val="00762BDA"/>
    <w:rsid w:val="00771315"/>
    <w:rsid w:val="00781F0F"/>
    <w:rsid w:val="007A0F21"/>
    <w:rsid w:val="007B4A73"/>
    <w:rsid w:val="007C4C45"/>
    <w:rsid w:val="007D4528"/>
    <w:rsid w:val="007F52D4"/>
    <w:rsid w:val="008028A4"/>
    <w:rsid w:val="00805820"/>
    <w:rsid w:val="00826F97"/>
    <w:rsid w:val="00836FDE"/>
    <w:rsid w:val="00843454"/>
    <w:rsid w:val="00872E34"/>
    <w:rsid w:val="008768CA"/>
    <w:rsid w:val="008877E6"/>
    <w:rsid w:val="008B735F"/>
    <w:rsid w:val="008C0085"/>
    <w:rsid w:val="008C2529"/>
    <w:rsid w:val="008F534D"/>
    <w:rsid w:val="008F6912"/>
    <w:rsid w:val="0090271F"/>
    <w:rsid w:val="00902E23"/>
    <w:rsid w:val="0090598A"/>
    <w:rsid w:val="00907978"/>
    <w:rsid w:val="0091348E"/>
    <w:rsid w:val="00917CCB"/>
    <w:rsid w:val="009228DF"/>
    <w:rsid w:val="0092774C"/>
    <w:rsid w:val="00942EC2"/>
    <w:rsid w:val="00944C13"/>
    <w:rsid w:val="00970CAD"/>
    <w:rsid w:val="00974355"/>
    <w:rsid w:val="009A2D2D"/>
    <w:rsid w:val="009B13F6"/>
    <w:rsid w:val="009B5100"/>
    <w:rsid w:val="009F37B7"/>
    <w:rsid w:val="00A10F02"/>
    <w:rsid w:val="00A164B4"/>
    <w:rsid w:val="00A53724"/>
    <w:rsid w:val="00A82346"/>
    <w:rsid w:val="00AC17A1"/>
    <w:rsid w:val="00B14246"/>
    <w:rsid w:val="00B15449"/>
    <w:rsid w:val="00B476B7"/>
    <w:rsid w:val="00B57386"/>
    <w:rsid w:val="00B92E34"/>
    <w:rsid w:val="00B96C0C"/>
    <w:rsid w:val="00BC0F7D"/>
    <w:rsid w:val="00BF1095"/>
    <w:rsid w:val="00BF1C81"/>
    <w:rsid w:val="00C17A60"/>
    <w:rsid w:val="00C33079"/>
    <w:rsid w:val="00C371B3"/>
    <w:rsid w:val="00C45231"/>
    <w:rsid w:val="00C6035E"/>
    <w:rsid w:val="00C72833"/>
    <w:rsid w:val="00C82E15"/>
    <w:rsid w:val="00C92C8B"/>
    <w:rsid w:val="00C93F40"/>
    <w:rsid w:val="00CA3B1D"/>
    <w:rsid w:val="00CA3D0C"/>
    <w:rsid w:val="00CA3D41"/>
    <w:rsid w:val="00CA47BF"/>
    <w:rsid w:val="00CB380A"/>
    <w:rsid w:val="00CC3F7F"/>
    <w:rsid w:val="00CD110C"/>
    <w:rsid w:val="00CD2E52"/>
    <w:rsid w:val="00D11B3A"/>
    <w:rsid w:val="00D2544C"/>
    <w:rsid w:val="00D4682F"/>
    <w:rsid w:val="00D56778"/>
    <w:rsid w:val="00D738D6"/>
    <w:rsid w:val="00D755EB"/>
    <w:rsid w:val="00D87E00"/>
    <w:rsid w:val="00D9134D"/>
    <w:rsid w:val="00D96451"/>
    <w:rsid w:val="00DA7A03"/>
    <w:rsid w:val="00DB1818"/>
    <w:rsid w:val="00DC309B"/>
    <w:rsid w:val="00DC4DA2"/>
    <w:rsid w:val="00DF2B1F"/>
    <w:rsid w:val="00DF62CD"/>
    <w:rsid w:val="00E13370"/>
    <w:rsid w:val="00E41C4A"/>
    <w:rsid w:val="00E448DE"/>
    <w:rsid w:val="00E77645"/>
    <w:rsid w:val="00EA7C61"/>
    <w:rsid w:val="00EC4A25"/>
    <w:rsid w:val="00EF1994"/>
    <w:rsid w:val="00EF1FC5"/>
    <w:rsid w:val="00F025A2"/>
    <w:rsid w:val="00F02CD7"/>
    <w:rsid w:val="00F04712"/>
    <w:rsid w:val="00F22EC7"/>
    <w:rsid w:val="00F26CEE"/>
    <w:rsid w:val="00F653B8"/>
    <w:rsid w:val="00FA1266"/>
    <w:rsid w:val="00FC1192"/>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https://ericsson.sharepoint.com/sites/star/Shared%20Documents/Team%20areas/RAN4%20area/OTA/TRP/All%20about%20spurious/NIST%20based%20calculatio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'Dmax according to NIST'!$F$44</c:f>
              <c:strCache>
                <c:ptCount val="1"/>
                <c:pt idx="0">
                  <c:v>Dmax (dB)</c:v>
                </c:pt>
              </c:strCache>
            </c:strRef>
          </c:tx>
          <c:spPr>
            <a:ln w="28575" cap="rnd">
              <a:solidFill>
                <a:schemeClr val="accent1"/>
              </a:solidFill>
              <a:round/>
            </a:ln>
            <a:effectLst/>
          </c:spPr>
          <c:marker>
            <c:symbol val="none"/>
          </c:marker>
          <c:cat>
            <c:numRef>
              <c:f>'Dmax according to NIST'!$E$46:$E$67</c:f>
              <c:numCache>
                <c:formatCode>General</c:formatCode>
                <c:ptCount val="22"/>
                <c:pt idx="0">
                  <c:v>5</c:v>
                </c:pt>
                <c:pt idx="1">
                  <c:v>10</c:v>
                </c:pt>
                <c:pt idx="2">
                  <c:v>15</c:v>
                </c:pt>
                <c:pt idx="3">
                  <c:v>20</c:v>
                </c:pt>
                <c:pt idx="4">
                  <c:v>25</c:v>
                </c:pt>
                <c:pt idx="5">
                  <c:v>30</c:v>
                </c:pt>
                <c:pt idx="6">
                  <c:v>35</c:v>
                </c:pt>
                <c:pt idx="7">
                  <c:v>40</c:v>
                </c:pt>
                <c:pt idx="8">
                  <c:v>45</c:v>
                </c:pt>
                <c:pt idx="9">
                  <c:v>50</c:v>
                </c:pt>
                <c:pt idx="10">
                  <c:v>55</c:v>
                </c:pt>
                <c:pt idx="11">
                  <c:v>60</c:v>
                </c:pt>
                <c:pt idx="12">
                  <c:v>65</c:v>
                </c:pt>
                <c:pt idx="13">
                  <c:v>70</c:v>
                </c:pt>
                <c:pt idx="14">
                  <c:v>75</c:v>
                </c:pt>
                <c:pt idx="15">
                  <c:v>80</c:v>
                </c:pt>
                <c:pt idx="16">
                  <c:v>85</c:v>
                </c:pt>
                <c:pt idx="17">
                  <c:v>90</c:v>
                </c:pt>
                <c:pt idx="18">
                  <c:v>95</c:v>
                </c:pt>
                <c:pt idx="19">
                  <c:v>100</c:v>
                </c:pt>
                <c:pt idx="20">
                  <c:v>105</c:v>
                </c:pt>
                <c:pt idx="21">
                  <c:v>110</c:v>
                </c:pt>
              </c:numCache>
            </c:numRef>
          </c:cat>
          <c:val>
            <c:numRef>
              <c:f>'Dmax according to NIST'!$F$45:$F$67</c:f>
              <c:numCache>
                <c:formatCode>0.00</c:formatCode>
                <c:ptCount val="23"/>
                <c:pt idx="1">
                  <c:v>7.7329657829519487</c:v>
                </c:pt>
                <c:pt idx="2">
                  <c:v>8.2089298218962927</c:v>
                </c:pt>
                <c:pt idx="3">
                  <c:v>8.4658564957544247</c:v>
                </c:pt>
                <c:pt idx="4">
                  <c:v>8.6395951000219924</c:v>
                </c:pt>
                <c:pt idx="5">
                  <c:v>8.7698281083131224</c:v>
                </c:pt>
                <c:pt idx="6">
                  <c:v>8.8734617390447159</c:v>
                </c:pt>
                <c:pt idx="7">
                  <c:v>8.9592224688184672</c:v>
                </c:pt>
                <c:pt idx="8">
                  <c:v>9.032184928355294</c:v>
                </c:pt>
                <c:pt idx="9">
                  <c:v>9.0955522636316299</c:v>
                </c:pt>
                <c:pt idx="10">
                  <c:v>9.1514715511982132</c:v>
                </c:pt>
                <c:pt idx="11">
                  <c:v>9.2014497882959887</c:v>
                </c:pt>
                <c:pt idx="12">
                  <c:v>9.2465839701181931</c:v>
                </c:pt>
                <c:pt idx="13">
                  <c:v>9.2876966181951168</c:v>
                </c:pt>
                <c:pt idx="14">
                  <c:v>9.3254197604260813</c:v>
                </c:pt>
                <c:pt idx="15">
                  <c:v>9.3602491814499249</c:v>
                </c:pt>
                <c:pt idx="16">
                  <c:v>9.3925807115050439</c:v>
                </c:pt>
                <c:pt idx="17">
                  <c:v>9.4227352311122736</c:v>
                </c:pt>
                <c:pt idx="18">
                  <c:v>9.4509763460568337</c:v>
                </c:pt>
                <c:pt idx="19">
                  <c:v>9.4775231620666798</c:v>
                </c:pt>
                <c:pt idx="20">
                  <c:v>9.502559699857775</c:v>
                </c:pt>
                <c:pt idx="21">
                  <c:v>9.5262419551733881</c:v>
                </c:pt>
                <c:pt idx="22">
                  <c:v>9.5487032752033922</c:v>
                </c:pt>
              </c:numCache>
            </c:numRef>
          </c:val>
          <c:smooth val="0"/>
          <c:extLst>
            <c:ext xmlns:c16="http://schemas.microsoft.com/office/drawing/2014/chart" uri="{C3380CC4-5D6E-409C-BE32-E72D297353CC}">
              <c16:uniqueId val="{00000000-2D91-450D-8060-855F09E8C5D0}"/>
            </c:ext>
          </c:extLst>
        </c:ser>
        <c:ser>
          <c:idx val="1"/>
          <c:order val="1"/>
          <c:tx>
            <c:v>Dmax (dB) a=1 m</c:v>
          </c:tx>
          <c:spPr>
            <a:ln w="28575" cap="rnd">
              <a:solidFill>
                <a:schemeClr val="accent2"/>
              </a:solidFill>
              <a:round/>
            </a:ln>
            <a:effectLst/>
          </c:spPr>
          <c:marker>
            <c:symbol val="none"/>
          </c:marker>
          <c:val>
            <c:numRef>
              <c:f>'Dmax according to NIST'!$H$46:$H$67</c:f>
              <c:numCache>
                <c:formatCode>0.00</c:formatCode>
                <c:ptCount val="22"/>
                <c:pt idx="0">
                  <c:v>8.2089298218962927</c:v>
                </c:pt>
                <c:pt idx="1">
                  <c:v>8.6395951000219924</c:v>
                </c:pt>
                <c:pt idx="2">
                  <c:v>8.8734617390447159</c:v>
                </c:pt>
                <c:pt idx="3">
                  <c:v>9.032184928355294</c:v>
                </c:pt>
                <c:pt idx="4">
                  <c:v>9.1514715511982132</c:v>
                </c:pt>
                <c:pt idx="5">
                  <c:v>9.2465839701181931</c:v>
                </c:pt>
                <c:pt idx="6">
                  <c:v>9.3254197604260813</c:v>
                </c:pt>
                <c:pt idx="7">
                  <c:v>9.3925807115050439</c:v>
                </c:pt>
                <c:pt idx="8">
                  <c:v>9.4509763460568337</c:v>
                </c:pt>
                <c:pt idx="9">
                  <c:v>9.502559699857775</c:v>
                </c:pt>
                <c:pt idx="10">
                  <c:v>9.5487032752033922</c:v>
                </c:pt>
                <c:pt idx="11">
                  <c:v>9.5904072582532525</c:v>
                </c:pt>
                <c:pt idx="12">
                  <c:v>9.6284223183422828</c:v>
                </c:pt>
                <c:pt idx="13">
                  <c:v>9.6633257822966581</c:v>
                </c:pt>
                <c:pt idx="14">
                  <c:v>9.6955708901551461</c:v>
                </c:pt>
                <c:pt idx="15">
                  <c:v>9.7255197721565239</c:v>
                </c:pt>
                <c:pt idx="16">
                  <c:v>9.7534661898035786</c:v>
                </c:pt>
                <c:pt idx="17">
                  <c:v>9.7796516227830104</c:v>
                </c:pt>
                <c:pt idx="18">
                  <c:v>9.804276903922597</c:v>
                </c:pt>
                <c:pt idx="19">
                  <c:v>9.8275107997886089</c:v>
                </c:pt>
                <c:pt idx="20">
                  <c:v>9.8494964488849259</c:v>
                </c:pt>
                <c:pt idx="21">
                  <c:v>9.8703562673025544</c:v>
                </c:pt>
              </c:numCache>
            </c:numRef>
          </c:val>
          <c:smooth val="0"/>
          <c:extLst>
            <c:ext xmlns:c16="http://schemas.microsoft.com/office/drawing/2014/chart" uri="{C3380CC4-5D6E-409C-BE32-E72D297353CC}">
              <c16:uniqueId val="{00000001-2D91-450D-8060-855F09E8C5D0}"/>
            </c:ext>
          </c:extLst>
        </c:ser>
        <c:dLbls>
          <c:showLegendKey val="0"/>
          <c:showVal val="0"/>
          <c:showCatName val="0"/>
          <c:showSerName val="0"/>
          <c:showPercent val="0"/>
          <c:showBubbleSize val="0"/>
        </c:dLbls>
        <c:smooth val="0"/>
        <c:axId val="726675872"/>
        <c:axId val="726676200"/>
      </c:lineChart>
      <c:catAx>
        <c:axId val="7266758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Frequency (Ghz)</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sv-SE"/>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726676200"/>
        <c:crosses val="autoZero"/>
        <c:auto val="1"/>
        <c:lblAlgn val="ctr"/>
        <c:lblOffset val="100"/>
        <c:noMultiLvlLbl val="0"/>
      </c:catAx>
      <c:valAx>
        <c:axId val="7266762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800" b="0" i="0" baseline="0">
                    <a:effectLst/>
                  </a:rPr>
                  <a:t>Dmax (dB)</a:t>
                </a:r>
                <a:endParaRPr lang="en-US">
                  <a:effectLst/>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sv-SE"/>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7266758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1C073-B787-4775-A5B5-8F53C7CBB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1003</Words>
  <Characters>5479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27</cp:revision>
  <dcterms:created xsi:type="dcterms:W3CDTF">2019-03-07T08:21:00Z</dcterms:created>
  <dcterms:modified xsi:type="dcterms:W3CDTF">2019-04-01T07:15:00Z</dcterms:modified>
</cp:coreProperties>
</file>