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1DA4062" w:rsidR="00F110CD" w:rsidRPr="000E7EA2" w:rsidRDefault="00F110CD" w:rsidP="00F110CD">
      <w:pPr>
        <w:pStyle w:val="Header"/>
        <w:tabs>
          <w:tab w:val="right" w:pos="9639"/>
        </w:tabs>
        <w:rPr>
          <w:bCs/>
          <w:noProof w:val="0"/>
          <w:sz w:val="24"/>
          <w:szCs w:val="24"/>
          <w:lang w:val="en-GB"/>
        </w:rPr>
      </w:pPr>
      <w:r w:rsidRPr="000E7EA2">
        <w:rPr>
          <w:bCs/>
          <w:noProof w:val="0"/>
          <w:sz w:val="24"/>
          <w:szCs w:val="24"/>
          <w:lang w:val="en-GB"/>
        </w:rPr>
        <w:t>3GPP TSG RA</w:t>
      </w:r>
      <w:r w:rsidR="00BA1872" w:rsidRPr="000E7EA2">
        <w:rPr>
          <w:bCs/>
          <w:noProof w:val="0"/>
          <w:sz w:val="24"/>
          <w:szCs w:val="24"/>
          <w:lang w:val="en-GB"/>
        </w:rPr>
        <w:t>N WG</w:t>
      </w:r>
      <w:r w:rsidR="00024D4C">
        <w:rPr>
          <w:bCs/>
          <w:noProof w:val="0"/>
          <w:sz w:val="24"/>
          <w:szCs w:val="24"/>
          <w:lang w:val="en-GB"/>
        </w:rPr>
        <w:t>4</w:t>
      </w:r>
      <w:r w:rsidR="00BA1872" w:rsidRPr="000E7EA2">
        <w:rPr>
          <w:bCs/>
          <w:noProof w:val="0"/>
          <w:sz w:val="24"/>
          <w:szCs w:val="24"/>
          <w:lang w:val="en-GB"/>
        </w:rPr>
        <w:t xml:space="preserve"> </w:t>
      </w:r>
      <w:r w:rsidR="00B65452" w:rsidRPr="000E7EA2">
        <w:rPr>
          <w:bCs/>
          <w:noProof w:val="0"/>
          <w:sz w:val="24"/>
          <w:szCs w:val="24"/>
          <w:lang w:val="en-GB"/>
        </w:rPr>
        <w:t>#9</w:t>
      </w:r>
      <w:r w:rsidR="00024D4C">
        <w:rPr>
          <w:bCs/>
          <w:noProof w:val="0"/>
          <w:sz w:val="24"/>
          <w:szCs w:val="24"/>
          <w:lang w:val="en-GB"/>
        </w:rPr>
        <w:t>0</w:t>
      </w:r>
      <w:r w:rsidR="001348FE" w:rsidRPr="000E7EA2">
        <w:rPr>
          <w:bCs/>
          <w:noProof w:val="0"/>
          <w:sz w:val="24"/>
          <w:szCs w:val="24"/>
          <w:lang w:val="en-GB"/>
        </w:rPr>
        <w:tab/>
      </w:r>
      <w:r w:rsidR="00BA1872" w:rsidRPr="000E7EA2">
        <w:rPr>
          <w:bCs/>
          <w:noProof w:val="0"/>
          <w:sz w:val="24"/>
          <w:szCs w:val="24"/>
          <w:lang w:val="en-GB"/>
        </w:rPr>
        <w:t>R</w:t>
      </w:r>
      <w:r w:rsidR="00024D4C">
        <w:rPr>
          <w:bCs/>
          <w:noProof w:val="0"/>
          <w:sz w:val="24"/>
          <w:szCs w:val="24"/>
          <w:lang w:val="en-GB"/>
        </w:rPr>
        <w:t>4</w:t>
      </w:r>
      <w:r w:rsidR="00BA1872" w:rsidRPr="005B42E3">
        <w:rPr>
          <w:bCs/>
          <w:noProof w:val="0"/>
          <w:sz w:val="24"/>
          <w:szCs w:val="24"/>
          <w:lang w:val="en-GB"/>
        </w:rPr>
        <w:t>-19</w:t>
      </w:r>
      <w:bookmarkStart w:id="0" w:name="_GoBack"/>
      <w:r w:rsidR="005B42E3" w:rsidRPr="005B42E3">
        <w:rPr>
          <w:bCs/>
          <w:noProof w:val="0"/>
          <w:sz w:val="24"/>
          <w:szCs w:val="24"/>
          <w:lang w:val="en-GB"/>
        </w:rPr>
        <w:t>01794</w:t>
      </w:r>
      <w:bookmarkEnd w:id="0"/>
    </w:p>
    <w:p w14:paraId="30E02940" w14:textId="4680A578" w:rsidR="00CA26CE" w:rsidRPr="000E7EA2" w:rsidRDefault="00B65452" w:rsidP="00CA26CE">
      <w:pPr>
        <w:pStyle w:val="Header"/>
        <w:rPr>
          <w:bCs/>
          <w:noProof w:val="0"/>
          <w:sz w:val="24"/>
          <w:szCs w:val="24"/>
          <w:lang w:val="en-GB"/>
        </w:rPr>
      </w:pPr>
      <w:r w:rsidRPr="000E7EA2">
        <w:rPr>
          <w:bCs/>
          <w:noProof w:val="0"/>
          <w:sz w:val="24"/>
          <w:szCs w:val="24"/>
          <w:lang w:val="en-GB"/>
        </w:rPr>
        <w:t>Athens, Greece, 25</w:t>
      </w:r>
      <w:r w:rsidRPr="000E7EA2">
        <w:rPr>
          <w:bCs/>
          <w:noProof w:val="0"/>
          <w:sz w:val="24"/>
          <w:szCs w:val="24"/>
          <w:vertAlign w:val="superscript"/>
          <w:lang w:val="en-GB"/>
        </w:rPr>
        <w:t>th</w:t>
      </w:r>
      <w:r w:rsidRPr="000E7EA2">
        <w:rPr>
          <w:bCs/>
          <w:noProof w:val="0"/>
          <w:sz w:val="24"/>
          <w:szCs w:val="24"/>
          <w:lang w:val="en-GB"/>
        </w:rPr>
        <w:t xml:space="preserve"> February – 1</w:t>
      </w:r>
      <w:r w:rsidRPr="000E7EA2">
        <w:rPr>
          <w:bCs/>
          <w:noProof w:val="0"/>
          <w:sz w:val="24"/>
          <w:szCs w:val="24"/>
          <w:vertAlign w:val="superscript"/>
          <w:lang w:val="en-GB"/>
        </w:rPr>
        <w:t>st</w:t>
      </w:r>
      <w:r w:rsidRPr="000E7EA2">
        <w:rPr>
          <w:bCs/>
          <w:noProof w:val="0"/>
          <w:sz w:val="24"/>
          <w:szCs w:val="24"/>
          <w:lang w:val="en-GB"/>
        </w:rPr>
        <w:t xml:space="preserve"> </w:t>
      </w:r>
      <w:proofErr w:type="gramStart"/>
      <w:r w:rsidRPr="000E7EA2">
        <w:rPr>
          <w:bCs/>
          <w:noProof w:val="0"/>
          <w:sz w:val="24"/>
          <w:szCs w:val="24"/>
          <w:lang w:val="en-GB"/>
        </w:rPr>
        <w:t>March</w:t>
      </w:r>
      <w:r w:rsidR="00BA1872" w:rsidRPr="000E7EA2">
        <w:rPr>
          <w:bCs/>
          <w:noProof w:val="0"/>
          <w:sz w:val="24"/>
          <w:szCs w:val="24"/>
          <w:lang w:val="en-GB"/>
        </w:rPr>
        <w:t>,</w:t>
      </w:r>
      <w:proofErr w:type="gramEnd"/>
      <w:r w:rsidR="00BA1872" w:rsidRPr="000E7EA2">
        <w:rPr>
          <w:bCs/>
          <w:noProof w:val="0"/>
          <w:sz w:val="24"/>
          <w:szCs w:val="24"/>
          <w:lang w:val="en-GB"/>
        </w:rPr>
        <w:t xml:space="preserve"> 2019</w:t>
      </w:r>
    </w:p>
    <w:p w14:paraId="2CFE1919" w14:textId="77777777" w:rsidR="00850D96" w:rsidRPr="000E7EA2" w:rsidRDefault="00850D96" w:rsidP="00CA26CE">
      <w:pPr>
        <w:pStyle w:val="Header"/>
        <w:rPr>
          <w:bCs/>
          <w:noProof w:val="0"/>
          <w:sz w:val="24"/>
          <w:lang w:val="en-GB" w:eastAsia="ja-JP"/>
        </w:rPr>
      </w:pPr>
    </w:p>
    <w:p w14:paraId="0AAC9656" w14:textId="77777777" w:rsidR="00024D4C" w:rsidRPr="00841BCD" w:rsidRDefault="00024D4C" w:rsidP="00024D4C">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1A1028BA" w14:textId="0BA829FC" w:rsidR="00024D4C" w:rsidRPr="00742006" w:rsidRDefault="00024D4C" w:rsidP="00024D4C">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sidR="00450515" w:rsidRPr="00742006">
        <w:rPr>
          <w:rFonts w:ascii="Arial" w:eastAsia="Calibri" w:hAnsi="Arial" w:cs="Arial"/>
          <w:b/>
          <w:bCs/>
          <w:sz w:val="24"/>
        </w:rPr>
        <w:t>NR mobility enhancements Discussion</w:t>
      </w:r>
      <w:r w:rsidRPr="00742006" w:rsidDel="000A742C">
        <w:rPr>
          <w:rFonts w:ascii="Arial" w:eastAsia="Calibri" w:hAnsi="Arial" w:cs="Arial"/>
          <w:b/>
          <w:bCs/>
          <w:sz w:val="24"/>
        </w:rPr>
        <w:t xml:space="preserve"> </w:t>
      </w:r>
    </w:p>
    <w:p w14:paraId="78F725FC" w14:textId="6F3C6AF8" w:rsidR="00024D4C" w:rsidRPr="00742006" w:rsidRDefault="00024D4C" w:rsidP="00024D4C">
      <w:pPr>
        <w:tabs>
          <w:tab w:val="left" w:pos="1985"/>
        </w:tabs>
        <w:spacing w:after="120"/>
        <w:rPr>
          <w:rFonts w:ascii="Arial" w:eastAsia="MS Mincho" w:hAnsi="Arial" w:cs="Arial"/>
          <w:b/>
          <w:bCs/>
          <w:sz w:val="24"/>
        </w:rPr>
      </w:pPr>
      <w:r w:rsidRPr="00742006">
        <w:rPr>
          <w:rFonts w:ascii="Arial" w:eastAsia="MS Mincho" w:hAnsi="Arial" w:cs="Arial"/>
          <w:b/>
          <w:bCs/>
          <w:sz w:val="24"/>
        </w:rPr>
        <w:t>Agenda item:</w:t>
      </w:r>
      <w:r w:rsidRPr="00742006">
        <w:rPr>
          <w:rFonts w:ascii="Arial" w:eastAsia="MS Mincho" w:hAnsi="Arial" w:cs="Arial"/>
          <w:b/>
          <w:bCs/>
          <w:sz w:val="24"/>
        </w:rPr>
        <w:tab/>
      </w:r>
      <w:r w:rsidR="00742006" w:rsidRPr="00742006">
        <w:rPr>
          <w:rFonts w:ascii="Arial" w:eastAsia="MS Mincho" w:hAnsi="Arial" w:cs="Arial"/>
          <w:b/>
          <w:bCs/>
          <w:sz w:val="24"/>
        </w:rPr>
        <w:t>8.3.1</w:t>
      </w:r>
    </w:p>
    <w:p w14:paraId="3C791A26" w14:textId="77777777" w:rsidR="00024D4C" w:rsidRPr="00841BCD" w:rsidRDefault="00024D4C" w:rsidP="00024D4C">
      <w:pPr>
        <w:tabs>
          <w:tab w:val="left" w:pos="1985"/>
        </w:tabs>
        <w:rPr>
          <w:rFonts w:ascii="Arial" w:eastAsia="Calibri" w:hAnsi="Arial" w:cs="Arial"/>
          <w:b/>
          <w:bCs/>
          <w:sz w:val="24"/>
        </w:rPr>
      </w:pPr>
      <w:r w:rsidRPr="00742006">
        <w:rPr>
          <w:rFonts w:ascii="Arial" w:eastAsia="Calibri" w:hAnsi="Arial" w:cs="Arial"/>
          <w:b/>
          <w:bCs/>
          <w:sz w:val="24"/>
        </w:rPr>
        <w:t>Document for:</w:t>
      </w:r>
      <w:r w:rsidRPr="00742006">
        <w:rPr>
          <w:rFonts w:ascii="Arial" w:eastAsia="Calibri" w:hAnsi="Arial" w:cs="Arial"/>
          <w:b/>
          <w:bCs/>
          <w:sz w:val="24"/>
        </w:rPr>
        <w:tab/>
        <w:t>Discussion</w:t>
      </w:r>
    </w:p>
    <w:p w14:paraId="7CF7938E" w14:textId="7E19F756" w:rsidR="00ED1327" w:rsidRPr="000E7EA2" w:rsidRDefault="00EE7FA7" w:rsidP="00ED1327">
      <w:pPr>
        <w:pStyle w:val="Heading1"/>
      </w:pPr>
      <w:r w:rsidRPr="000E7EA2">
        <w:t>Introduction</w:t>
      </w:r>
    </w:p>
    <w:p w14:paraId="3F9F87EF" w14:textId="67EC3BF3" w:rsidR="00671655" w:rsidRPr="000E7EA2" w:rsidRDefault="00671655" w:rsidP="00A64A6E">
      <w:bookmarkStart w:id="1" w:name="_Hlk510705081"/>
      <w:r w:rsidRPr="000E7EA2">
        <w:t xml:space="preserve">A new WID on NR mobility enhancements was agreed in RAN Plenary meeting #80 </w:t>
      </w:r>
      <w:r w:rsidRPr="000E7EA2">
        <w:fldChar w:fldCharType="begin"/>
      </w:r>
      <w:r w:rsidRPr="000E7EA2">
        <w:instrText xml:space="preserve"> REF _Ref769929 \r \h </w:instrText>
      </w:r>
      <w:r w:rsidRPr="000E7EA2">
        <w:fldChar w:fldCharType="separate"/>
      </w:r>
      <w:r w:rsidRPr="000E7EA2">
        <w:t>[1]</w:t>
      </w:r>
      <w:r w:rsidRPr="000E7EA2">
        <w:fldChar w:fldCharType="end"/>
      </w:r>
      <w:r w:rsidRPr="000E7EA2">
        <w:t>. The objectives</w:t>
      </w:r>
      <w:r w:rsidR="00703C15" w:rsidRPr="000E7EA2">
        <w:t xml:space="preserve"> to be considered in the</w:t>
      </w:r>
      <w:r w:rsidRPr="000E7EA2">
        <w:t xml:space="preserve"> work item are as follows:</w:t>
      </w:r>
    </w:p>
    <w:tbl>
      <w:tblPr>
        <w:tblStyle w:val="TableGrid"/>
        <w:tblW w:w="0" w:type="auto"/>
        <w:tblLook w:val="04A0" w:firstRow="1" w:lastRow="0" w:firstColumn="1" w:lastColumn="0" w:noHBand="0" w:noVBand="1"/>
      </w:tblPr>
      <w:tblGrid>
        <w:gridCol w:w="9629"/>
      </w:tblGrid>
      <w:tr w:rsidR="00671655" w:rsidRPr="000E7EA2" w14:paraId="2578D495" w14:textId="77777777" w:rsidTr="00671655">
        <w:tc>
          <w:tcPr>
            <w:tcW w:w="9629" w:type="dxa"/>
          </w:tcPr>
          <w:p w14:paraId="6C28D243" w14:textId="77777777" w:rsidR="00671655" w:rsidRPr="00671655" w:rsidRDefault="00671655" w:rsidP="00671655">
            <w:pPr>
              <w:numPr>
                <w:ilvl w:val="0"/>
                <w:numId w:val="15"/>
              </w:numPr>
              <w:rPr>
                <w:rFonts w:eastAsia="MS Mincho"/>
                <w:lang w:eastAsia="ja-JP"/>
              </w:rPr>
            </w:pPr>
            <w:r w:rsidRPr="00671655">
              <w:rPr>
                <w:rFonts w:eastAsia="MS Mincho"/>
                <w:lang w:eastAsia="ja-JP"/>
              </w:rPr>
              <w:t xml:space="preserve">To study solution(s) to reduce interruption time during HO/SCG change focusing on the following identified solutions but not limited. </w:t>
            </w:r>
          </w:p>
          <w:p w14:paraId="75174B19"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Handover/SCG change with simultaneous connectivity with source cell and target cell. </w:t>
            </w:r>
          </w:p>
          <w:p w14:paraId="19A8FA8A"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Make-before-break </w:t>
            </w:r>
          </w:p>
          <w:p w14:paraId="02A04EBD" w14:textId="77777777" w:rsidR="00671655" w:rsidRPr="00671655" w:rsidRDefault="00671655" w:rsidP="00671655">
            <w:pPr>
              <w:numPr>
                <w:ilvl w:val="1"/>
                <w:numId w:val="15"/>
              </w:numPr>
              <w:rPr>
                <w:rFonts w:eastAsia="MS Mincho"/>
                <w:lang w:eastAsia="ja-JP"/>
              </w:rPr>
            </w:pPr>
            <w:r w:rsidRPr="00671655">
              <w:rPr>
                <w:rFonts w:eastAsia="MS Mincho" w:cs="Calibri"/>
                <w:bCs/>
                <w:lang w:eastAsia="zh-CN"/>
              </w:rPr>
              <w:t xml:space="preserve">RACH-less handover </w:t>
            </w:r>
          </w:p>
          <w:p w14:paraId="5AF94A87" w14:textId="77777777" w:rsidR="00671655" w:rsidRPr="00671655" w:rsidRDefault="00671655" w:rsidP="00671655">
            <w:pPr>
              <w:numPr>
                <w:ilvl w:val="0"/>
                <w:numId w:val="15"/>
              </w:numPr>
              <w:rPr>
                <w:rFonts w:eastAsia="MS Mincho"/>
                <w:lang w:eastAsia="ja-JP"/>
              </w:rPr>
            </w:pPr>
            <w:r w:rsidRPr="00671655">
              <w:rPr>
                <w:rFonts w:eastAsia="MS Mincho"/>
                <w:lang w:eastAsia="ja-JP"/>
              </w:rPr>
              <w:t xml:space="preserve">To study solution(s) to improve HO/SCG change reliability and robustness especially considering challenges in high/med frequency focusing on the following identified solutions but not limited. </w:t>
            </w:r>
          </w:p>
          <w:p w14:paraId="28ACFAC8"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Conditional handover </w:t>
            </w:r>
          </w:p>
          <w:p w14:paraId="0F1D9E0E" w14:textId="77777777" w:rsidR="00671655" w:rsidRPr="00671655" w:rsidRDefault="00671655" w:rsidP="00671655">
            <w:pPr>
              <w:numPr>
                <w:ilvl w:val="1"/>
                <w:numId w:val="15"/>
              </w:numPr>
              <w:rPr>
                <w:rFonts w:eastAsia="MS Mincho"/>
                <w:lang w:eastAsia="ja-JP"/>
              </w:rPr>
            </w:pPr>
            <w:r w:rsidRPr="00671655">
              <w:rPr>
                <w:rFonts w:eastAsia="MS Mincho"/>
                <w:lang w:eastAsia="ja-JP"/>
              </w:rPr>
              <w:t xml:space="preserve">Fast handover failure recovery </w:t>
            </w:r>
          </w:p>
          <w:p w14:paraId="7E4538ED" w14:textId="77777777" w:rsidR="00671655" w:rsidRPr="00671655" w:rsidRDefault="00671655" w:rsidP="00671655">
            <w:pPr>
              <w:ind w:left="568" w:hanging="284"/>
              <w:rPr>
                <w:rFonts w:eastAsia="MS Mincho"/>
                <w:lang w:eastAsia="ja-JP"/>
              </w:rPr>
            </w:pPr>
            <w:r w:rsidRPr="00671655">
              <w:rPr>
                <w:rFonts w:eastAsia="MS Mincho"/>
                <w:lang w:eastAsia="ja-JP"/>
              </w:rPr>
              <w:t xml:space="preserve">RAN2 should avoid increasing signalling overhead. </w:t>
            </w:r>
          </w:p>
          <w:p w14:paraId="6700D1AD" w14:textId="0FAE0B92" w:rsidR="00671655" w:rsidRPr="000E7EA2" w:rsidRDefault="00671655" w:rsidP="00671655">
            <w:pPr>
              <w:ind w:left="568" w:hanging="284"/>
              <w:rPr>
                <w:rFonts w:eastAsia="MS Mincho" w:cs="Calibri"/>
                <w:lang w:eastAsia="zh-CN"/>
              </w:rPr>
            </w:pPr>
            <w:r w:rsidRPr="00671655">
              <w:rPr>
                <w:rFonts w:eastAsia="MS Mincho" w:cs="Calibri"/>
                <w:lang w:eastAsia="zh-CN"/>
              </w:rPr>
              <w:t xml:space="preserve">Note: LTE mobility enhancements should be used for baseline for fast handover failure recovery, Make-before-break and RACH-less handover. </w:t>
            </w:r>
          </w:p>
        </w:tc>
      </w:tr>
    </w:tbl>
    <w:p w14:paraId="40FA923B" w14:textId="6CC4CBEA" w:rsidR="00671655" w:rsidRPr="000E7EA2" w:rsidRDefault="00671655" w:rsidP="00A64A6E"/>
    <w:p w14:paraId="3D9E8A1D" w14:textId="4D3EAA8D" w:rsidR="00703C15" w:rsidRPr="000E7EA2" w:rsidRDefault="00703C15" w:rsidP="00A64A6E">
      <w:r w:rsidRPr="000E7EA2">
        <w:t xml:space="preserve">Following aspects should be considered in above objectives </w:t>
      </w:r>
      <w:r w:rsidRPr="000E7EA2">
        <w:fldChar w:fldCharType="begin"/>
      </w:r>
      <w:r w:rsidRPr="000E7EA2">
        <w:instrText xml:space="preserve"> REF _Ref769929 \r \h </w:instrText>
      </w:r>
      <w:r w:rsidRPr="000E7EA2">
        <w:fldChar w:fldCharType="separate"/>
      </w:r>
      <w:r w:rsidRPr="000E7EA2">
        <w:t>[1]</w:t>
      </w:r>
      <w:r w:rsidRPr="000E7EA2">
        <w:fldChar w:fldCharType="end"/>
      </w:r>
      <w:r w:rsidRPr="000E7EA2">
        <w:t>:</w:t>
      </w:r>
    </w:p>
    <w:tbl>
      <w:tblPr>
        <w:tblStyle w:val="TableGrid"/>
        <w:tblW w:w="0" w:type="auto"/>
        <w:tblLook w:val="04A0" w:firstRow="1" w:lastRow="0" w:firstColumn="1" w:lastColumn="0" w:noHBand="0" w:noVBand="1"/>
      </w:tblPr>
      <w:tblGrid>
        <w:gridCol w:w="9629"/>
      </w:tblGrid>
      <w:tr w:rsidR="00703C15" w:rsidRPr="000E7EA2" w14:paraId="6ED637E6" w14:textId="77777777" w:rsidTr="008A5EF9">
        <w:tc>
          <w:tcPr>
            <w:tcW w:w="9629" w:type="dxa"/>
          </w:tcPr>
          <w:p w14:paraId="7B193193" w14:textId="77777777" w:rsidR="00703C15" w:rsidRPr="00703C15" w:rsidRDefault="00703C15" w:rsidP="00703C15">
            <w:pPr>
              <w:ind w:leftChars="200" w:left="400" w:firstLine="720"/>
              <w:rPr>
                <w:rFonts w:ascii="Gulim" w:eastAsia="Gulim" w:hAnsi="Gulim"/>
                <w:sz w:val="24"/>
                <w:szCs w:val="24"/>
                <w:lang w:eastAsia="zh-CN"/>
              </w:rPr>
            </w:pPr>
            <w:r w:rsidRPr="00703C15">
              <w:rPr>
                <w:rFonts w:eastAsia="MS Mincho"/>
                <w:lang w:eastAsia="zh-CN"/>
              </w:rPr>
              <w:t>- Inter and intra frequency handover/SCG change</w:t>
            </w:r>
          </w:p>
          <w:p w14:paraId="108FD120" w14:textId="77777777" w:rsidR="00703C15" w:rsidRPr="00703C15" w:rsidRDefault="00703C15" w:rsidP="00703C15">
            <w:pPr>
              <w:ind w:leftChars="200" w:left="400" w:firstLine="720"/>
              <w:rPr>
                <w:rFonts w:eastAsia="MS Mincho"/>
                <w:lang w:eastAsia="zh-CN"/>
              </w:rPr>
            </w:pPr>
            <w:r w:rsidRPr="00703C15">
              <w:rPr>
                <w:rFonts w:eastAsia="MS Mincho"/>
                <w:lang w:eastAsia="zh-CN"/>
              </w:rPr>
              <w:t>- Inter-CU, intra-CU/inter-DU and intra-DU handover/SCG change</w:t>
            </w:r>
          </w:p>
          <w:p w14:paraId="7856661A" w14:textId="77777777" w:rsidR="00703C15" w:rsidRPr="00703C15" w:rsidRDefault="00703C15" w:rsidP="00703C15">
            <w:pPr>
              <w:ind w:leftChars="200" w:left="400" w:firstLine="720"/>
              <w:rPr>
                <w:rFonts w:eastAsia="MS Mincho"/>
                <w:lang w:eastAsia="zh-CN"/>
              </w:rPr>
            </w:pPr>
            <w:r w:rsidRPr="00703C15">
              <w:rPr>
                <w:rFonts w:eastAsia="MS Mincho"/>
                <w:lang w:eastAsia="zh-CN"/>
              </w:rPr>
              <w:t>- Synchronous and asynchronous deployments as assumed in Rel-15 NR</w:t>
            </w:r>
          </w:p>
          <w:p w14:paraId="2597FD77" w14:textId="77777777" w:rsidR="00703C15" w:rsidRPr="00703C15" w:rsidRDefault="00703C15" w:rsidP="00703C15">
            <w:pPr>
              <w:ind w:leftChars="200" w:left="400" w:firstLine="720"/>
              <w:rPr>
                <w:rFonts w:eastAsia="MS Mincho"/>
                <w:lang w:eastAsia="zh-CN"/>
              </w:rPr>
            </w:pPr>
            <w:r w:rsidRPr="00703C15">
              <w:rPr>
                <w:rFonts w:eastAsia="MS Mincho"/>
                <w:lang w:eastAsia="zh-CN"/>
              </w:rPr>
              <w:t>- UE capability on the number of Tx/Rx chains</w:t>
            </w:r>
          </w:p>
          <w:p w14:paraId="52E3882F" w14:textId="77777777" w:rsidR="00703C15" w:rsidRPr="00703C15" w:rsidRDefault="00703C15" w:rsidP="00703C15">
            <w:pPr>
              <w:ind w:leftChars="200" w:left="400" w:firstLine="720"/>
              <w:rPr>
                <w:rFonts w:eastAsia="MS Mincho"/>
                <w:lang w:eastAsia="zh-CN"/>
              </w:rPr>
            </w:pPr>
            <w:r w:rsidRPr="00703C15">
              <w:rPr>
                <w:rFonts w:eastAsia="MS Mincho"/>
                <w:lang w:eastAsia="zh-CN"/>
              </w:rPr>
              <w:t>- Low and high velocity</w:t>
            </w:r>
          </w:p>
          <w:p w14:paraId="069720E9" w14:textId="2592D744" w:rsidR="00703C15" w:rsidRPr="000E7EA2" w:rsidRDefault="00703C15" w:rsidP="00703C15">
            <w:pPr>
              <w:ind w:leftChars="200" w:left="400" w:firstLine="720"/>
              <w:rPr>
                <w:rFonts w:eastAsia="MS Mincho"/>
                <w:lang w:eastAsia="zh-CN"/>
              </w:rPr>
            </w:pPr>
            <w:r w:rsidRPr="00703C15">
              <w:rPr>
                <w:rFonts w:eastAsia="MS Mincho"/>
                <w:lang w:eastAsia="zh-CN"/>
              </w:rPr>
              <w:t>- FR1 and FR2 frequencies</w:t>
            </w:r>
          </w:p>
        </w:tc>
      </w:tr>
    </w:tbl>
    <w:p w14:paraId="54CFCCC3" w14:textId="7821AFCC" w:rsidR="00703C15" w:rsidRPr="000E7EA2" w:rsidRDefault="00703C15" w:rsidP="00A64A6E"/>
    <w:p w14:paraId="3F621760" w14:textId="0FBBC122" w:rsidR="00703C15" w:rsidRPr="000E7EA2" w:rsidRDefault="00703C15" w:rsidP="00A64A6E">
      <w:r w:rsidRPr="000E7EA2">
        <w:t xml:space="preserve">In this contribution we discuss the solutions related to the interruption reduction during HO/SCG change </w:t>
      </w:r>
      <w:proofErr w:type="gramStart"/>
      <w:r w:rsidRPr="000E7EA2">
        <w:t>and also</w:t>
      </w:r>
      <w:proofErr w:type="gramEnd"/>
      <w:r w:rsidRPr="000E7EA2">
        <w:t xml:space="preserve"> solutions related to improve the reliability of HO/SCG change.</w:t>
      </w:r>
    </w:p>
    <w:p w14:paraId="71230483" w14:textId="0BB1CFFA" w:rsidR="00305297" w:rsidRPr="000E7EA2" w:rsidRDefault="00703C15" w:rsidP="00A23DCA">
      <w:pPr>
        <w:pStyle w:val="Heading1"/>
      </w:pPr>
      <w:proofErr w:type="spellStart"/>
      <w:r w:rsidRPr="000E7EA2">
        <w:lastRenderedPageBreak/>
        <w:t>Interuption</w:t>
      </w:r>
      <w:proofErr w:type="spellEnd"/>
      <w:r w:rsidRPr="000E7EA2">
        <w:t xml:space="preserve"> time reduction in HO/SCG change</w:t>
      </w:r>
    </w:p>
    <w:bookmarkEnd w:id="1"/>
    <w:p w14:paraId="4DA36C09" w14:textId="4DA19217" w:rsidR="0080762A" w:rsidRPr="000E7EA2" w:rsidRDefault="0080762A" w:rsidP="0080762A">
      <w:pPr>
        <w:pStyle w:val="Heading2"/>
      </w:pPr>
      <w:proofErr w:type="spellStart"/>
      <w:r w:rsidRPr="000E7EA2">
        <w:t>Interuption</w:t>
      </w:r>
      <w:proofErr w:type="spellEnd"/>
      <w:r w:rsidRPr="000E7EA2">
        <w:t xml:space="preserve"> time</w:t>
      </w:r>
    </w:p>
    <w:p w14:paraId="3DA6C55D" w14:textId="36B45EA3" w:rsidR="00703C15" w:rsidRPr="000E7EA2" w:rsidRDefault="00703C15" w:rsidP="00703C15">
      <w:pPr>
        <w:rPr>
          <w:rFonts w:eastAsiaTheme="minorEastAsia"/>
        </w:rPr>
      </w:pPr>
      <w:r w:rsidRPr="325A2DA7">
        <w:rPr>
          <w:rFonts w:eastAsiaTheme="minorEastAsia"/>
        </w:rPr>
        <w:t>The</w:t>
      </w:r>
      <w:r w:rsidRPr="000E7EA2">
        <w:t xml:space="preserve"> </w:t>
      </w:r>
      <w:r w:rsidRPr="325A2DA7">
        <w:rPr>
          <w:rFonts w:eastAsiaTheme="minorEastAsia"/>
        </w:rPr>
        <w:t>service interruption time has been defined for LTE in</w:t>
      </w:r>
      <w:r w:rsidR="00E61A5D" w:rsidRPr="325A2DA7">
        <w:rPr>
          <w:rFonts w:eastAsiaTheme="minorEastAsia"/>
        </w:rPr>
        <w:t xml:space="preserve"> 36.881</w:t>
      </w:r>
      <w:r w:rsidRPr="325A2DA7">
        <w:rPr>
          <w:rFonts w:eastAsiaTheme="minorEastAsia"/>
        </w:rPr>
        <w:t xml:space="preserve"> </w:t>
      </w:r>
      <w:r w:rsidRPr="325A2DA7">
        <w:fldChar w:fldCharType="begin"/>
      </w:r>
      <w:r w:rsidRPr="000E7EA2">
        <w:rPr>
          <w:rFonts w:eastAsiaTheme="minorHAnsi"/>
        </w:rPr>
        <w:instrText xml:space="preserve"> REF _Ref770993 \r \h </w:instrText>
      </w:r>
      <w:r w:rsidRPr="325A2DA7">
        <w:rPr>
          <w:rFonts w:eastAsiaTheme="minorHAnsi"/>
        </w:rPr>
        <w:fldChar w:fldCharType="separate"/>
      </w:r>
      <w:r w:rsidRPr="325A2DA7">
        <w:rPr>
          <w:rFonts w:eastAsiaTheme="minorEastAsia"/>
        </w:rPr>
        <w:t>[2]</w:t>
      </w:r>
      <w:r w:rsidRPr="325A2DA7">
        <w:fldChar w:fldCharType="end"/>
      </w:r>
      <w:r w:rsidRPr="325A2DA7">
        <w:rPr>
          <w:rFonts w:eastAsiaTheme="minorEastAsia"/>
        </w:rPr>
        <w:t xml:space="preserve">. It is determined as the duration between the point in time when the UE stops transmission/reception with the source eNB and the time when target eNB resumes the transmission/reception with the UE. </w:t>
      </w:r>
      <w:r w:rsidR="00E61A5D" w:rsidRPr="325A2DA7">
        <w:rPr>
          <w:rFonts w:eastAsiaTheme="minorEastAsia"/>
        </w:rPr>
        <w:t xml:space="preserve">Figure 1 below depicts the service interruption time in baseline NR HO as defined in 38.300 </w:t>
      </w:r>
      <w:r w:rsidR="00E61A5D" w:rsidRPr="325A2DA7">
        <w:fldChar w:fldCharType="begin"/>
      </w:r>
      <w:r w:rsidR="00E61A5D" w:rsidRPr="000E7EA2">
        <w:rPr>
          <w:rFonts w:eastAsiaTheme="minorHAnsi"/>
        </w:rPr>
        <w:instrText xml:space="preserve"> REF _Ref534981440 \r \h </w:instrText>
      </w:r>
      <w:r w:rsidR="00E61A5D" w:rsidRPr="325A2DA7">
        <w:rPr>
          <w:rFonts w:eastAsiaTheme="minorHAnsi"/>
        </w:rPr>
        <w:fldChar w:fldCharType="separate"/>
      </w:r>
      <w:r w:rsidR="00E61A5D" w:rsidRPr="325A2DA7">
        <w:rPr>
          <w:rFonts w:eastAsiaTheme="minorEastAsia"/>
        </w:rPr>
        <w:t>[3]</w:t>
      </w:r>
      <w:r w:rsidR="00E61A5D" w:rsidRPr="325A2DA7">
        <w:fldChar w:fldCharType="end"/>
      </w:r>
      <w:r w:rsidR="00E61A5D" w:rsidRPr="325A2DA7">
        <w:rPr>
          <w:rFonts w:eastAsiaTheme="minorEastAsia"/>
        </w:rPr>
        <w:t xml:space="preserve">. The service interruption time starts upon the reception of the HO command and ends with transmission of RRC Reconfiguration Complete message to the target </w:t>
      </w:r>
      <w:proofErr w:type="spellStart"/>
      <w:r w:rsidR="00E61A5D" w:rsidRPr="325A2DA7">
        <w:rPr>
          <w:rFonts w:eastAsiaTheme="minorEastAsia"/>
        </w:rPr>
        <w:t>gNB</w:t>
      </w:r>
      <w:proofErr w:type="spellEnd"/>
      <w:r w:rsidR="00E61A5D" w:rsidRPr="325A2DA7">
        <w:rPr>
          <w:rFonts w:eastAsiaTheme="minorEastAsia"/>
        </w:rPr>
        <w:t xml:space="preserve">. </w:t>
      </w:r>
      <w:proofErr w:type="gramStart"/>
      <w:r w:rsidR="00E61A5D" w:rsidRPr="325A2DA7">
        <w:rPr>
          <w:rFonts w:eastAsiaTheme="minorEastAsia"/>
        </w:rPr>
        <w:t>Thus</w:t>
      </w:r>
      <w:proofErr w:type="gramEnd"/>
      <w:r w:rsidRPr="325A2DA7">
        <w:rPr>
          <w:rFonts w:eastAsiaTheme="minorEastAsia"/>
        </w:rPr>
        <w:t xml:space="preserve"> would appear that same </w:t>
      </w:r>
      <w:r w:rsidR="00E61A5D" w:rsidRPr="325A2DA7">
        <w:rPr>
          <w:rFonts w:eastAsiaTheme="minorEastAsia"/>
        </w:rPr>
        <w:t xml:space="preserve">definition of interruption time could be also applied in </w:t>
      </w:r>
      <w:r w:rsidRPr="325A2DA7">
        <w:rPr>
          <w:rFonts w:eastAsiaTheme="minorEastAsia"/>
        </w:rPr>
        <w:t>NR</w:t>
      </w:r>
      <w:r w:rsidR="00E61A5D" w:rsidRPr="325A2DA7">
        <w:rPr>
          <w:rFonts w:eastAsiaTheme="minorEastAsia"/>
        </w:rPr>
        <w:t xml:space="preserve"> mobility enhancements</w:t>
      </w:r>
      <w:r w:rsidRPr="325A2DA7">
        <w:rPr>
          <w:rFonts w:eastAsiaTheme="minorEastAsia"/>
        </w:rPr>
        <w:t>.</w:t>
      </w:r>
    </w:p>
    <w:p w14:paraId="4EC082A0" w14:textId="5728733D" w:rsidR="00E61A5D" w:rsidRPr="000E7EA2" w:rsidRDefault="00E61A5D" w:rsidP="00703C15">
      <w:pPr>
        <w:rPr>
          <w:rFonts w:eastAsiaTheme="minorHAnsi"/>
        </w:rPr>
      </w:pPr>
      <w:r w:rsidRPr="000E7EA2">
        <w:rPr>
          <w:rFonts w:eastAsiaTheme="minorHAnsi"/>
          <w:b/>
        </w:rPr>
        <w:t>Observation</w:t>
      </w:r>
      <w:r w:rsidR="00B51B9A">
        <w:rPr>
          <w:rFonts w:eastAsiaTheme="minorHAnsi"/>
          <w:b/>
        </w:rPr>
        <w:t xml:space="preserve"> 1</w:t>
      </w:r>
      <w:r w:rsidRPr="000E7EA2">
        <w:rPr>
          <w:rFonts w:eastAsiaTheme="minorHAnsi"/>
          <w:b/>
        </w:rPr>
        <w:t>:</w:t>
      </w:r>
      <w:r w:rsidRPr="000E7EA2">
        <w:rPr>
          <w:rFonts w:eastAsiaTheme="minorHAnsi"/>
        </w:rPr>
        <w:t xml:space="preserve"> T</w:t>
      </w:r>
      <w:r w:rsidR="000F6D8E" w:rsidRPr="000E7EA2">
        <w:rPr>
          <w:rFonts w:eastAsiaTheme="minorHAnsi"/>
        </w:rPr>
        <w:t>he service interruption in NR can be</w:t>
      </w:r>
      <w:r w:rsidRPr="000E7EA2">
        <w:rPr>
          <w:rFonts w:eastAsiaTheme="minorHAnsi"/>
        </w:rPr>
        <w:t xml:space="preserve"> defined as the duration between the point in time when the UE stops transmission/reception with the source </w:t>
      </w:r>
      <w:proofErr w:type="spellStart"/>
      <w:r w:rsidRPr="000E7EA2">
        <w:rPr>
          <w:rFonts w:eastAsiaTheme="minorHAnsi"/>
        </w:rPr>
        <w:t>gNB</w:t>
      </w:r>
      <w:proofErr w:type="spellEnd"/>
      <w:r w:rsidRPr="000E7EA2">
        <w:rPr>
          <w:rFonts w:eastAsiaTheme="minorHAnsi"/>
        </w:rPr>
        <w:t xml:space="preserve"> and the time when target </w:t>
      </w:r>
      <w:proofErr w:type="spellStart"/>
      <w:r w:rsidRPr="000E7EA2">
        <w:rPr>
          <w:rFonts w:eastAsiaTheme="minorHAnsi"/>
        </w:rPr>
        <w:t>gNB</w:t>
      </w:r>
      <w:proofErr w:type="spellEnd"/>
      <w:r w:rsidRPr="000E7EA2">
        <w:rPr>
          <w:rFonts w:eastAsiaTheme="minorHAnsi"/>
        </w:rPr>
        <w:t xml:space="preserve"> resumes the transmission/reception with the UE after UE has sent </w:t>
      </w:r>
      <w:proofErr w:type="spellStart"/>
      <w:r w:rsidRPr="000E7EA2">
        <w:rPr>
          <w:rFonts w:eastAsiaTheme="minorHAnsi"/>
          <w:i/>
        </w:rPr>
        <w:t>RRCReconfigurationComplete</w:t>
      </w:r>
      <w:proofErr w:type="spellEnd"/>
      <w:r w:rsidRPr="000E7EA2">
        <w:rPr>
          <w:rFonts w:eastAsiaTheme="minorHAnsi"/>
        </w:rPr>
        <w:t xml:space="preserve">.   </w:t>
      </w:r>
    </w:p>
    <w:p w14:paraId="2FB21F28" w14:textId="4A8F01DE" w:rsidR="00A23DCA" w:rsidRPr="000E7EA2" w:rsidRDefault="00A23DCA" w:rsidP="006A0DD3"/>
    <w:p w14:paraId="0C3F677A" w14:textId="77777777" w:rsidR="00E61A5D" w:rsidRPr="000E7EA2" w:rsidRDefault="00E61A5D" w:rsidP="00E61A5D">
      <w:pPr>
        <w:ind w:firstLine="708"/>
      </w:pPr>
      <w:r w:rsidRPr="000E7EA2">
        <w:rPr>
          <w:noProof/>
        </w:rPr>
        <w:drawing>
          <wp:inline distT="0" distB="0" distL="0" distR="0" wp14:anchorId="56479D59" wp14:editId="688B4D03">
            <wp:extent cx="4952365" cy="40671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png"/>
                    <pic:cNvPicPr/>
                  </pic:nvPicPr>
                  <pic:blipFill rotWithShape="1">
                    <a:blip r:embed="rId13">
                      <a:extLst>
                        <a:ext uri="{28A0092B-C50C-407E-A947-70E740481C1C}">
                          <a14:useLocalDpi xmlns:a14="http://schemas.microsoft.com/office/drawing/2010/main" val="0"/>
                        </a:ext>
                      </a:extLst>
                    </a:blip>
                    <a:srcRect t="-1" b="612"/>
                    <a:stretch/>
                  </pic:blipFill>
                  <pic:spPr bwMode="auto">
                    <a:xfrm>
                      <a:off x="0" y="0"/>
                      <a:ext cx="4954336" cy="4068794"/>
                    </a:xfrm>
                    <a:prstGeom prst="rect">
                      <a:avLst/>
                    </a:prstGeom>
                    <a:ln>
                      <a:noFill/>
                    </a:ln>
                    <a:extLst>
                      <a:ext uri="{53640926-AAD7-44D8-BBD7-CCE9431645EC}">
                        <a14:shadowObscured xmlns:a14="http://schemas.microsoft.com/office/drawing/2010/main"/>
                      </a:ext>
                    </a:extLst>
                  </pic:spPr>
                </pic:pic>
              </a:graphicData>
            </a:graphic>
          </wp:inline>
        </w:drawing>
      </w:r>
    </w:p>
    <w:p w14:paraId="777172A2" w14:textId="77777777" w:rsidR="00E61A5D" w:rsidRPr="000E7EA2" w:rsidRDefault="00E61A5D" w:rsidP="00E61A5D">
      <w:pPr>
        <w:pStyle w:val="TF"/>
        <w:rPr>
          <w:rFonts w:ascii="Times New Roman" w:hAnsi="Times New Roman"/>
        </w:rPr>
      </w:pPr>
      <w:r w:rsidRPr="000E7EA2">
        <w:rPr>
          <w:rFonts w:ascii="Times New Roman" w:hAnsi="Times New Roman"/>
        </w:rPr>
        <w:t>Figure 1: Service interruption time in NR HO.</w:t>
      </w:r>
    </w:p>
    <w:p w14:paraId="6B476DB3" w14:textId="355CED8B" w:rsidR="00E61A5D" w:rsidRPr="000E7EA2" w:rsidRDefault="00E61A5D" w:rsidP="006A0DD3"/>
    <w:p w14:paraId="4911BBA5" w14:textId="4E6D4FF5" w:rsidR="008D0825" w:rsidRPr="000E7EA2" w:rsidRDefault="009A37EA" w:rsidP="006A0DD3">
      <w:r w:rsidRPr="000E7EA2">
        <w:t>In RAN4 requi</w:t>
      </w:r>
      <w:r w:rsidR="00F11481" w:rsidRPr="000E7EA2">
        <w:t xml:space="preserve">rements in 38.133 </w:t>
      </w:r>
      <w:r w:rsidR="00F11481" w:rsidRPr="000E7EA2">
        <w:fldChar w:fldCharType="begin"/>
      </w:r>
      <w:r w:rsidR="00F11481" w:rsidRPr="000E7EA2">
        <w:instrText xml:space="preserve"> REF _Ref772849 \r \h </w:instrText>
      </w:r>
      <w:r w:rsidR="00F11481" w:rsidRPr="000E7EA2">
        <w:fldChar w:fldCharType="separate"/>
      </w:r>
      <w:r w:rsidR="00F11481" w:rsidRPr="000E7EA2">
        <w:t>[4]</w:t>
      </w:r>
      <w:r w:rsidR="00F11481" w:rsidRPr="000E7EA2">
        <w:fldChar w:fldCharType="end"/>
      </w:r>
      <w:r w:rsidRPr="000E7EA2">
        <w:t xml:space="preserve"> </w:t>
      </w:r>
      <w:r w:rsidR="00F11481" w:rsidRPr="000E7EA2">
        <w:t xml:space="preserve">for </w:t>
      </w:r>
      <w:r w:rsidRPr="000E7EA2">
        <w:t xml:space="preserve">the interruption </w:t>
      </w:r>
      <w:r w:rsidR="00F11481" w:rsidRPr="000E7EA2">
        <w:t xml:space="preserve">time for UE to start PRACH transmission after </w:t>
      </w:r>
      <w:proofErr w:type="spellStart"/>
      <w:r w:rsidR="00F11481" w:rsidRPr="000E7EA2">
        <w:t>compeleting</w:t>
      </w:r>
      <w:proofErr w:type="spellEnd"/>
      <w:r w:rsidR="00F11481" w:rsidRPr="000E7EA2">
        <w:t xml:space="preserve"> RRC Reconfiguration processing can be written</w:t>
      </w:r>
      <w:r w:rsidRPr="000E7EA2">
        <w:t xml:space="preserve"> as follows</w:t>
      </w:r>
      <w:r w:rsidR="00F11481" w:rsidRPr="000E7EA2">
        <w:t xml:space="preserve"> (in general format for FR1 and FR2)</w:t>
      </w:r>
      <w:r w:rsidRPr="000E7EA2">
        <w:t>:</w:t>
      </w:r>
    </w:p>
    <w:p w14:paraId="48FE90D9" w14:textId="644F4A7A" w:rsidR="009A37EA" w:rsidRPr="000E7EA2" w:rsidRDefault="009A37EA" w:rsidP="009A37EA">
      <w:pPr>
        <w:jc w:val="center"/>
      </w:pPr>
      <w:proofErr w:type="spellStart"/>
      <w:proofErr w:type="gramStart"/>
      <w:r w:rsidRPr="000E7EA2">
        <w:rPr>
          <w:sz w:val="24"/>
          <w:szCs w:val="24"/>
        </w:rPr>
        <w:t>T</w:t>
      </w:r>
      <w:r w:rsidRPr="000E7EA2">
        <w:rPr>
          <w:sz w:val="24"/>
          <w:szCs w:val="24"/>
          <w:vertAlign w:val="subscript"/>
        </w:rPr>
        <w:t>interrupt</w:t>
      </w:r>
      <w:proofErr w:type="spellEnd"/>
      <w:r w:rsidRPr="000E7EA2">
        <w:rPr>
          <w:sz w:val="24"/>
          <w:szCs w:val="24"/>
          <w:vertAlign w:val="subscript"/>
        </w:rPr>
        <w:t xml:space="preserve"> </w:t>
      </w:r>
      <w:r w:rsidRPr="000E7EA2">
        <w:rPr>
          <w:sz w:val="24"/>
          <w:szCs w:val="24"/>
        </w:rPr>
        <w:t xml:space="preserve"> =</w:t>
      </w:r>
      <w:proofErr w:type="gramEnd"/>
      <w:r w:rsidRPr="000E7EA2">
        <w:rPr>
          <w:sz w:val="24"/>
          <w:szCs w:val="24"/>
        </w:rPr>
        <w:t xml:space="preserve"> </w:t>
      </w:r>
      <w:proofErr w:type="spellStart"/>
      <w:r w:rsidRPr="000E7EA2">
        <w:rPr>
          <w:sz w:val="24"/>
          <w:szCs w:val="24"/>
        </w:rPr>
        <w:t>T</w:t>
      </w:r>
      <w:r w:rsidRPr="000E7EA2">
        <w:rPr>
          <w:sz w:val="24"/>
          <w:szCs w:val="24"/>
          <w:vertAlign w:val="subscript"/>
        </w:rPr>
        <w:t>search</w:t>
      </w:r>
      <w:proofErr w:type="spellEnd"/>
      <w:r w:rsidRPr="000E7EA2">
        <w:rPr>
          <w:sz w:val="24"/>
          <w:szCs w:val="24"/>
          <w:vertAlign w:val="subscript"/>
        </w:rPr>
        <w:t xml:space="preserve"> </w:t>
      </w:r>
      <w:r w:rsidRPr="000E7EA2">
        <w:rPr>
          <w:sz w:val="24"/>
          <w:szCs w:val="24"/>
        </w:rPr>
        <w:t xml:space="preserve"> + T</w:t>
      </w:r>
      <w:r w:rsidRPr="000E7EA2">
        <w:rPr>
          <w:sz w:val="24"/>
          <w:szCs w:val="24"/>
          <w:vertAlign w:val="subscript"/>
        </w:rPr>
        <w:t xml:space="preserve">IU  </w:t>
      </w:r>
      <w:r w:rsidRPr="000E7EA2">
        <w:rPr>
          <w:sz w:val="24"/>
          <w:szCs w:val="24"/>
        </w:rPr>
        <w:t xml:space="preserve"> + </w:t>
      </w:r>
      <w:proofErr w:type="spellStart"/>
      <w:r w:rsidRPr="000E7EA2">
        <w:rPr>
          <w:sz w:val="24"/>
          <w:szCs w:val="24"/>
        </w:rPr>
        <w:t>T</w:t>
      </w:r>
      <w:r w:rsidRPr="000E7EA2">
        <w:rPr>
          <w:sz w:val="24"/>
          <w:szCs w:val="24"/>
          <w:vertAlign w:val="subscript"/>
        </w:rPr>
        <w:t>processing</w:t>
      </w:r>
      <w:proofErr w:type="spellEnd"/>
      <w:r w:rsidRPr="000E7EA2">
        <w:rPr>
          <w:sz w:val="24"/>
          <w:szCs w:val="24"/>
        </w:rPr>
        <w:t xml:space="preserve"> + T</w:t>
      </w:r>
      <w:r w:rsidRPr="000E7EA2">
        <w:rPr>
          <w:sz w:val="24"/>
          <w:szCs w:val="24"/>
          <w:vertAlign w:val="subscript"/>
        </w:rPr>
        <w:t xml:space="preserve">Δ </w:t>
      </w:r>
      <w:r w:rsidRPr="000E7EA2">
        <w:rPr>
          <w:sz w:val="24"/>
          <w:szCs w:val="24"/>
        </w:rPr>
        <w:t xml:space="preserve"> </w:t>
      </w:r>
      <w:proofErr w:type="spellStart"/>
      <w:r w:rsidRPr="000E7EA2">
        <w:t>ms</w:t>
      </w:r>
      <w:proofErr w:type="spellEnd"/>
      <w:r w:rsidRPr="000E7EA2">
        <w:t>,</w:t>
      </w:r>
    </w:p>
    <w:p w14:paraId="27C6AF4A" w14:textId="4E28A61A" w:rsidR="00E61A5D" w:rsidRPr="000E7EA2" w:rsidRDefault="009A37EA" w:rsidP="006A0DD3">
      <w:r w:rsidRPr="000E7EA2">
        <w:t xml:space="preserve">where the </w:t>
      </w:r>
      <w:proofErr w:type="spellStart"/>
      <w:r w:rsidRPr="000E7EA2">
        <w:rPr>
          <w:sz w:val="24"/>
          <w:szCs w:val="24"/>
        </w:rPr>
        <w:t>T</w:t>
      </w:r>
      <w:r w:rsidRPr="000E7EA2">
        <w:rPr>
          <w:sz w:val="24"/>
          <w:szCs w:val="24"/>
          <w:vertAlign w:val="subscript"/>
        </w:rPr>
        <w:t>search</w:t>
      </w:r>
      <w:proofErr w:type="spellEnd"/>
      <w:r w:rsidRPr="000E7EA2">
        <w:t xml:space="preserve"> is the time required for target cell search (0ms if known), </w:t>
      </w:r>
      <w:r w:rsidRPr="000E7EA2">
        <w:rPr>
          <w:rFonts w:eastAsia="Times New Roman"/>
          <w:sz w:val="24"/>
          <w:szCs w:val="24"/>
        </w:rPr>
        <w:t>T</w:t>
      </w:r>
      <w:r w:rsidRPr="000E7EA2">
        <w:rPr>
          <w:rFonts w:eastAsia="Times New Roman"/>
          <w:sz w:val="24"/>
          <w:szCs w:val="24"/>
          <w:vertAlign w:val="subscript"/>
        </w:rPr>
        <w:t>Δ</w:t>
      </w:r>
      <w:r w:rsidRPr="000E7EA2">
        <w:t xml:space="preserve"> is the is time for fine time tracking and acquiring full timing information of the target cell and T</w:t>
      </w:r>
      <w:r w:rsidRPr="000E7EA2">
        <w:rPr>
          <w:vertAlign w:val="subscript"/>
        </w:rPr>
        <w:t>IU</w:t>
      </w:r>
      <w:r w:rsidRPr="000E7EA2">
        <w:t xml:space="preserve"> is the interruption uncertainty in acquiring the first available PRACH occasion in the new cell</w:t>
      </w:r>
      <w:r w:rsidR="00F11481" w:rsidRPr="000E7EA2">
        <w:t xml:space="preserve"> (i.e. SFNs)</w:t>
      </w:r>
      <w:r w:rsidRPr="000E7EA2">
        <w:t>.</w:t>
      </w:r>
      <w:r w:rsidR="00F11481" w:rsidRPr="000E7EA2">
        <w:t xml:space="preserve"> </w:t>
      </w:r>
      <w:r w:rsidRPr="000E7EA2">
        <w:t xml:space="preserve"> </w:t>
      </w:r>
      <w:proofErr w:type="spellStart"/>
      <w:r w:rsidRPr="000E7EA2">
        <w:rPr>
          <w:sz w:val="24"/>
          <w:szCs w:val="24"/>
        </w:rPr>
        <w:t>T</w:t>
      </w:r>
      <w:r w:rsidRPr="000E7EA2">
        <w:rPr>
          <w:sz w:val="24"/>
          <w:szCs w:val="24"/>
          <w:vertAlign w:val="subscript"/>
        </w:rPr>
        <w:t>processing</w:t>
      </w:r>
      <w:proofErr w:type="spellEnd"/>
      <w:r w:rsidRPr="000E7EA2">
        <w:t xml:space="preserve"> for UE processing </w:t>
      </w:r>
      <w:r w:rsidR="00F11481" w:rsidRPr="000E7EA2">
        <w:t xml:space="preserve">and is dependent on type of the HO (FR1-FR1, FR1-FR2 etc.), ranging from </w:t>
      </w:r>
      <w:r w:rsidR="00215947">
        <w:t>2</w:t>
      </w:r>
      <w:r w:rsidR="00215947" w:rsidRPr="000E7EA2">
        <w:t>0</w:t>
      </w:r>
      <w:r w:rsidR="00215947">
        <w:t xml:space="preserve"> </w:t>
      </w:r>
      <w:proofErr w:type="spellStart"/>
      <w:r w:rsidR="00215947" w:rsidRPr="000E7EA2">
        <w:t>ms</w:t>
      </w:r>
      <w:proofErr w:type="spellEnd"/>
      <w:r w:rsidR="00215947" w:rsidRPr="000E7EA2">
        <w:t xml:space="preserve"> </w:t>
      </w:r>
      <w:r w:rsidR="00F11481" w:rsidRPr="000E7EA2">
        <w:t xml:space="preserve">to </w:t>
      </w:r>
      <w:r w:rsidR="00215947">
        <w:t>4</w:t>
      </w:r>
      <w:r w:rsidR="00215947" w:rsidRPr="000E7EA2">
        <w:t>0</w:t>
      </w:r>
      <w:r w:rsidR="00215947">
        <w:t xml:space="preserve"> </w:t>
      </w:r>
      <w:proofErr w:type="spellStart"/>
      <w:r w:rsidR="00215947" w:rsidRPr="000E7EA2">
        <w:t>ms</w:t>
      </w:r>
      <w:proofErr w:type="spellEnd"/>
      <w:r w:rsidR="00F11481" w:rsidRPr="000E7EA2">
        <w:t>. The total HO delay encompasses also RRC procedure delay</w:t>
      </w:r>
      <w:r w:rsidR="000F6D8E" w:rsidRPr="000E7EA2">
        <w:t xml:space="preserve"> i.e. RRC Reconfiguration processing</w:t>
      </w:r>
      <w:r w:rsidR="00F11481" w:rsidRPr="000E7EA2">
        <w:t xml:space="preserve">, which is limited to 10ms for RRC Reconfiguration in </w:t>
      </w:r>
      <w:r w:rsidR="00F11481" w:rsidRPr="000E7EA2">
        <w:fldChar w:fldCharType="begin"/>
      </w:r>
      <w:r w:rsidR="00F11481" w:rsidRPr="000E7EA2">
        <w:instrText xml:space="preserve"> REF _Ref772866 \r \h </w:instrText>
      </w:r>
      <w:r w:rsidR="00F11481" w:rsidRPr="000E7EA2">
        <w:fldChar w:fldCharType="separate"/>
      </w:r>
      <w:r w:rsidR="00F11481" w:rsidRPr="000E7EA2">
        <w:t>[5]</w:t>
      </w:r>
      <w:r w:rsidR="00F11481" w:rsidRPr="000E7EA2">
        <w:fldChar w:fldCharType="end"/>
      </w:r>
      <w:r w:rsidR="00F11481" w:rsidRPr="000E7EA2">
        <w:t>.</w:t>
      </w:r>
    </w:p>
    <w:p w14:paraId="125E4871" w14:textId="7FAB8C97" w:rsidR="00F11481" w:rsidRPr="000E7EA2" w:rsidRDefault="0080762A" w:rsidP="0080762A">
      <w:pPr>
        <w:pStyle w:val="Heading2"/>
      </w:pPr>
      <w:r w:rsidRPr="000E7EA2">
        <w:lastRenderedPageBreak/>
        <w:t>Potential solutions for reducing interruption time</w:t>
      </w:r>
    </w:p>
    <w:p w14:paraId="1945688E" w14:textId="41390C35" w:rsidR="009A37EA" w:rsidRPr="000E7EA2" w:rsidRDefault="0080762A" w:rsidP="006A0DD3">
      <w:r w:rsidRPr="000E7EA2">
        <w:t xml:space="preserve">As listed in WID </w:t>
      </w:r>
      <w:r w:rsidRPr="000E7EA2">
        <w:fldChar w:fldCharType="begin"/>
      </w:r>
      <w:r w:rsidRPr="000E7EA2">
        <w:instrText xml:space="preserve"> REF _Ref769929 \r \h </w:instrText>
      </w:r>
      <w:r w:rsidRPr="000E7EA2">
        <w:fldChar w:fldCharType="separate"/>
      </w:r>
      <w:r w:rsidRPr="000E7EA2">
        <w:t>[1]</w:t>
      </w:r>
      <w:r w:rsidRPr="000E7EA2">
        <w:fldChar w:fldCharType="end"/>
      </w:r>
      <w:r w:rsidRPr="000E7EA2">
        <w:t xml:space="preserve"> objectives enabling simultaneous connectivity to sour</w:t>
      </w:r>
      <w:r w:rsidR="000B71F2">
        <w:t>c</w:t>
      </w:r>
      <w:r w:rsidRPr="000E7EA2">
        <w:t xml:space="preserve">e and target and RACH-less handover are </w:t>
      </w:r>
      <w:proofErr w:type="spellStart"/>
      <w:r w:rsidRPr="000E7EA2">
        <w:t>candicate</w:t>
      </w:r>
      <w:proofErr w:type="spellEnd"/>
      <w:r w:rsidRPr="000E7EA2">
        <w:t xml:space="preserve"> solutions to interruption reduction. In following we will discuss these in more detail.</w:t>
      </w:r>
    </w:p>
    <w:p w14:paraId="6261D268" w14:textId="77777777" w:rsidR="0080762A" w:rsidRPr="000E7EA2" w:rsidRDefault="0080762A" w:rsidP="006A0DD3">
      <w:r w:rsidRPr="000E7EA2">
        <w:t xml:space="preserve">In LTE Rel. 14, two enhancements to the baseline handover have been proposed to reduce the service interruption, namely Make-before-Break (MBB) and RACH-less HO </w:t>
      </w:r>
      <w:r w:rsidRPr="000E7EA2">
        <w:fldChar w:fldCharType="begin"/>
      </w:r>
      <w:r w:rsidRPr="000E7EA2">
        <w:instrText xml:space="preserve"> REF _Ref773233 \r \h </w:instrText>
      </w:r>
      <w:r w:rsidRPr="000E7EA2">
        <w:fldChar w:fldCharType="separate"/>
      </w:r>
      <w:r w:rsidRPr="000E7EA2">
        <w:t>[6]</w:t>
      </w:r>
      <w:r w:rsidRPr="000E7EA2">
        <w:fldChar w:fldCharType="end"/>
      </w:r>
      <w:r w:rsidRPr="000E7EA2">
        <w:t xml:space="preserve">. </w:t>
      </w:r>
    </w:p>
    <w:p w14:paraId="54D017A5" w14:textId="77777777" w:rsidR="0080762A" w:rsidRPr="000E7EA2" w:rsidRDefault="0080762A" w:rsidP="006A0DD3">
      <w:r w:rsidRPr="000E7EA2">
        <w:t xml:space="preserve">In Make-before-Break, the UE continues to exchange user data with the source cell after receiving the HO command until it initiates the RACH access to the target cell. As such, the service interruption time is reduced at most by RRC Reconfiguration procedure delay (i.e. 10 </w:t>
      </w:r>
      <w:proofErr w:type="spellStart"/>
      <w:r w:rsidRPr="000E7EA2">
        <w:t>ms</w:t>
      </w:r>
      <w:proofErr w:type="spellEnd"/>
      <w:r w:rsidRPr="000E7EA2">
        <w:t xml:space="preserve"> in NR). </w:t>
      </w:r>
    </w:p>
    <w:p w14:paraId="20FBB7AD" w14:textId="7B424F71" w:rsidR="00CB13E2" w:rsidRPr="000E7EA2" w:rsidRDefault="0080762A" w:rsidP="00CB13E2">
      <w:pPr>
        <w:rPr>
          <w:lang w:eastAsia="zh-CN"/>
        </w:rPr>
      </w:pPr>
      <w:r w:rsidRPr="000E7EA2">
        <w:t>RACH-less handover has been introduced for scenarios where the Timing Advance (TA) of the target cell can be set to 0. In this case, the UE can skip the first two steps of the RACH procedure and send Msg3 after receiving the HO command. As such, the service interruption time can be reduced by the time to send PRACH preamble and receiving an UL grant in RACH response (Msg2). In thi</w:t>
      </w:r>
      <w:r w:rsidR="00CB13E2" w:rsidRPr="000E7EA2">
        <w:t xml:space="preserve">s context it is good to observe that in RAN#82 </w:t>
      </w:r>
      <w:r w:rsidR="00CB13E2" w:rsidRPr="000E7EA2">
        <w:rPr>
          <w:rFonts w:eastAsia="MS Mincho"/>
          <w:lang w:eastAsia="ja-JP"/>
        </w:rPr>
        <w:t xml:space="preserve">a new work item on “2-step RACH for NR” was agreed </w:t>
      </w:r>
      <w:r w:rsidR="00CB13E2" w:rsidRPr="000E7EA2">
        <w:rPr>
          <w:rFonts w:eastAsia="MS Mincho"/>
          <w:lang w:eastAsia="ja-JP"/>
        </w:rPr>
        <w:fldChar w:fldCharType="begin"/>
      </w:r>
      <w:r w:rsidR="00CB13E2" w:rsidRPr="000E7EA2">
        <w:rPr>
          <w:rFonts w:eastAsia="MS Mincho"/>
          <w:lang w:eastAsia="ja-JP"/>
        </w:rPr>
        <w:instrText xml:space="preserve"> REF _Ref773821 \r \h </w:instrText>
      </w:r>
      <w:r w:rsidR="00CB13E2" w:rsidRPr="000E7EA2">
        <w:rPr>
          <w:rFonts w:eastAsia="MS Mincho"/>
          <w:lang w:eastAsia="ja-JP"/>
        </w:rPr>
      </w:r>
      <w:r w:rsidR="00CB13E2" w:rsidRPr="000E7EA2">
        <w:rPr>
          <w:rFonts w:eastAsia="MS Mincho"/>
          <w:lang w:eastAsia="ja-JP"/>
        </w:rPr>
        <w:fldChar w:fldCharType="separate"/>
      </w:r>
      <w:r w:rsidR="00CB13E2" w:rsidRPr="000E7EA2">
        <w:rPr>
          <w:rFonts w:eastAsia="MS Mincho"/>
          <w:lang w:eastAsia="ja-JP"/>
        </w:rPr>
        <w:t>[7]</w:t>
      </w:r>
      <w:r w:rsidR="00CB13E2" w:rsidRPr="000E7EA2">
        <w:rPr>
          <w:rFonts w:eastAsia="MS Mincho"/>
          <w:lang w:eastAsia="ja-JP"/>
        </w:rPr>
        <w:fldChar w:fldCharType="end"/>
      </w:r>
      <w:r w:rsidR="00CB13E2" w:rsidRPr="000E7EA2">
        <w:rPr>
          <w:rFonts w:eastAsia="MS Mincho"/>
          <w:lang w:eastAsia="ja-JP"/>
        </w:rPr>
        <w:t xml:space="preserve">. As discussed in </w:t>
      </w:r>
      <w:r w:rsidR="00CB13E2" w:rsidRPr="000E7EA2">
        <w:rPr>
          <w:rFonts w:eastAsia="MS Mincho"/>
          <w:lang w:eastAsia="ja-JP"/>
        </w:rPr>
        <w:fldChar w:fldCharType="begin"/>
      </w:r>
      <w:r w:rsidR="00CB13E2" w:rsidRPr="000E7EA2">
        <w:rPr>
          <w:rFonts w:eastAsia="MS Mincho"/>
          <w:lang w:eastAsia="ja-JP"/>
        </w:rPr>
        <w:instrText xml:space="preserve"> REF _Ref773809 \r \h </w:instrText>
      </w:r>
      <w:r w:rsidR="00CB13E2" w:rsidRPr="000E7EA2">
        <w:rPr>
          <w:rFonts w:eastAsia="MS Mincho"/>
          <w:lang w:eastAsia="ja-JP"/>
        </w:rPr>
      </w:r>
      <w:r w:rsidR="00CB13E2" w:rsidRPr="000E7EA2">
        <w:rPr>
          <w:rFonts w:eastAsia="MS Mincho"/>
          <w:lang w:eastAsia="ja-JP"/>
        </w:rPr>
        <w:fldChar w:fldCharType="separate"/>
      </w:r>
      <w:r w:rsidR="00CB13E2" w:rsidRPr="000E7EA2">
        <w:rPr>
          <w:rFonts w:eastAsia="MS Mincho"/>
          <w:lang w:eastAsia="ja-JP"/>
        </w:rPr>
        <w:t>[8]</w:t>
      </w:r>
      <w:r w:rsidR="00CB13E2" w:rsidRPr="000E7EA2">
        <w:rPr>
          <w:rFonts w:eastAsia="MS Mincho"/>
          <w:lang w:eastAsia="ja-JP"/>
        </w:rPr>
        <w:fldChar w:fldCharType="end"/>
      </w:r>
      <w:r w:rsidR="00CB13E2" w:rsidRPr="000E7EA2">
        <w:rPr>
          <w:rFonts w:eastAsia="MS Mincho"/>
          <w:lang w:eastAsia="ja-JP"/>
        </w:rPr>
        <w:t>, i</w:t>
      </w:r>
      <w:r w:rsidR="00CB13E2" w:rsidRPr="000E7EA2">
        <w:rPr>
          <w:lang w:eastAsia="zh-CN"/>
        </w:rPr>
        <w:t xml:space="preserve">n 2-step RACH, </w:t>
      </w:r>
      <w:proofErr w:type="spellStart"/>
      <w:r w:rsidR="00CB13E2" w:rsidRPr="000E7EA2">
        <w:rPr>
          <w:lang w:eastAsia="zh-CN"/>
        </w:rPr>
        <w:t>MsgA</w:t>
      </w:r>
      <w:proofErr w:type="spellEnd"/>
      <w:r w:rsidR="00CB13E2" w:rsidRPr="000E7EA2">
        <w:rPr>
          <w:lang w:eastAsia="zh-CN"/>
        </w:rPr>
        <w:t xml:space="preserve"> combines the preamble signal (Msg1) and the data signal (Msg3), and </w:t>
      </w:r>
      <w:proofErr w:type="spellStart"/>
      <w:r w:rsidR="00CB13E2" w:rsidRPr="000E7EA2">
        <w:rPr>
          <w:lang w:eastAsia="zh-CN"/>
        </w:rPr>
        <w:t>MsgB</w:t>
      </w:r>
      <w:proofErr w:type="spellEnd"/>
      <w:r w:rsidR="00CB13E2" w:rsidRPr="000E7EA2">
        <w:rPr>
          <w:lang w:eastAsia="zh-CN"/>
        </w:rPr>
        <w:t xml:space="preserve"> combines the </w:t>
      </w:r>
      <w:proofErr w:type="gramStart"/>
      <w:r w:rsidR="00CB13E2" w:rsidRPr="000E7EA2">
        <w:rPr>
          <w:lang w:eastAsia="zh-CN"/>
        </w:rPr>
        <w:t>random access</w:t>
      </w:r>
      <w:proofErr w:type="gramEnd"/>
      <w:r w:rsidR="00CB13E2" w:rsidRPr="000E7EA2">
        <w:rPr>
          <w:lang w:eastAsia="zh-CN"/>
        </w:rPr>
        <w:t xml:space="preserve"> response (Msg2) and the contention resolution (Msg4). The 2-step RACH procedure is illustrated in Figure 2.</w:t>
      </w:r>
    </w:p>
    <w:p w14:paraId="39EE9E95" w14:textId="514181D3" w:rsidR="00C76804" w:rsidRPr="000E7EA2" w:rsidRDefault="00C76804" w:rsidP="00CB13E2">
      <w:pPr>
        <w:rPr>
          <w:rFonts w:eastAsia="MS Mincho"/>
          <w:lang w:eastAsia="ja-JP"/>
        </w:rPr>
      </w:pPr>
      <w:r w:rsidRPr="000E7EA2">
        <w:rPr>
          <w:b/>
          <w:lang w:eastAsia="zh-CN"/>
        </w:rPr>
        <w:t>Observation</w:t>
      </w:r>
      <w:r w:rsidR="00B51B9A">
        <w:rPr>
          <w:b/>
          <w:lang w:eastAsia="zh-CN"/>
        </w:rPr>
        <w:t xml:space="preserve"> 2</w:t>
      </w:r>
      <w:r w:rsidRPr="000E7EA2">
        <w:rPr>
          <w:b/>
          <w:lang w:eastAsia="zh-CN"/>
        </w:rPr>
        <w:t>:</w:t>
      </w:r>
      <w:r w:rsidRPr="000E7EA2">
        <w:rPr>
          <w:lang w:eastAsia="zh-CN"/>
        </w:rPr>
        <w:t xml:space="preserve"> Make-before-Break and RACH procedure related enhancements should be studied for mobility enhancements. For RACH enhancements, RACH-less HO and 2-step RACH could be considered.</w:t>
      </w:r>
    </w:p>
    <w:p w14:paraId="4141A686" w14:textId="77777777" w:rsidR="00CB13E2" w:rsidRPr="00CB13E2" w:rsidRDefault="00CB13E2" w:rsidP="00CB13E2">
      <w:pPr>
        <w:keepNext/>
        <w:jc w:val="center"/>
        <w:textAlignment w:val="auto"/>
      </w:pPr>
      <w:r w:rsidRPr="00CB13E2">
        <w:rPr>
          <w:lang w:eastAsia="zh-CN"/>
        </w:rPr>
        <w:object w:dxaOrig="5130" w:dyaOrig="3690" w14:anchorId="184F9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184.8pt" o:ole="">
            <v:imagedata r:id="rId14" o:title=""/>
          </v:shape>
          <o:OLEObject Type="Embed" ProgID="Visio.Drawing.11" ShapeID="_x0000_i1025" DrawAspect="Content" ObjectID="_1611778820" r:id="rId15"/>
        </w:object>
      </w:r>
    </w:p>
    <w:p w14:paraId="0E9E2D29" w14:textId="5C016105" w:rsidR="00CB13E2" w:rsidRPr="00CB13E2" w:rsidRDefault="00CB13E2" w:rsidP="00CB13E2">
      <w:pPr>
        <w:spacing w:before="120" w:after="120"/>
        <w:jc w:val="center"/>
        <w:textAlignment w:val="auto"/>
        <w:rPr>
          <w:b/>
          <w:lang w:eastAsia="zh-CN"/>
        </w:rPr>
      </w:pPr>
      <w:r w:rsidRPr="000E7EA2">
        <w:rPr>
          <w:rStyle w:val="CaptionChar1"/>
        </w:rPr>
        <w:t xml:space="preserve">Figure 2: </w:t>
      </w:r>
      <w:r w:rsidRPr="00CB13E2">
        <w:rPr>
          <w:b/>
          <w:lang w:eastAsia="x-none"/>
        </w:rPr>
        <w:t>2-Step RACH procedure.</w:t>
      </w:r>
    </w:p>
    <w:p w14:paraId="0E12AA51" w14:textId="77777777" w:rsidR="00CB13E2" w:rsidRPr="000E7EA2" w:rsidRDefault="00CB13E2" w:rsidP="006A0DD3"/>
    <w:p w14:paraId="0C6F0F17" w14:textId="34E5B911" w:rsidR="0080762A" w:rsidRPr="000E7EA2" w:rsidRDefault="0080762A" w:rsidP="006A0DD3"/>
    <w:p w14:paraId="6BF99A90" w14:textId="61AB7AE6" w:rsidR="00C61B1C" w:rsidRPr="000E7EA2" w:rsidRDefault="00C61B1C" w:rsidP="006A0DD3"/>
    <w:p w14:paraId="5B479D30" w14:textId="6B8FC024" w:rsidR="00C76804" w:rsidRPr="000E7EA2" w:rsidRDefault="00C76804" w:rsidP="00C76804">
      <w:pPr>
        <w:overflowPunct/>
        <w:autoSpaceDE/>
        <w:autoSpaceDN/>
        <w:adjustRightInd/>
        <w:textAlignment w:val="auto"/>
        <w:rPr>
          <w:rFonts w:eastAsia="Times New Roman"/>
        </w:rPr>
      </w:pPr>
      <w:r w:rsidRPr="00C76804">
        <w:rPr>
          <w:rFonts w:eastAsia="Times New Roman"/>
        </w:rPr>
        <w:t>Achieving 0 ms interruption time during the handover requires that the UE performs access to the target cell before detaching the connection with the</w:t>
      </w:r>
      <w:r w:rsidRPr="000E7EA2">
        <w:rPr>
          <w:rFonts w:eastAsia="Times New Roman"/>
        </w:rPr>
        <w:t xml:space="preserve"> source cell. </w:t>
      </w:r>
      <w:r w:rsidRPr="00C76804">
        <w:rPr>
          <w:rFonts w:eastAsia="Times New Roman"/>
        </w:rPr>
        <w:t>As such, the UE would be connected, for some time, simultaneously to both source and target cells which require UEs to have either two TRXs or 2 RXs/1TX if simultaneous uplink is not feasible due to RF or hardware limitations. In the latter case, TDM solution can be applied for UL where the UE transmits either to source or target cell at a time.</w:t>
      </w:r>
      <w:r w:rsidR="00BA2AC4">
        <w:rPr>
          <w:rFonts w:eastAsia="Times New Roman"/>
        </w:rPr>
        <w:t xml:space="preserve"> RAN2 inquired about the feasibility of simultaneous reception and transmission in context of for different type of </w:t>
      </w:r>
      <w:r w:rsidR="00C716D5">
        <w:rPr>
          <w:rFonts w:eastAsia="Times New Roman"/>
        </w:rPr>
        <w:t>DC related mobility</w:t>
      </w:r>
      <w:r w:rsidR="00BA2AC4">
        <w:rPr>
          <w:rFonts w:eastAsia="Times New Roman"/>
        </w:rPr>
        <w:t xml:space="preserve"> (intra/inter frequency) and deployements (Synchronous/asycnrhonous). Based on the </w:t>
      </w:r>
      <w:r w:rsidR="00C716D5">
        <w:rPr>
          <w:rFonts w:eastAsia="Times New Roman"/>
        </w:rPr>
        <w:t xml:space="preserve">LS </w:t>
      </w:r>
      <w:r w:rsidR="00BA2AC4">
        <w:rPr>
          <w:rFonts w:eastAsia="Times New Roman"/>
        </w:rPr>
        <w:t>RAN</w:t>
      </w:r>
      <w:r w:rsidR="00C716D5">
        <w:rPr>
          <w:rFonts w:eastAsia="Times New Roman"/>
        </w:rPr>
        <w:t>4</w:t>
      </w:r>
      <w:r w:rsidR="00BA2AC4">
        <w:rPr>
          <w:rFonts w:eastAsia="Times New Roman"/>
        </w:rPr>
        <w:t xml:space="preserve"> </w:t>
      </w:r>
      <w:r w:rsidR="00C716D5">
        <w:rPr>
          <w:rFonts w:eastAsia="Times New Roman"/>
        </w:rPr>
        <w:t xml:space="preserve">discussed and concluded that </w:t>
      </w:r>
      <w:r w:rsidR="00BA2AC4">
        <w:rPr>
          <w:rFonts w:eastAsia="Times New Roman"/>
        </w:rPr>
        <w:t>it would be feasi</w:t>
      </w:r>
      <w:r w:rsidR="00457DEE">
        <w:rPr>
          <w:rFonts w:eastAsia="Times New Roman"/>
        </w:rPr>
        <w:t>bility to</w:t>
      </w:r>
      <w:r w:rsidR="00BA2AC4">
        <w:rPr>
          <w:rFonts w:eastAsia="Times New Roman"/>
        </w:rPr>
        <w:t xml:space="preserve"> simultaneous</w:t>
      </w:r>
      <w:r w:rsidR="00457DEE">
        <w:rPr>
          <w:rFonts w:eastAsia="Times New Roman"/>
        </w:rPr>
        <w:t>ly receive</w:t>
      </w:r>
      <w:r w:rsidR="00BA2AC4">
        <w:rPr>
          <w:rFonts w:eastAsia="Times New Roman"/>
        </w:rPr>
        <w:t xml:space="preserve"> from two cells, or transmission </w:t>
      </w:r>
      <w:r w:rsidR="00457DEE">
        <w:rPr>
          <w:rFonts w:eastAsia="Times New Roman"/>
        </w:rPr>
        <w:t>to</w:t>
      </w:r>
      <w:r w:rsidR="00BA2AC4">
        <w:rPr>
          <w:rFonts w:eastAsia="Times New Roman"/>
        </w:rPr>
        <w:t xml:space="preserve"> two cells </w:t>
      </w:r>
      <w:r w:rsidR="00457DEE">
        <w:rPr>
          <w:rFonts w:eastAsia="Times New Roman"/>
        </w:rPr>
        <w:t xml:space="preserve">in certain scenarios and with certain assumptions and capability limitations </w:t>
      </w:r>
      <w:r w:rsidR="00457DEE">
        <w:rPr>
          <w:rFonts w:eastAsia="Times New Roman"/>
        </w:rPr>
        <w:fldChar w:fldCharType="begin"/>
      </w:r>
      <w:r w:rsidR="00457DEE">
        <w:rPr>
          <w:rFonts w:eastAsia="Times New Roman"/>
        </w:rPr>
        <w:instrText xml:space="preserve"> REF _Ref787144 \r \h </w:instrText>
      </w:r>
      <w:r w:rsidR="00457DEE">
        <w:rPr>
          <w:rFonts w:eastAsia="Times New Roman"/>
        </w:rPr>
      </w:r>
      <w:r w:rsidR="00457DEE">
        <w:rPr>
          <w:rFonts w:eastAsia="Times New Roman"/>
        </w:rPr>
        <w:fldChar w:fldCharType="separate"/>
      </w:r>
      <w:r w:rsidR="00457DEE">
        <w:rPr>
          <w:rFonts w:eastAsia="Times New Roman"/>
        </w:rPr>
        <w:t>[1</w:t>
      </w:r>
      <w:r w:rsidR="00C716D5">
        <w:rPr>
          <w:rFonts w:eastAsia="Times New Roman"/>
        </w:rPr>
        <w:t>1</w:t>
      </w:r>
      <w:r w:rsidR="00457DEE">
        <w:rPr>
          <w:rFonts w:eastAsia="Times New Roman"/>
        </w:rPr>
        <w:t>]</w:t>
      </w:r>
      <w:r w:rsidR="00457DEE">
        <w:rPr>
          <w:rFonts w:eastAsia="Times New Roman"/>
        </w:rPr>
        <w:fldChar w:fldCharType="end"/>
      </w:r>
      <w:r w:rsidR="00457DEE">
        <w:rPr>
          <w:rFonts w:eastAsia="Times New Roman"/>
        </w:rPr>
        <w:t>.</w:t>
      </w:r>
    </w:p>
    <w:p w14:paraId="5CD33D19" w14:textId="7A0DA819" w:rsidR="009D3102" w:rsidRPr="00C76804" w:rsidRDefault="009D3102" w:rsidP="00C76804">
      <w:pPr>
        <w:overflowPunct/>
        <w:autoSpaceDE/>
        <w:autoSpaceDN/>
        <w:adjustRightInd/>
        <w:textAlignment w:val="auto"/>
        <w:rPr>
          <w:rFonts w:eastAsia="Times New Roman"/>
        </w:rPr>
      </w:pPr>
      <w:r w:rsidRPr="000E7EA2">
        <w:rPr>
          <w:rFonts w:eastAsia="Times New Roman"/>
          <w:b/>
        </w:rPr>
        <w:t>Observation</w:t>
      </w:r>
      <w:r w:rsidR="00B51B9A">
        <w:rPr>
          <w:rFonts w:eastAsia="Times New Roman"/>
          <w:b/>
        </w:rPr>
        <w:t xml:space="preserve"> 3</w:t>
      </w:r>
      <w:r w:rsidRPr="000E7EA2">
        <w:rPr>
          <w:rFonts w:eastAsia="Times New Roman"/>
          <w:b/>
        </w:rPr>
        <w:t>:</w:t>
      </w:r>
      <w:r w:rsidRPr="000E7EA2">
        <w:rPr>
          <w:rFonts w:eastAsia="Times New Roman"/>
        </w:rPr>
        <w:t xml:space="preserve"> Simultaneous connectivity solutions covering 1TX and 2TX implementations should be studied for NR mobility enhancements.</w:t>
      </w:r>
    </w:p>
    <w:p w14:paraId="0A96BBAD" w14:textId="3D65D9B2" w:rsidR="00C61B1C" w:rsidRPr="000E7EA2" w:rsidRDefault="00C76804" w:rsidP="000F6D8E">
      <w:pPr>
        <w:pStyle w:val="Heading2"/>
      </w:pPr>
      <w:r w:rsidRPr="000E7EA2">
        <w:lastRenderedPageBreak/>
        <w:t xml:space="preserve"> </w:t>
      </w:r>
      <w:r w:rsidR="000F6D8E" w:rsidRPr="000E7EA2">
        <w:t>Potential solutions for mobility r</w:t>
      </w:r>
      <w:r w:rsidR="002B1F83" w:rsidRPr="000E7EA2">
        <w:t>obustness</w:t>
      </w:r>
    </w:p>
    <w:p w14:paraId="19217821" w14:textId="2002F762" w:rsidR="0080762A" w:rsidRPr="000E7EA2" w:rsidRDefault="00626BE0" w:rsidP="006A0DD3">
      <w:r w:rsidRPr="000E7EA2">
        <w:t xml:space="preserve">The main intent of mobility robustness is to reduce the occurrence of connection failures which cause the UE to autonomously initiate RRC connection re-establishment. Two types of connection failures exist; Radio Link Failures (RLF) and Handover Failures (HoF). These can be cause by bad link quality either DL or UL (resulting failed measurement report or handover command exchange) which in turn can be result of too late or too early procedure start. In context of LTE, </w:t>
      </w:r>
      <w:proofErr w:type="gramStart"/>
      <w:r w:rsidRPr="000E7EA2">
        <w:t>various different</w:t>
      </w:r>
      <w:proofErr w:type="gramEnd"/>
      <w:r w:rsidRPr="000E7EA2">
        <w:t xml:space="preserve"> enhancement mechanisms have been considered and introduced </w:t>
      </w:r>
      <w:r w:rsidR="0041004D">
        <w:fldChar w:fldCharType="begin"/>
      </w:r>
      <w:r w:rsidR="0041004D">
        <w:instrText xml:space="preserve"> REF _Ref786646 \r \h </w:instrText>
      </w:r>
      <w:r w:rsidR="0041004D">
        <w:fldChar w:fldCharType="separate"/>
      </w:r>
      <w:r w:rsidR="0041004D">
        <w:t>[9]</w:t>
      </w:r>
      <w:r w:rsidR="0041004D">
        <w:fldChar w:fldCharType="end"/>
      </w:r>
      <w:r w:rsidR="0041004D">
        <w:t>, which could be also be considered for NR, on suitable parts. Other alternative solutions could also be considered.</w:t>
      </w:r>
    </w:p>
    <w:p w14:paraId="3810851A" w14:textId="70E35907" w:rsidR="00735377" w:rsidRPr="000E7EA2" w:rsidRDefault="000E7EA2" w:rsidP="006A0DD3">
      <w:r w:rsidRPr="000E7EA2">
        <w:t>One additional potential solution, conditional HO</w:t>
      </w:r>
      <w:r>
        <w:t xml:space="preserve">, has been also discussed in past </w:t>
      </w:r>
      <w:r>
        <w:fldChar w:fldCharType="begin"/>
      </w:r>
      <w:r>
        <w:instrText xml:space="preserve"> REF _Ref786387 \r \h </w:instrText>
      </w:r>
      <w:r>
        <w:fldChar w:fldCharType="separate"/>
      </w:r>
      <w:r>
        <w:t>[10]</w:t>
      </w:r>
      <w:r>
        <w:fldChar w:fldCharType="end"/>
      </w:r>
      <w:r w:rsidR="002B1F83" w:rsidRPr="000E7EA2">
        <w:t xml:space="preserve">. </w:t>
      </w:r>
      <w:r>
        <w:t xml:space="preserve">The main idea of the conditional handover is to send the handover command very early, and along with an additional execution condition. In contrast to the legacy handover, where the UE immediately accesses the target cell (which is very likely to be unstable due to the early execution), the UE will only access the target cell when the execution condition triggers. Since this might be done even without contacting the source cell, this is also called </w:t>
      </w:r>
      <w:r>
        <w:rPr>
          <w:i/>
        </w:rPr>
        <w:t>UE autonomous handover</w:t>
      </w:r>
      <w:r>
        <w:t>. However, i</w:t>
      </w:r>
      <w:r w:rsidR="00735377" w:rsidRPr="000E7EA2">
        <w:t xml:space="preserve">n context of </w:t>
      </w:r>
      <w:r w:rsidR="002B1F83" w:rsidRPr="000E7EA2">
        <w:t xml:space="preserve">conditional HO and mobility robustness in general, it could be </w:t>
      </w:r>
      <w:r>
        <w:t xml:space="preserve">beneficial </w:t>
      </w:r>
      <w:r w:rsidR="002B1F83" w:rsidRPr="000E7EA2">
        <w:t>to consider in NR the beam domain aspects</w:t>
      </w:r>
      <w:r>
        <w:t xml:space="preserve"> related to ha</w:t>
      </w:r>
      <w:r w:rsidR="00C6608A">
        <w:t>n</w:t>
      </w:r>
      <w:r>
        <w:t>dover procedure</w:t>
      </w:r>
      <w:r w:rsidR="002B1F83" w:rsidRPr="000E7EA2">
        <w:t xml:space="preserve">. The main issue for the beam domain would be risk/possibility that the initial beams e.g. based on </w:t>
      </w:r>
      <w:r w:rsidR="00CC3201" w:rsidRPr="000E7EA2">
        <w:t>earlier measurements prior conditional HO configuration</w:t>
      </w:r>
      <w:r w:rsidR="002B1F83" w:rsidRPr="000E7EA2">
        <w:t xml:space="preserve">, are not valid </w:t>
      </w:r>
      <w:r w:rsidR="00CC3201" w:rsidRPr="000E7EA2">
        <w:t>anymore when the conditional HO is triggered</w:t>
      </w:r>
      <w:r w:rsidR="002B1F83" w:rsidRPr="000E7EA2">
        <w:t xml:space="preserve">. </w:t>
      </w:r>
    </w:p>
    <w:p w14:paraId="214AD413" w14:textId="3019B851" w:rsidR="00BC1AF1" w:rsidRPr="000E7EA2" w:rsidRDefault="00BC1AF1" w:rsidP="006A0DD3">
      <w:r w:rsidRPr="000E7EA2">
        <w:rPr>
          <w:b/>
        </w:rPr>
        <w:t>Observation</w:t>
      </w:r>
      <w:r w:rsidR="00B51B9A">
        <w:rPr>
          <w:b/>
        </w:rPr>
        <w:t xml:space="preserve"> 4</w:t>
      </w:r>
      <w:r w:rsidRPr="000E7EA2">
        <w:rPr>
          <w:b/>
        </w:rPr>
        <w:t>:</w:t>
      </w:r>
      <w:r w:rsidR="000E7EA2">
        <w:t xml:space="preserve"> Beam domain aspects could be considered in conjunction of mobility robustness enhancements</w:t>
      </w:r>
      <w:r w:rsidR="00E83F8C">
        <w:t>.</w:t>
      </w:r>
    </w:p>
    <w:p w14:paraId="50FDDAAC" w14:textId="2DABA51F" w:rsidR="00BC1AF1" w:rsidRPr="000E7EA2" w:rsidRDefault="00BC1AF1" w:rsidP="006A0DD3">
      <w:r w:rsidRPr="000E7EA2">
        <w:t>As discussed for reducing interruption, simultaneous connectivity</w:t>
      </w:r>
      <w:r w:rsidR="00BB7F07">
        <w:t xml:space="preserve"> based</w:t>
      </w:r>
      <w:r w:rsidRPr="000E7EA2">
        <w:t xml:space="preserve"> solutions</w:t>
      </w:r>
      <w:r w:rsidR="00BB7F07">
        <w:t xml:space="preserve"> (e.g. Dual Connected HO)</w:t>
      </w:r>
      <w:r w:rsidRPr="000E7EA2">
        <w:t xml:space="preserve"> could also be considered for mobility robustness</w:t>
      </w:r>
      <w:r w:rsidR="00322116" w:rsidRPr="000E7EA2">
        <w:t xml:space="preserve">. </w:t>
      </w:r>
      <w:r w:rsidR="00BB7F07">
        <w:t>The Dual Connected HO (split bearer or non-split bearer) is one of the candidate solutions for the minimization of user data interruption in LTE, and most likely for NR as well. Like discussed in Section 2.2, the general assumption is that a UE establishes the link to the target cell BEFORE detaching from the source cell. Depending on RAN2 approach (split bearer or non-split bearer) different approaches could be considered</w:t>
      </w:r>
      <w:r w:rsidR="00B51B9A">
        <w:t xml:space="preserve"> and necessary UE requirement would need to be considered</w:t>
      </w:r>
      <w:r w:rsidR="00BB7F07">
        <w:t xml:space="preserve">. </w:t>
      </w:r>
    </w:p>
    <w:p w14:paraId="5AADB120" w14:textId="77777777" w:rsidR="00BC1AF1" w:rsidRPr="000E7EA2" w:rsidRDefault="00BC1AF1" w:rsidP="006A0DD3"/>
    <w:p w14:paraId="10445A01" w14:textId="480CC7E1" w:rsidR="00885580" w:rsidRPr="000E7EA2" w:rsidRDefault="007820D0" w:rsidP="00885580">
      <w:pPr>
        <w:pStyle w:val="Heading1"/>
      </w:pPr>
      <w:r w:rsidRPr="000E7EA2">
        <w:t>Conclusion</w:t>
      </w:r>
    </w:p>
    <w:p w14:paraId="474D383A" w14:textId="2CEA54AE" w:rsidR="00F2352A" w:rsidRDefault="00F2352A" w:rsidP="00885580">
      <w:r>
        <w:t>In this contribution we have initiated the discussion related to NR mobility enhancements. It is understood that this work is mainly driven by RAN2 decisions and solutions, and in context of those following observations are made:-</w:t>
      </w:r>
    </w:p>
    <w:p w14:paraId="6A1C824E" w14:textId="306F32A3" w:rsidR="00F2352A" w:rsidRPr="000E7EA2" w:rsidRDefault="00F2352A" w:rsidP="00F2352A">
      <w:pPr>
        <w:rPr>
          <w:rFonts w:eastAsiaTheme="minorHAnsi"/>
        </w:rPr>
      </w:pPr>
      <w:r w:rsidRPr="000E7EA2">
        <w:rPr>
          <w:rFonts w:eastAsiaTheme="minorHAnsi"/>
          <w:b/>
        </w:rPr>
        <w:t>Observation</w:t>
      </w:r>
      <w:r w:rsidR="00B51B9A">
        <w:rPr>
          <w:rFonts w:eastAsiaTheme="minorHAnsi"/>
          <w:b/>
        </w:rPr>
        <w:t xml:space="preserve"> 1</w:t>
      </w:r>
      <w:r w:rsidRPr="000E7EA2">
        <w:rPr>
          <w:rFonts w:eastAsiaTheme="minorHAnsi"/>
          <w:b/>
        </w:rPr>
        <w:t>:</w:t>
      </w:r>
      <w:r w:rsidRPr="000E7EA2">
        <w:rPr>
          <w:rFonts w:eastAsiaTheme="minorHAnsi"/>
        </w:rPr>
        <w:t xml:space="preserve"> The service interruption in NR can be defined as the duration between the point in time when the UE stops transmission/reception with the source gNB and the time when target gNB resumes the transmission/reception with the UE after UE has sent </w:t>
      </w:r>
      <w:r w:rsidRPr="000E7EA2">
        <w:rPr>
          <w:rFonts w:eastAsiaTheme="minorHAnsi"/>
          <w:i/>
        </w:rPr>
        <w:t>RRCReconfigurationComplete</w:t>
      </w:r>
      <w:r w:rsidRPr="000E7EA2">
        <w:rPr>
          <w:rFonts w:eastAsiaTheme="minorHAnsi"/>
        </w:rPr>
        <w:t xml:space="preserve">.   </w:t>
      </w:r>
    </w:p>
    <w:p w14:paraId="7342D398" w14:textId="6B6D8E00" w:rsidR="00F2352A" w:rsidRPr="000E7EA2" w:rsidRDefault="00F2352A" w:rsidP="00F2352A">
      <w:pPr>
        <w:rPr>
          <w:rFonts w:eastAsia="MS Mincho"/>
          <w:lang w:eastAsia="ja-JP"/>
        </w:rPr>
      </w:pPr>
      <w:r w:rsidRPr="000E7EA2">
        <w:rPr>
          <w:b/>
          <w:lang w:eastAsia="zh-CN"/>
        </w:rPr>
        <w:t>Observation</w:t>
      </w:r>
      <w:r w:rsidR="00B51B9A">
        <w:rPr>
          <w:b/>
          <w:lang w:eastAsia="zh-CN"/>
        </w:rPr>
        <w:t xml:space="preserve"> 2</w:t>
      </w:r>
      <w:r w:rsidRPr="000E7EA2">
        <w:rPr>
          <w:b/>
          <w:lang w:eastAsia="zh-CN"/>
        </w:rPr>
        <w:t>:</w:t>
      </w:r>
      <w:r w:rsidRPr="000E7EA2">
        <w:rPr>
          <w:lang w:eastAsia="zh-CN"/>
        </w:rPr>
        <w:t xml:space="preserve"> Make-before-Break and RACH procedure related enhancements should be studied for mobility enhancements. For RACH enhancements, RACH-less HO and 2-step RACH could be considered.</w:t>
      </w:r>
    </w:p>
    <w:p w14:paraId="0522023C" w14:textId="06947E14" w:rsidR="00F2352A" w:rsidRPr="00C76804" w:rsidRDefault="00F2352A" w:rsidP="00F2352A">
      <w:pPr>
        <w:overflowPunct/>
        <w:autoSpaceDE/>
        <w:autoSpaceDN/>
        <w:adjustRightInd/>
        <w:textAlignment w:val="auto"/>
        <w:rPr>
          <w:rFonts w:eastAsia="Times New Roman"/>
        </w:rPr>
      </w:pPr>
      <w:r w:rsidRPr="000E7EA2">
        <w:rPr>
          <w:rFonts w:eastAsia="Times New Roman"/>
          <w:b/>
        </w:rPr>
        <w:t>Observation</w:t>
      </w:r>
      <w:r w:rsidR="00B51B9A">
        <w:rPr>
          <w:rFonts w:eastAsia="Times New Roman"/>
          <w:b/>
        </w:rPr>
        <w:t xml:space="preserve"> 3</w:t>
      </w:r>
      <w:r w:rsidRPr="000E7EA2">
        <w:rPr>
          <w:rFonts w:eastAsia="Times New Roman"/>
          <w:b/>
        </w:rPr>
        <w:t>:</w:t>
      </w:r>
      <w:r w:rsidRPr="000E7EA2">
        <w:rPr>
          <w:rFonts w:eastAsia="Times New Roman"/>
        </w:rPr>
        <w:t xml:space="preserve"> Simultaneous connectivity solutions covering 1TX and 2TX implementations should be studied for NR mobility enhancements.</w:t>
      </w:r>
    </w:p>
    <w:p w14:paraId="4B46CFC8" w14:textId="0F9E5CF4" w:rsidR="00F2352A" w:rsidRPr="000E7EA2" w:rsidRDefault="00F2352A" w:rsidP="00F2352A">
      <w:r w:rsidRPr="000E7EA2">
        <w:rPr>
          <w:b/>
        </w:rPr>
        <w:t>Observation</w:t>
      </w:r>
      <w:r w:rsidR="00B51B9A">
        <w:rPr>
          <w:b/>
        </w:rPr>
        <w:t xml:space="preserve"> 4</w:t>
      </w:r>
      <w:r w:rsidRPr="000E7EA2">
        <w:rPr>
          <w:b/>
        </w:rPr>
        <w:t>:</w:t>
      </w:r>
      <w:r>
        <w:t xml:space="preserve"> Beam domain aspects could be considered in conjunction of mobility robustness enhancements.</w:t>
      </w:r>
    </w:p>
    <w:p w14:paraId="0FACC9CC" w14:textId="77777777" w:rsidR="00F2352A" w:rsidRPr="000E7EA2" w:rsidRDefault="00F2352A" w:rsidP="00885580"/>
    <w:p w14:paraId="53CD9119" w14:textId="77777777" w:rsidR="00885580" w:rsidRPr="000E7EA2" w:rsidRDefault="00885580" w:rsidP="00885580">
      <w:pPr>
        <w:pStyle w:val="Heading1"/>
        <w:numPr>
          <w:ilvl w:val="0"/>
          <w:numId w:val="0"/>
        </w:numPr>
      </w:pPr>
      <w:r w:rsidRPr="000E7EA2">
        <w:t>References</w:t>
      </w:r>
    </w:p>
    <w:p w14:paraId="42585CD1" w14:textId="2B2A3C55" w:rsidR="00366C1B" w:rsidRPr="000E7EA2" w:rsidRDefault="00671655" w:rsidP="007820D0">
      <w:pPr>
        <w:pStyle w:val="ListParagraph"/>
        <w:numPr>
          <w:ilvl w:val="0"/>
          <w:numId w:val="12"/>
        </w:numPr>
        <w:rPr>
          <w:sz w:val="20"/>
          <w:lang w:val="en-GB"/>
        </w:rPr>
      </w:pPr>
      <w:bookmarkStart w:id="2" w:name="_Ref769929"/>
      <w:r w:rsidRPr="000E7EA2">
        <w:rPr>
          <w:sz w:val="20"/>
          <w:lang w:val="en-GB"/>
        </w:rPr>
        <w:t>RP-181433</w:t>
      </w:r>
      <w:r w:rsidR="00366C1B" w:rsidRPr="000E7EA2">
        <w:rPr>
          <w:sz w:val="20"/>
          <w:lang w:val="en-GB"/>
        </w:rPr>
        <w:t xml:space="preserve">, </w:t>
      </w:r>
      <w:r w:rsidRPr="000E7EA2">
        <w:rPr>
          <w:sz w:val="20"/>
          <w:lang w:val="en-GB"/>
        </w:rPr>
        <w:t>New WID: NR mobility enhancements, 3GPP TSG RAN#80</w:t>
      </w:r>
      <w:bookmarkEnd w:id="2"/>
    </w:p>
    <w:p w14:paraId="5EB5458E" w14:textId="77777777" w:rsidR="00703C15" w:rsidRPr="000E7EA2" w:rsidRDefault="00703C15" w:rsidP="00703C15">
      <w:pPr>
        <w:pStyle w:val="ListParagraph"/>
        <w:numPr>
          <w:ilvl w:val="0"/>
          <w:numId w:val="12"/>
        </w:numPr>
        <w:rPr>
          <w:sz w:val="20"/>
          <w:lang w:val="en-GB"/>
        </w:rPr>
      </w:pPr>
      <w:bookmarkStart w:id="3" w:name="_Ref770993"/>
      <w:r w:rsidRPr="000E7EA2">
        <w:rPr>
          <w:sz w:val="20"/>
          <w:lang w:val="en-GB"/>
        </w:rPr>
        <w:t>3GPP TR 36.881 Study on latency reduction techniques for LTE.</w:t>
      </w:r>
      <w:bookmarkEnd w:id="3"/>
    </w:p>
    <w:p w14:paraId="486374D1" w14:textId="77777777" w:rsidR="00703C15" w:rsidRPr="000E7EA2" w:rsidRDefault="00703C15" w:rsidP="00703C15">
      <w:pPr>
        <w:pStyle w:val="ListParagraph"/>
        <w:numPr>
          <w:ilvl w:val="0"/>
          <w:numId w:val="12"/>
        </w:numPr>
        <w:rPr>
          <w:sz w:val="20"/>
          <w:lang w:val="en-GB"/>
        </w:rPr>
      </w:pPr>
      <w:r w:rsidRPr="000E7EA2">
        <w:rPr>
          <w:sz w:val="20"/>
          <w:lang w:val="en-GB"/>
        </w:rPr>
        <w:t>3GPP TS 38.300, NR; NR and NG-RAN Overall Description; Stage 2 (Release 15).</w:t>
      </w:r>
    </w:p>
    <w:p w14:paraId="7C5F8C0F" w14:textId="77777777" w:rsidR="00F11481" w:rsidRPr="000E7EA2" w:rsidRDefault="00F11481" w:rsidP="00F11481">
      <w:pPr>
        <w:pStyle w:val="ListParagraph"/>
        <w:numPr>
          <w:ilvl w:val="0"/>
          <w:numId w:val="12"/>
        </w:numPr>
        <w:rPr>
          <w:sz w:val="20"/>
          <w:lang w:val="en-GB"/>
        </w:rPr>
      </w:pPr>
      <w:bookmarkStart w:id="4" w:name="_Ref772849"/>
      <w:r w:rsidRPr="000E7EA2">
        <w:rPr>
          <w:sz w:val="20"/>
          <w:lang w:val="en-GB"/>
        </w:rPr>
        <w:t>3GPP TS 38.133, Requirements for support of radio resource management (Release 15).</w:t>
      </w:r>
      <w:bookmarkEnd w:id="4"/>
    </w:p>
    <w:p w14:paraId="6FB15226" w14:textId="77777777" w:rsidR="00F11481" w:rsidRPr="000E7EA2" w:rsidRDefault="00F11481" w:rsidP="00F11481">
      <w:pPr>
        <w:pStyle w:val="ListParagraph"/>
        <w:numPr>
          <w:ilvl w:val="0"/>
          <w:numId w:val="12"/>
        </w:numPr>
        <w:rPr>
          <w:sz w:val="20"/>
          <w:lang w:val="en-GB"/>
        </w:rPr>
      </w:pPr>
      <w:bookmarkStart w:id="5" w:name="_Ref772866"/>
      <w:r w:rsidRPr="000E7EA2">
        <w:rPr>
          <w:sz w:val="20"/>
          <w:lang w:val="en-GB"/>
        </w:rPr>
        <w:t>3GPP TS 38.331, Radio Resource Control (RRC) protocol specification (Release 15).</w:t>
      </w:r>
      <w:bookmarkEnd w:id="5"/>
    </w:p>
    <w:p w14:paraId="387B5041" w14:textId="77777777" w:rsidR="0080762A" w:rsidRPr="000E7EA2" w:rsidRDefault="0080762A" w:rsidP="0080762A">
      <w:pPr>
        <w:pStyle w:val="ListParagraph"/>
        <w:numPr>
          <w:ilvl w:val="0"/>
          <w:numId w:val="12"/>
        </w:numPr>
        <w:rPr>
          <w:sz w:val="20"/>
          <w:lang w:val="en-GB"/>
        </w:rPr>
      </w:pPr>
      <w:bookmarkStart w:id="6" w:name="_Ref773233"/>
      <w:r w:rsidRPr="000E7EA2">
        <w:rPr>
          <w:sz w:val="20"/>
          <w:lang w:val="en-GB"/>
        </w:rPr>
        <w:t>3GPP TS 36.300, Overall description, Stage 2 (Release 15).</w:t>
      </w:r>
      <w:bookmarkEnd w:id="6"/>
    </w:p>
    <w:p w14:paraId="0E595F93" w14:textId="0AF8D429" w:rsidR="00671655" w:rsidRPr="000E7EA2" w:rsidRDefault="00CB13E2" w:rsidP="00CB13E2">
      <w:pPr>
        <w:pStyle w:val="ListParagraph"/>
        <w:numPr>
          <w:ilvl w:val="0"/>
          <w:numId w:val="12"/>
        </w:numPr>
        <w:rPr>
          <w:sz w:val="20"/>
          <w:lang w:val="en-GB"/>
        </w:rPr>
      </w:pPr>
      <w:bookmarkStart w:id="7" w:name="_Ref773821"/>
      <w:r w:rsidRPr="000E7EA2">
        <w:rPr>
          <w:sz w:val="20"/>
          <w:lang w:val="en-GB"/>
        </w:rPr>
        <w:t>RP-182894, New WID: 2-step RACH for NR, 3GPP TSG RAN#82.</w:t>
      </w:r>
      <w:bookmarkEnd w:id="7"/>
    </w:p>
    <w:p w14:paraId="209916CC" w14:textId="28C2CD7F" w:rsidR="00CB13E2" w:rsidRPr="000E7EA2" w:rsidRDefault="00CB13E2" w:rsidP="00CB13E2">
      <w:pPr>
        <w:pStyle w:val="ListParagraph"/>
        <w:numPr>
          <w:ilvl w:val="0"/>
          <w:numId w:val="12"/>
        </w:numPr>
        <w:rPr>
          <w:sz w:val="20"/>
          <w:lang w:val="en-GB"/>
        </w:rPr>
      </w:pPr>
      <w:bookmarkStart w:id="8" w:name="_Ref773809"/>
      <w:r w:rsidRPr="000E7EA2">
        <w:rPr>
          <w:sz w:val="20"/>
          <w:lang w:val="en-GB"/>
        </w:rPr>
        <w:t>R1-1901192,</w:t>
      </w:r>
      <w:r w:rsidRPr="000E7EA2">
        <w:rPr>
          <w:lang w:val="en-GB"/>
        </w:rPr>
        <w:t xml:space="preserve"> </w:t>
      </w:r>
      <w:r w:rsidRPr="000E7EA2">
        <w:rPr>
          <w:sz w:val="20"/>
          <w:lang w:val="en-GB"/>
        </w:rPr>
        <w:t>On 2-step Random Access Procedure, Nokia, Nokia Shanghai Bell</w:t>
      </w:r>
      <w:bookmarkEnd w:id="8"/>
    </w:p>
    <w:p w14:paraId="1B7BA4F2" w14:textId="2630E7EC" w:rsidR="00626BE0" w:rsidRPr="000E7EA2" w:rsidRDefault="00626BE0" w:rsidP="00626BE0">
      <w:pPr>
        <w:pStyle w:val="ListParagraph"/>
        <w:numPr>
          <w:ilvl w:val="0"/>
          <w:numId w:val="12"/>
        </w:numPr>
        <w:rPr>
          <w:sz w:val="20"/>
          <w:lang w:val="en-GB"/>
        </w:rPr>
      </w:pPr>
      <w:bookmarkStart w:id="9" w:name="_Ref786646"/>
      <w:r w:rsidRPr="000E7EA2">
        <w:rPr>
          <w:sz w:val="20"/>
          <w:lang w:val="en-GB"/>
        </w:rPr>
        <w:t xml:space="preserve">R2-1814463, Potential Improvements of Mobility Robustness in LTE, </w:t>
      </w:r>
      <w:r w:rsidR="00BE2C2F" w:rsidRPr="000E7EA2">
        <w:rPr>
          <w:sz w:val="20"/>
          <w:lang w:val="en-GB"/>
        </w:rPr>
        <w:t>Nokia, Nokia Shanghai Bell</w:t>
      </w:r>
      <w:bookmarkEnd w:id="9"/>
    </w:p>
    <w:p w14:paraId="5452579A" w14:textId="77CF6D75" w:rsidR="00626BE0" w:rsidRDefault="000E7EA2" w:rsidP="000E7EA2">
      <w:pPr>
        <w:pStyle w:val="ListParagraph"/>
        <w:numPr>
          <w:ilvl w:val="0"/>
          <w:numId w:val="12"/>
        </w:numPr>
        <w:rPr>
          <w:sz w:val="20"/>
          <w:lang w:val="en-GB"/>
        </w:rPr>
      </w:pPr>
      <w:bookmarkStart w:id="10" w:name="_Ref786387"/>
      <w:r w:rsidRPr="000E7EA2">
        <w:rPr>
          <w:sz w:val="20"/>
          <w:lang w:val="en-GB"/>
        </w:rPr>
        <w:t>R2-1803343, On the opportunities and threa</w:t>
      </w:r>
      <w:r>
        <w:rPr>
          <w:sz w:val="20"/>
          <w:lang w:val="en-GB"/>
        </w:rPr>
        <w:t>ts of NR Conditional Handover, No</w:t>
      </w:r>
      <w:r w:rsidRPr="000E7EA2">
        <w:rPr>
          <w:sz w:val="20"/>
          <w:lang w:val="en-GB"/>
        </w:rPr>
        <w:t>kia</w:t>
      </w:r>
      <w:r>
        <w:rPr>
          <w:sz w:val="20"/>
          <w:lang w:val="en-GB"/>
        </w:rPr>
        <w:t>, Nokia Shanghai Bell</w:t>
      </w:r>
      <w:bookmarkEnd w:id="10"/>
    </w:p>
    <w:p w14:paraId="73FDFBFE" w14:textId="356ED8A0" w:rsidR="00BB7F07" w:rsidRPr="000E7EA2" w:rsidRDefault="00C716D5" w:rsidP="00BB7F07">
      <w:pPr>
        <w:pStyle w:val="ListParagraph"/>
        <w:numPr>
          <w:ilvl w:val="0"/>
          <w:numId w:val="12"/>
        </w:numPr>
        <w:rPr>
          <w:sz w:val="20"/>
          <w:lang w:val="en-GB"/>
        </w:rPr>
      </w:pPr>
      <w:bookmarkStart w:id="11" w:name="_Ref787144"/>
      <w:r w:rsidRPr="00450515">
        <w:rPr>
          <w:sz w:val="20"/>
          <w:lang w:val="en-GB"/>
        </w:rPr>
        <w:lastRenderedPageBreak/>
        <w:t>R4-1706913</w:t>
      </w:r>
      <w:r w:rsidR="00BB7F07">
        <w:rPr>
          <w:sz w:val="20"/>
          <w:lang w:val="en-GB"/>
        </w:rPr>
        <w:t xml:space="preserve">, </w:t>
      </w:r>
      <w:r w:rsidRPr="00C716D5">
        <w:rPr>
          <w:sz w:val="20"/>
          <w:lang w:val="en-GB"/>
        </w:rPr>
        <w:t>Reply LS on the feasibility of DC-related mobility enhancements in NR</w:t>
      </w:r>
      <w:r w:rsidR="00BB7F07">
        <w:rPr>
          <w:sz w:val="20"/>
          <w:lang w:val="en-GB"/>
        </w:rPr>
        <w:t>, RAN</w:t>
      </w:r>
      <w:r>
        <w:rPr>
          <w:sz w:val="20"/>
          <w:lang w:val="en-GB"/>
        </w:rPr>
        <w:t>4</w:t>
      </w:r>
      <w:bookmarkEnd w:id="11"/>
    </w:p>
    <w:p w14:paraId="7FF5F37B" w14:textId="7A1BE7F4" w:rsidR="00961EE9" w:rsidRPr="000E7EA2" w:rsidRDefault="00961EE9" w:rsidP="00D37A1A"/>
    <w:p w14:paraId="1B9E7387" w14:textId="77777777" w:rsidR="00626BE0" w:rsidRPr="000E7EA2" w:rsidRDefault="00626BE0" w:rsidP="00D37A1A"/>
    <w:sectPr w:rsidR="00626BE0" w:rsidRPr="000E7E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1C3D2" w14:textId="77777777" w:rsidR="009A2BB6" w:rsidRDefault="009A2BB6">
      <w:r>
        <w:separator/>
      </w:r>
    </w:p>
  </w:endnote>
  <w:endnote w:type="continuationSeparator" w:id="0">
    <w:p w14:paraId="0D163CE5" w14:textId="77777777" w:rsidR="009A2BB6" w:rsidRDefault="009A2BB6">
      <w:r>
        <w:continuationSeparator/>
      </w:r>
    </w:p>
  </w:endnote>
  <w:endnote w:type="continuationNotice" w:id="1">
    <w:p w14:paraId="69F6DD44" w14:textId="77777777" w:rsidR="00350A2C" w:rsidRDefault="00350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B03B3" w14:textId="77777777" w:rsidR="009A2BB6" w:rsidRDefault="009A2BB6">
      <w:r>
        <w:separator/>
      </w:r>
    </w:p>
  </w:footnote>
  <w:footnote w:type="continuationSeparator" w:id="0">
    <w:p w14:paraId="44A40000" w14:textId="77777777" w:rsidR="009A2BB6" w:rsidRDefault="009A2BB6">
      <w:r>
        <w:continuationSeparator/>
      </w:r>
    </w:p>
  </w:footnote>
  <w:footnote w:type="continuationNotice" w:id="1">
    <w:p w14:paraId="6C7CF9EE" w14:textId="77777777" w:rsidR="00350A2C" w:rsidRDefault="00350A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1"/>
  </w:num>
  <w:num w:numId="5">
    <w:abstractNumId w:val="8"/>
  </w:num>
  <w:num w:numId="6">
    <w:abstractNumId w:val="13"/>
  </w:num>
  <w:num w:numId="7">
    <w:abstractNumId w:val="9"/>
  </w:num>
  <w:num w:numId="8">
    <w:abstractNumId w:val="7"/>
  </w:num>
  <w:num w:numId="9">
    <w:abstractNumId w:val="14"/>
  </w:num>
  <w:num w:numId="10">
    <w:abstractNumId w:val="4"/>
  </w:num>
  <w:num w:numId="11">
    <w:abstractNumId w:val="10"/>
  </w:num>
  <w:num w:numId="12">
    <w:abstractNumId w:val="2"/>
  </w:num>
  <w:num w:numId="13">
    <w:abstractNumId w:val="6"/>
  </w:num>
  <w:num w:numId="14">
    <w:abstractNumId w:val="11"/>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4D4C"/>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8D9"/>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68D"/>
    <w:rsid w:val="000F68D0"/>
    <w:rsid w:val="000F6B15"/>
    <w:rsid w:val="000F6D8E"/>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F4E"/>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947"/>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F83"/>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0A2C"/>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0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515"/>
    <w:rsid w:val="004508A8"/>
    <w:rsid w:val="0045108E"/>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6EF"/>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E6D"/>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B5"/>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42E3"/>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6857"/>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6BE0"/>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C15"/>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377"/>
    <w:rsid w:val="00735C6F"/>
    <w:rsid w:val="00737A31"/>
    <w:rsid w:val="00742006"/>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0825"/>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37EA"/>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B9A"/>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45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AC4"/>
    <w:rsid w:val="00BA2BC9"/>
    <w:rsid w:val="00BA4641"/>
    <w:rsid w:val="00BA4A54"/>
    <w:rsid w:val="00BA76A9"/>
    <w:rsid w:val="00BB0595"/>
    <w:rsid w:val="00BB2F36"/>
    <w:rsid w:val="00BB3E2B"/>
    <w:rsid w:val="00BB5D1C"/>
    <w:rsid w:val="00BB6552"/>
    <w:rsid w:val="00BB65E0"/>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2C2F"/>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C"/>
    <w:rsid w:val="00C61D4B"/>
    <w:rsid w:val="00C62B0A"/>
    <w:rsid w:val="00C63C52"/>
    <w:rsid w:val="00C63F08"/>
    <w:rsid w:val="00C6528C"/>
    <w:rsid w:val="00C6608A"/>
    <w:rsid w:val="00C661E8"/>
    <w:rsid w:val="00C70084"/>
    <w:rsid w:val="00C7090B"/>
    <w:rsid w:val="00C716D5"/>
    <w:rsid w:val="00C7235B"/>
    <w:rsid w:val="00C72E18"/>
    <w:rsid w:val="00C731AD"/>
    <w:rsid w:val="00C7380B"/>
    <w:rsid w:val="00C74421"/>
    <w:rsid w:val="00C75F2F"/>
    <w:rsid w:val="00C75FEE"/>
    <w:rsid w:val="00C76804"/>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3E2"/>
    <w:rsid w:val="00CB1CAC"/>
    <w:rsid w:val="00CB1DE8"/>
    <w:rsid w:val="00CB1E3B"/>
    <w:rsid w:val="00CB1F1D"/>
    <w:rsid w:val="00CB6795"/>
    <w:rsid w:val="00CB71F8"/>
    <w:rsid w:val="00CC180A"/>
    <w:rsid w:val="00CC26DB"/>
    <w:rsid w:val="00CC300C"/>
    <w:rsid w:val="00CC3201"/>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A04"/>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1A5D"/>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3F8C"/>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E2"/>
    <w:rsid w:val="00F2052B"/>
    <w:rsid w:val="00F22183"/>
    <w:rsid w:val="00F2260F"/>
    <w:rsid w:val="00F2352A"/>
    <w:rsid w:val="00F242AD"/>
    <w:rsid w:val="00F247F2"/>
    <w:rsid w:val="00F2518F"/>
    <w:rsid w:val="00F252A8"/>
    <w:rsid w:val="00F25FDA"/>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5AIRPNAIUNRU-1328258698-333</_dlc_DocId>
    <_dlc_DocIdUrl xmlns="71c5aaf6-e6ce-465b-b873-5148d2a4c105">
      <Url>https://nokia.sharepoint.com/sites/c5g/5gradio/_layouts/15/DocIdRedir.aspx?ID=5AIRPNAIUNRU-1328258698-333</Url>
      <Description>5AIRPNAIUNRU-1328258698-333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82F39E38-56FE-4657-B2F1-167339851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71c5aaf6-e6ce-465b-b873-5148d2a4c105"/>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6.xml><?xml version="1.0" encoding="utf-8"?>
<ds:datastoreItem xmlns:ds="http://schemas.openxmlformats.org/officeDocument/2006/customXml" ds:itemID="{F29EEF83-C9D7-433F-934D-4AB8AB57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Networks</cp:lastModifiedBy>
  <cp:revision>2</cp:revision>
  <cp:lastPrinted>2016-06-20T11:35:00Z</cp:lastPrinted>
  <dcterms:created xsi:type="dcterms:W3CDTF">2019-02-15T21:31:00Z</dcterms:created>
  <dcterms:modified xsi:type="dcterms:W3CDTF">2019-02-15T21:31:00Z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12f4fe68-e01d-4cfd-8fec-140d88ee7724</vt:lpwstr>
  </property>
  <property fmtid="{D5CDD505-2E9C-101B-9397-08002B2CF9AE}" pid="9" name="AuthorIds_UIVersion_512">
    <vt:lpwstr>238</vt:lpwstr>
  </property>
</Properties>
</file>