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08F32C" w14:textId="5D81F022" w:rsidR="00CD2772" w:rsidRPr="004949E4" w:rsidRDefault="00D9347C" w:rsidP="00CD2772">
      <w:pPr>
        <w:tabs>
          <w:tab w:val="right" w:pos="9216"/>
        </w:tabs>
        <w:spacing w:after="0"/>
        <w:rPr>
          <w:b/>
        </w:rPr>
      </w:pPr>
      <w:r w:rsidRPr="004949E4">
        <w:rPr>
          <w:b/>
        </w:rPr>
        <w:t>3GPP TSG</w:t>
      </w:r>
      <w:r w:rsidR="003752BD">
        <w:rPr>
          <w:b/>
        </w:rPr>
        <w:t xml:space="preserve"> </w:t>
      </w:r>
      <w:bookmarkStart w:id="0" w:name="_GoBack"/>
      <w:bookmarkEnd w:id="0"/>
      <w:r w:rsidRPr="004949E4">
        <w:rPr>
          <w:b/>
        </w:rPr>
        <w:t>RAN WG4 Meeting #90</w:t>
      </w:r>
      <w:r w:rsidR="00CD2772" w:rsidRPr="004949E4">
        <w:rPr>
          <w:b/>
        </w:rPr>
        <w:tab/>
      </w:r>
      <w:r w:rsidR="003855C3" w:rsidRPr="003855C3">
        <w:rPr>
          <w:b/>
        </w:rPr>
        <w:t>R4-1901500</w:t>
      </w:r>
    </w:p>
    <w:p w14:paraId="3565A1D2" w14:textId="5FE88ECF" w:rsidR="00CD2772" w:rsidRPr="004949E4" w:rsidRDefault="00D9347C" w:rsidP="00CD2772">
      <w:pPr>
        <w:rPr>
          <w:b/>
        </w:rPr>
      </w:pPr>
      <w:r w:rsidRPr="004949E4">
        <w:rPr>
          <w:b/>
        </w:rPr>
        <w:t>Athens</w:t>
      </w:r>
      <w:r w:rsidR="00CD2772" w:rsidRPr="004949E4">
        <w:rPr>
          <w:b/>
        </w:rPr>
        <w:t xml:space="preserve">, </w:t>
      </w:r>
      <w:r w:rsidRPr="004949E4">
        <w:rPr>
          <w:b/>
        </w:rPr>
        <w:t>Greece</w:t>
      </w:r>
      <w:r w:rsidR="00CD2772" w:rsidRPr="004949E4">
        <w:rPr>
          <w:b/>
        </w:rPr>
        <w:t xml:space="preserve">, </w:t>
      </w:r>
      <w:r w:rsidRPr="004949E4">
        <w:rPr>
          <w:b/>
        </w:rPr>
        <w:t>February 25 – March 1, 2019</w:t>
      </w:r>
    </w:p>
    <w:p w14:paraId="16FDD008" w14:textId="77777777" w:rsidR="00CD2772" w:rsidRPr="004949E4" w:rsidRDefault="00CD2772" w:rsidP="00CD2772">
      <w:pPr>
        <w:pBdr>
          <w:top w:val="single" w:sz="4" w:space="1" w:color="auto"/>
        </w:pBdr>
        <w:spacing w:after="0"/>
        <w:rPr>
          <w:b/>
          <w:sz w:val="16"/>
        </w:rPr>
      </w:pPr>
    </w:p>
    <w:p w14:paraId="66C7E3F0" w14:textId="77777777" w:rsidR="00934609" w:rsidRPr="004949E4" w:rsidRDefault="00934609" w:rsidP="00934609">
      <w:pPr>
        <w:spacing w:after="60"/>
        <w:ind w:left="1555" w:hanging="1555"/>
        <w:rPr>
          <w:b/>
        </w:rPr>
      </w:pPr>
      <w:r w:rsidRPr="004949E4">
        <w:rPr>
          <w:b/>
        </w:rPr>
        <w:t>Agenda Item:</w:t>
      </w:r>
      <w:r w:rsidRPr="004949E4">
        <w:rPr>
          <w:b/>
        </w:rPr>
        <w:tab/>
      </w:r>
      <w:r>
        <w:rPr>
          <w:b/>
        </w:rPr>
        <w:t>6.10.2.3</w:t>
      </w:r>
    </w:p>
    <w:p w14:paraId="2222751C" w14:textId="43DBC2A2" w:rsidR="00CD2772" w:rsidRPr="004949E4" w:rsidRDefault="00934609" w:rsidP="00CD2772">
      <w:pPr>
        <w:spacing w:after="60"/>
        <w:ind w:left="1555" w:hanging="1555"/>
        <w:rPr>
          <w:b/>
        </w:rPr>
      </w:pPr>
      <w:r>
        <w:rPr>
          <w:b/>
        </w:rPr>
        <w:t>Source:</w:t>
      </w:r>
      <w:r w:rsidR="00CD2772" w:rsidRPr="004949E4">
        <w:rPr>
          <w:b/>
        </w:rPr>
        <w:tab/>
        <w:t>Huawei, HiSilicon</w:t>
      </w:r>
    </w:p>
    <w:p w14:paraId="1EF38179" w14:textId="5DB9C1D1" w:rsidR="00CD2772" w:rsidRPr="004949E4" w:rsidRDefault="00934609" w:rsidP="00CD2772">
      <w:pPr>
        <w:spacing w:after="60"/>
        <w:ind w:left="1555" w:hanging="1555"/>
        <w:rPr>
          <w:b/>
        </w:rPr>
      </w:pPr>
      <w:r>
        <w:rPr>
          <w:b/>
        </w:rPr>
        <w:t>Title:</w:t>
      </w:r>
      <w:r w:rsidR="00CD2772" w:rsidRPr="004949E4">
        <w:rPr>
          <w:b/>
        </w:rPr>
        <w:tab/>
      </w:r>
      <w:r w:rsidR="002B24FF" w:rsidRPr="002B24FF">
        <w:rPr>
          <w:b/>
        </w:rPr>
        <w:t xml:space="preserve">Discussion of </w:t>
      </w:r>
      <w:r w:rsidR="004A4D77">
        <w:rPr>
          <w:b/>
        </w:rPr>
        <w:t>clarifying EVM measurements for test models</w:t>
      </w:r>
    </w:p>
    <w:p w14:paraId="600AC811" w14:textId="77777777" w:rsidR="00CD2772" w:rsidRPr="004949E4" w:rsidRDefault="00CD2772" w:rsidP="00CD2772">
      <w:pPr>
        <w:spacing w:after="60"/>
        <w:ind w:left="1555" w:hanging="1555"/>
        <w:rPr>
          <w:b/>
        </w:rPr>
      </w:pPr>
      <w:r w:rsidRPr="004949E4">
        <w:rPr>
          <w:b/>
        </w:rPr>
        <w:t>Document for:</w:t>
      </w:r>
      <w:r w:rsidRPr="004949E4">
        <w:rPr>
          <w:b/>
        </w:rPr>
        <w:tab/>
        <w:t>Approval</w:t>
      </w:r>
    </w:p>
    <w:p w14:paraId="18AA1583" w14:textId="77777777" w:rsidR="00CD2772" w:rsidRPr="004949E4" w:rsidRDefault="00CD2772" w:rsidP="00CD2772">
      <w:pPr>
        <w:pBdr>
          <w:bottom w:val="single" w:sz="4" w:space="1" w:color="auto"/>
        </w:pBdr>
        <w:spacing w:after="0"/>
        <w:rPr>
          <w:b/>
          <w:sz w:val="16"/>
        </w:rPr>
      </w:pPr>
    </w:p>
    <w:p w14:paraId="5007F431" w14:textId="77777777" w:rsidR="003266DC" w:rsidRPr="004949E4" w:rsidRDefault="003266DC" w:rsidP="00CD2772"/>
    <w:p w14:paraId="5C2FDF14" w14:textId="0E25497E" w:rsidR="00BD44F8" w:rsidRPr="004949E4" w:rsidRDefault="00D9347C" w:rsidP="00992B54">
      <w:pPr>
        <w:pStyle w:val="Heading1"/>
      </w:pPr>
      <w:r w:rsidRPr="004949E4">
        <w:t>Introduction</w:t>
      </w:r>
    </w:p>
    <w:p w14:paraId="7A2CC169" w14:textId="2281AC7F" w:rsidR="00D9347C" w:rsidRPr="004949E4" w:rsidRDefault="00992B54" w:rsidP="00992B54">
      <w:r w:rsidRPr="004949E4">
        <w:t xml:space="preserve">During the drafting of the TPs for the test models in </w:t>
      </w:r>
      <w:proofErr w:type="spellStart"/>
      <w:r w:rsidRPr="004949E4">
        <w:t>subcla</w:t>
      </w:r>
      <w:r w:rsidR="006D504F" w:rsidRPr="004949E4">
        <w:t>u</w:t>
      </w:r>
      <w:r w:rsidRPr="004949E4">
        <w:t>se</w:t>
      </w:r>
      <w:proofErr w:type="spellEnd"/>
      <w:r w:rsidRPr="004949E4">
        <w:t xml:space="preserve"> 4.9.2.2 </w:t>
      </w:r>
      <w:r w:rsidR="00D9347C" w:rsidRPr="004949E4">
        <w:t>of</w:t>
      </w:r>
      <w:r w:rsidR="006D504F" w:rsidRPr="004949E4">
        <w:t xml:space="preserve"> </w:t>
      </w:r>
      <w:r w:rsidR="004A4D77">
        <w:t xml:space="preserve">TS </w:t>
      </w:r>
      <w:r w:rsidRPr="004949E4">
        <w:t>38.141-1</w:t>
      </w:r>
      <w:r w:rsidR="006D504F" w:rsidRPr="004949E4">
        <w:t xml:space="preserve"> </w:t>
      </w:r>
      <w:r w:rsidR="004A4D77">
        <w:fldChar w:fldCharType="begin"/>
      </w:r>
      <w:r w:rsidR="004A4D77">
        <w:instrText xml:space="preserve"> REF _Ref536782267 \r \h </w:instrText>
      </w:r>
      <w:r w:rsidR="004A4D77">
        <w:fldChar w:fldCharType="separate"/>
      </w:r>
      <w:r w:rsidR="004A4D77">
        <w:t>[2]</w:t>
      </w:r>
      <w:r w:rsidR="004A4D77">
        <w:fldChar w:fldCharType="end"/>
      </w:r>
      <w:r w:rsidR="004A4D77" w:rsidRPr="004949E4">
        <w:t xml:space="preserve"> </w:t>
      </w:r>
      <w:r w:rsidR="006D504F" w:rsidRPr="004949E4">
        <w:t>and</w:t>
      </w:r>
      <w:r w:rsidRPr="004949E4">
        <w:t xml:space="preserve"> </w:t>
      </w:r>
      <w:r w:rsidR="004A4D77">
        <w:t xml:space="preserve">TS </w:t>
      </w:r>
      <w:r w:rsidRPr="004949E4">
        <w:t>38.141-2</w:t>
      </w:r>
      <w:r w:rsidR="004A4D77">
        <w:t xml:space="preserve"> </w:t>
      </w:r>
      <w:r w:rsidR="004A4D77">
        <w:fldChar w:fldCharType="begin"/>
      </w:r>
      <w:r w:rsidR="004A4D77">
        <w:instrText xml:space="preserve"> REF _Ref536782268 \r \h </w:instrText>
      </w:r>
      <w:r w:rsidR="004A4D77">
        <w:fldChar w:fldCharType="separate"/>
      </w:r>
      <w:r w:rsidR="004A4D77">
        <w:t>[3]</w:t>
      </w:r>
      <w:r w:rsidR="004A4D77">
        <w:fldChar w:fldCharType="end"/>
      </w:r>
      <w:r w:rsidR="006D504F" w:rsidRPr="004949E4">
        <w:t xml:space="preserve">, </w:t>
      </w:r>
      <w:r w:rsidR="004A4D77">
        <w:t xml:space="preserve">the description of the EVM measurements in </w:t>
      </w:r>
      <w:proofErr w:type="spellStart"/>
      <w:r w:rsidR="004A4D77">
        <w:t>subclauses</w:t>
      </w:r>
      <w:proofErr w:type="spellEnd"/>
      <w:r w:rsidR="004A4D77">
        <w:t xml:space="preserve"> 6.5.2.3 and 9.6.2.3</w:t>
      </w:r>
      <w:r w:rsidR="00564D09">
        <w:t xml:space="preserve"> of TS 38.104</w:t>
      </w:r>
      <w:r w:rsidR="004A4D77">
        <w:t xml:space="preserve"> was modified in </w:t>
      </w:r>
      <w:r w:rsidR="004A4D77">
        <w:fldChar w:fldCharType="begin"/>
      </w:r>
      <w:r w:rsidR="004A4D77">
        <w:instrText xml:space="preserve"> REF _Ref536002892 \r \h </w:instrText>
      </w:r>
      <w:r w:rsidR="004A4D77">
        <w:fldChar w:fldCharType="separate"/>
      </w:r>
      <w:r w:rsidR="004A4D77">
        <w:t>[1]</w:t>
      </w:r>
      <w:r w:rsidR="004A4D77">
        <w:fldChar w:fldCharType="end"/>
      </w:r>
      <w:r w:rsidR="006D504F" w:rsidRPr="004949E4">
        <w:t>.</w:t>
      </w:r>
      <w:r w:rsidR="00D9347C" w:rsidRPr="004949E4">
        <w:t xml:space="preserve"> A</w:t>
      </w:r>
      <w:r w:rsidR="004A4D77">
        <w:t>fter some offline discussion and review of TS 38.104, some minor modifications are proposed in an accompanying draft CR</w:t>
      </w:r>
      <w:r w:rsidR="00226A80">
        <w:t xml:space="preserve"> </w:t>
      </w:r>
      <w:r w:rsidR="00226A80">
        <w:fldChar w:fldCharType="begin"/>
      </w:r>
      <w:r w:rsidR="00226A80">
        <w:instrText xml:space="preserve"> REF _Ref536782270 \r \h </w:instrText>
      </w:r>
      <w:r w:rsidR="00226A80">
        <w:fldChar w:fldCharType="separate"/>
      </w:r>
      <w:r w:rsidR="00226A80">
        <w:t>[5]</w:t>
      </w:r>
      <w:r w:rsidR="00226A80">
        <w:fldChar w:fldCharType="end"/>
      </w:r>
      <w:r w:rsidR="004A4D77">
        <w:t>.</w:t>
      </w:r>
    </w:p>
    <w:p w14:paraId="15248499" w14:textId="64BC8463" w:rsidR="00D9347C" w:rsidRDefault="004A4D77" w:rsidP="00D9347C">
      <w:pPr>
        <w:pStyle w:val="Heading1"/>
      </w:pPr>
      <w:r>
        <w:t>Discussion</w:t>
      </w:r>
    </w:p>
    <w:p w14:paraId="532C2FB2" w14:textId="34F18D43" w:rsidR="00564D09" w:rsidRDefault="00564D09" w:rsidP="00564D09">
      <w:pPr>
        <w:pStyle w:val="Heading2"/>
      </w:pPr>
      <w:r>
        <w:t>Measurements</w:t>
      </w:r>
    </w:p>
    <w:p w14:paraId="7C0DB54F" w14:textId="49DC2360" w:rsidR="00564D09" w:rsidRDefault="00226A80" w:rsidP="00564D09">
      <w:r>
        <w:t xml:space="preserve">The </w:t>
      </w:r>
      <w:proofErr w:type="spellStart"/>
      <w:r>
        <w:t>subclauses</w:t>
      </w:r>
      <w:proofErr w:type="spellEnd"/>
      <w:r>
        <w:t xml:space="preserve"> 6.5.2.3 and 9.6.2.3 of TS 38.104 </w:t>
      </w:r>
      <w:r>
        <w:fldChar w:fldCharType="begin"/>
      </w:r>
      <w:r>
        <w:instrText xml:space="preserve"> REF _Ref536782269 \r \h </w:instrText>
      </w:r>
      <w:r>
        <w:fldChar w:fldCharType="separate"/>
      </w:r>
      <w:r>
        <w:t>[4]</w:t>
      </w:r>
      <w:r>
        <w:fldChar w:fldCharType="end"/>
      </w:r>
      <w:r>
        <w:t xml:space="preserve"> mix both slots and subframes. While subframe is a valid term, the proper unit is slot. It is noted that with 15 kHz, the duration of a slot and a subframe is the same. The text change is to replace “subframe” with “slot” in </w:t>
      </w:r>
      <w:proofErr w:type="spellStart"/>
      <w:r>
        <w:t>subclauses</w:t>
      </w:r>
      <w:proofErr w:type="spellEnd"/>
      <w:r>
        <w:t xml:space="preserve"> 6.5.2.3 and </w:t>
      </w:r>
      <w:r w:rsidRPr="005A07C7">
        <w:t>9.6.2.3.1</w:t>
      </w:r>
      <w:r>
        <w:t xml:space="preserve"> so that the correct time unit is used.</w:t>
      </w:r>
    </w:p>
    <w:p w14:paraId="3D142BAB" w14:textId="3E2499D3" w:rsidR="00226A80" w:rsidRPr="00226A80" w:rsidRDefault="00226A80" w:rsidP="00564D09">
      <w:pPr>
        <w:rPr>
          <w:b/>
          <w:i/>
        </w:rPr>
      </w:pPr>
      <w:r w:rsidRPr="00226A80">
        <w:rPr>
          <w:b/>
          <w:i/>
        </w:rPr>
        <w:t xml:space="preserve">Proposal 1: Replace “subframe” with “slot” in </w:t>
      </w:r>
      <w:proofErr w:type="spellStart"/>
      <w:r w:rsidRPr="00226A80">
        <w:rPr>
          <w:b/>
          <w:i/>
        </w:rPr>
        <w:t>subclauses</w:t>
      </w:r>
      <w:proofErr w:type="spellEnd"/>
      <w:r w:rsidRPr="00226A80">
        <w:rPr>
          <w:b/>
          <w:i/>
        </w:rPr>
        <w:t xml:space="preserve"> 6.5.2.3 and 9.6.2.3.1</w:t>
      </w:r>
    </w:p>
    <w:p w14:paraId="31C51D08" w14:textId="71F77FA4" w:rsidR="00564D09" w:rsidRDefault="00564D09" w:rsidP="00564D09">
      <w:pPr>
        <w:pStyle w:val="Heading2"/>
      </w:pPr>
      <w:r>
        <w:t>Flexible slots</w:t>
      </w:r>
    </w:p>
    <w:p w14:paraId="54E04E23" w14:textId="75D52567" w:rsidR="0009229E" w:rsidRDefault="00AE069D" w:rsidP="00564D09">
      <w:r>
        <w:t xml:space="preserve">For downlink </w:t>
      </w:r>
      <w:r w:rsidR="0009229E">
        <w:t xml:space="preserve">FR1 </w:t>
      </w:r>
      <w:r>
        <w:t>slots, the locations of the DMRS are symbols 2</w:t>
      </w:r>
      <w:r w:rsidR="0009229E">
        <w:t xml:space="preserve"> and 11. For downlink FR2 slots, the location of the DMRS is symbol 2, and the locations of the PT-RS symbols are </w:t>
      </w:r>
      <w:r w:rsidR="005B0463">
        <w:t xml:space="preserve">3, </w:t>
      </w:r>
      <w:r w:rsidR="009878E7">
        <w:t xml:space="preserve">7, and </w:t>
      </w:r>
      <w:r w:rsidR="005B0463">
        <w:t>11</w:t>
      </w:r>
      <w:r w:rsidR="0009229E">
        <w:t>.</w:t>
      </w:r>
      <w:r>
        <w:t xml:space="preserve"> </w:t>
      </w:r>
    </w:p>
    <w:p w14:paraId="3EE89836" w14:textId="3C2278E5" w:rsidR="00564D09" w:rsidRDefault="00226A80" w:rsidP="00564D09">
      <w:r>
        <w:t>There are several issues with the measurements:</w:t>
      </w:r>
    </w:p>
    <w:p w14:paraId="27B98F0D" w14:textId="429AAD76" w:rsidR="00593488" w:rsidRDefault="00593488" w:rsidP="00593488">
      <w:pPr>
        <w:numPr>
          <w:ilvl w:val="0"/>
          <w:numId w:val="16"/>
        </w:numPr>
      </w:pPr>
      <w:r>
        <w:t xml:space="preserve">There are several types of flexible slots </w:t>
      </w:r>
      <w:r w:rsidR="0087769D">
        <w:t xml:space="preserve">described </w:t>
      </w:r>
      <w:r>
        <w:t>in the test models</w:t>
      </w:r>
    </w:p>
    <w:p w14:paraId="5B0167D7" w14:textId="4FE18821" w:rsidR="00593488" w:rsidRDefault="00593488" w:rsidP="00593488">
      <w:pPr>
        <w:numPr>
          <w:ilvl w:val="1"/>
          <w:numId w:val="16"/>
        </w:numPr>
      </w:pPr>
      <w:r>
        <w:t>A flexible slot begins with downlink symbols. The slot is either {sequence of downlink symbols, sequence of flexible symbols} or {sequence of downlink symbols, sequence of flexible symbols, sequence of uplink symbols}</w:t>
      </w:r>
    </w:p>
    <w:p w14:paraId="05CD23F5" w14:textId="09A9BDC3" w:rsidR="00593488" w:rsidRDefault="00593488" w:rsidP="00593488">
      <w:pPr>
        <w:numPr>
          <w:ilvl w:val="1"/>
          <w:numId w:val="16"/>
        </w:numPr>
      </w:pPr>
      <w:r>
        <w:t>A flexible slot begins with flexible symbols. The slot is {sequence of flexible symbols, sequence of uplink symbols}</w:t>
      </w:r>
    </w:p>
    <w:p w14:paraId="1D2E0CBF" w14:textId="717DE8F3" w:rsidR="00226A80" w:rsidRDefault="0087769D" w:rsidP="0087769D">
      <w:pPr>
        <w:numPr>
          <w:ilvl w:val="1"/>
          <w:numId w:val="16"/>
        </w:numPr>
      </w:pPr>
      <w:r>
        <w:t xml:space="preserve">To avoid measurements being performed on a flexible slot beginning with flexible symbols a restriction </w:t>
      </w:r>
      <w:r w:rsidR="00593488">
        <w:t>is captured using the sentence “</w:t>
      </w:r>
      <w:r w:rsidR="00593488" w:rsidRPr="00593488">
        <w:t>EVM measurements start on the third symbol of a slot (</w:t>
      </w:r>
      <w:r w:rsidR="00593488" w:rsidRPr="00593488">
        <w:rPr>
          <w:i/>
        </w:rPr>
        <w:t>l</w:t>
      </w:r>
      <w:r w:rsidR="00593488" w:rsidRPr="00593488">
        <w:t>=2) when the first symbol of that slot is a downlink symbol.</w:t>
      </w:r>
      <w:r w:rsidR="00593488">
        <w:t>”</w:t>
      </w:r>
    </w:p>
    <w:p w14:paraId="6A35C8A3" w14:textId="4B3EAE6C" w:rsidR="00226A80" w:rsidRDefault="0087769D" w:rsidP="00226A80">
      <w:pPr>
        <w:numPr>
          <w:ilvl w:val="0"/>
          <w:numId w:val="16"/>
        </w:numPr>
      </w:pPr>
      <w:r>
        <w:t>However, t</w:t>
      </w:r>
      <w:r w:rsidR="00226A80">
        <w:t xml:space="preserve">he number of downlink symbols in a flexible slot vary as a function of numerology and </w:t>
      </w:r>
      <w:r w:rsidR="00DB3AAB">
        <w:t>specification</w:t>
      </w:r>
      <w:r w:rsidR="0009229E">
        <w:t xml:space="preserve">, as indicated in </w:t>
      </w:r>
      <w:r w:rsidR="0009229E">
        <w:fldChar w:fldCharType="begin"/>
      </w:r>
      <w:r w:rsidR="0009229E">
        <w:instrText xml:space="preserve"> REF _Ref536782271 \h </w:instrText>
      </w:r>
      <w:r w:rsidR="0009229E">
        <w:fldChar w:fldCharType="separate"/>
      </w:r>
      <w:r w:rsidR="0009229E">
        <w:t xml:space="preserve">Table </w:t>
      </w:r>
      <w:r w:rsidR="0009229E">
        <w:rPr>
          <w:noProof/>
        </w:rPr>
        <w:t>1</w:t>
      </w:r>
      <w:r w:rsidR="0009229E">
        <w:fldChar w:fldCharType="end"/>
      </w:r>
      <w:r>
        <w:t>.</w:t>
      </w:r>
    </w:p>
    <w:p w14:paraId="75FBA94C" w14:textId="21A305FB" w:rsidR="0009229E" w:rsidRDefault="0009229E" w:rsidP="0009229E">
      <w:pPr>
        <w:pStyle w:val="Caption"/>
        <w:keepNext/>
      </w:pPr>
      <w:bookmarkStart w:id="1" w:name="_Ref536782271"/>
      <w:r>
        <w:t xml:space="preserve">Table </w:t>
      </w:r>
      <w:r w:rsidR="007227A2">
        <w:rPr>
          <w:noProof/>
        </w:rPr>
        <w:fldChar w:fldCharType="begin"/>
      </w:r>
      <w:r w:rsidR="007227A2">
        <w:rPr>
          <w:noProof/>
        </w:rPr>
        <w:instrText xml:space="preserve"> SEQ Table \* ARABIC </w:instrText>
      </w:r>
      <w:r w:rsidR="007227A2">
        <w:rPr>
          <w:noProof/>
        </w:rPr>
        <w:fldChar w:fldCharType="separate"/>
      </w:r>
      <w:r>
        <w:rPr>
          <w:noProof/>
        </w:rPr>
        <w:t>1</w:t>
      </w:r>
      <w:r w:rsidR="007227A2">
        <w:rPr>
          <w:noProof/>
        </w:rPr>
        <w:fldChar w:fldCharType="end"/>
      </w:r>
      <w:bookmarkEnd w:id="1"/>
      <w:r>
        <w:t>. Reference symbol locations</w:t>
      </w:r>
    </w:p>
    <w:tbl>
      <w:tblPr>
        <w:tblStyle w:val="TableGrid"/>
        <w:tblW w:w="5000" w:type="pct"/>
        <w:tblLook w:val="04A0" w:firstRow="1" w:lastRow="0" w:firstColumn="1" w:lastColumn="0" w:noHBand="0" w:noVBand="1"/>
      </w:tblPr>
      <w:tblGrid>
        <w:gridCol w:w="639"/>
        <w:gridCol w:w="1061"/>
        <w:gridCol w:w="1226"/>
        <w:gridCol w:w="2302"/>
        <w:gridCol w:w="1790"/>
        <w:gridCol w:w="2332"/>
      </w:tblGrid>
      <w:tr w:rsidR="00DB3AAB" w14:paraId="45C28AA4" w14:textId="1D8D493C" w:rsidTr="0009229E">
        <w:tc>
          <w:tcPr>
            <w:tcW w:w="342" w:type="pct"/>
          </w:tcPr>
          <w:p w14:paraId="1ED83DB7" w14:textId="5BEB9A7E" w:rsidR="00DB3AAB" w:rsidRDefault="00DB3AAB" w:rsidP="00DB3AAB">
            <w:pPr>
              <w:pStyle w:val="TableCell"/>
            </w:pPr>
            <w:r>
              <w:t>Test</w:t>
            </w:r>
          </w:p>
        </w:tc>
        <w:tc>
          <w:tcPr>
            <w:tcW w:w="567" w:type="pct"/>
          </w:tcPr>
          <w:p w14:paraId="2E88531C" w14:textId="4581F1E7" w:rsidR="00DB3AAB" w:rsidRDefault="00DB3AAB" w:rsidP="00DB3AAB">
            <w:pPr>
              <w:pStyle w:val="TableCell"/>
            </w:pPr>
            <w:r>
              <w:t>Frequency</w:t>
            </w:r>
          </w:p>
        </w:tc>
        <w:tc>
          <w:tcPr>
            <w:tcW w:w="656" w:type="pct"/>
          </w:tcPr>
          <w:p w14:paraId="68C4534B" w14:textId="196FD59B" w:rsidR="00DB3AAB" w:rsidRDefault="0009229E" w:rsidP="0009229E">
            <w:pPr>
              <w:pStyle w:val="TableCell"/>
            </w:pPr>
            <w:r>
              <w:t>SCS (kHz)</w:t>
            </w:r>
          </w:p>
        </w:tc>
        <w:tc>
          <w:tcPr>
            <w:tcW w:w="1231" w:type="pct"/>
          </w:tcPr>
          <w:p w14:paraId="4EBC5ED4" w14:textId="32FD9974" w:rsidR="00DB3AAB" w:rsidRDefault="00DB3AAB" w:rsidP="00DB3AAB">
            <w:pPr>
              <w:pStyle w:val="TableCell"/>
            </w:pPr>
            <w:r>
              <w:t>Number of downlink symbols in a flexible slot</w:t>
            </w:r>
          </w:p>
        </w:tc>
        <w:tc>
          <w:tcPr>
            <w:tcW w:w="957" w:type="pct"/>
          </w:tcPr>
          <w:p w14:paraId="2B8ECB26" w14:textId="3DACB586" w:rsidR="00DB3AAB" w:rsidRDefault="00DB3AAB" w:rsidP="00DB3AAB">
            <w:pPr>
              <w:pStyle w:val="TableCell"/>
            </w:pPr>
            <w:r>
              <w:t>DMRS symbol location, (0 based)</w:t>
            </w:r>
          </w:p>
        </w:tc>
        <w:tc>
          <w:tcPr>
            <w:tcW w:w="1247" w:type="pct"/>
          </w:tcPr>
          <w:p w14:paraId="503F4841" w14:textId="75222EF5" w:rsidR="00DB3AAB" w:rsidRDefault="00DB3AAB" w:rsidP="00DB3AAB">
            <w:pPr>
              <w:pStyle w:val="TableCell"/>
            </w:pPr>
            <w:r>
              <w:t>PTRS symbol location, (0 based)</w:t>
            </w:r>
          </w:p>
        </w:tc>
      </w:tr>
      <w:tr w:rsidR="00DB3AAB" w14:paraId="3C8BC12C" w14:textId="26C3CE11" w:rsidTr="0009229E">
        <w:tc>
          <w:tcPr>
            <w:tcW w:w="342" w:type="pct"/>
            <w:shd w:val="clear" w:color="auto" w:fill="EDEDED" w:themeFill="accent3" w:themeFillTint="33"/>
          </w:tcPr>
          <w:p w14:paraId="534D7CE9" w14:textId="3E793CFF" w:rsidR="00DB3AAB" w:rsidRDefault="00DB3AAB" w:rsidP="00DB3AAB">
            <w:pPr>
              <w:pStyle w:val="TableCell"/>
            </w:pPr>
            <w:r>
              <w:t>NR</w:t>
            </w:r>
          </w:p>
        </w:tc>
        <w:tc>
          <w:tcPr>
            <w:tcW w:w="567" w:type="pct"/>
            <w:shd w:val="clear" w:color="auto" w:fill="EDEDED" w:themeFill="accent3" w:themeFillTint="33"/>
          </w:tcPr>
          <w:p w14:paraId="0F297BE0" w14:textId="55AFFBCD" w:rsidR="00DB3AAB" w:rsidRDefault="00DB3AAB" w:rsidP="00DB3AAB">
            <w:pPr>
              <w:pStyle w:val="TableCell"/>
            </w:pPr>
            <w:r>
              <w:t>FR1</w:t>
            </w:r>
          </w:p>
        </w:tc>
        <w:tc>
          <w:tcPr>
            <w:tcW w:w="656" w:type="pct"/>
            <w:shd w:val="clear" w:color="auto" w:fill="EDEDED" w:themeFill="accent3" w:themeFillTint="33"/>
          </w:tcPr>
          <w:p w14:paraId="5EBDCD7C" w14:textId="726250F4" w:rsidR="00DB3AAB" w:rsidRDefault="00DB3AAB" w:rsidP="0009229E">
            <w:pPr>
              <w:pStyle w:val="TableCell"/>
            </w:pPr>
            <w:r>
              <w:t>15</w:t>
            </w:r>
          </w:p>
        </w:tc>
        <w:tc>
          <w:tcPr>
            <w:tcW w:w="1231" w:type="pct"/>
            <w:shd w:val="clear" w:color="auto" w:fill="EDEDED" w:themeFill="accent3" w:themeFillTint="33"/>
          </w:tcPr>
          <w:p w14:paraId="3280FBE5" w14:textId="332A8624" w:rsidR="00DB3AAB" w:rsidRDefault="00DB3AAB" w:rsidP="00DB3AAB">
            <w:pPr>
              <w:pStyle w:val="TableCell"/>
            </w:pPr>
            <w:r>
              <w:t>10</w:t>
            </w:r>
          </w:p>
        </w:tc>
        <w:tc>
          <w:tcPr>
            <w:tcW w:w="957" w:type="pct"/>
            <w:shd w:val="clear" w:color="auto" w:fill="EDEDED" w:themeFill="accent3" w:themeFillTint="33"/>
          </w:tcPr>
          <w:p w14:paraId="194C3E9C" w14:textId="29CA0AA9" w:rsidR="00DB3AAB" w:rsidRDefault="00DB3AAB" w:rsidP="00DB3AAB">
            <w:pPr>
              <w:pStyle w:val="TableCell"/>
            </w:pPr>
            <w:r>
              <w:t xml:space="preserve">2, </w:t>
            </w:r>
            <w:r w:rsidR="00EA7C18">
              <w:t>9</w:t>
            </w:r>
          </w:p>
        </w:tc>
        <w:tc>
          <w:tcPr>
            <w:tcW w:w="1247" w:type="pct"/>
            <w:shd w:val="clear" w:color="auto" w:fill="EDEDED" w:themeFill="accent3" w:themeFillTint="33"/>
          </w:tcPr>
          <w:p w14:paraId="40C51D98" w14:textId="3B706F3B" w:rsidR="00DB3AAB" w:rsidRDefault="00DB3AAB" w:rsidP="00DB3AAB">
            <w:pPr>
              <w:pStyle w:val="TableCell"/>
            </w:pPr>
            <w:r>
              <w:t>N/A</w:t>
            </w:r>
          </w:p>
        </w:tc>
      </w:tr>
      <w:tr w:rsidR="00DB3AAB" w14:paraId="5B111A1C" w14:textId="650D2BA1" w:rsidTr="0009229E">
        <w:tc>
          <w:tcPr>
            <w:tcW w:w="342" w:type="pct"/>
            <w:shd w:val="clear" w:color="auto" w:fill="EDEDED" w:themeFill="accent3" w:themeFillTint="33"/>
          </w:tcPr>
          <w:p w14:paraId="5207A5B9" w14:textId="3A239DA2" w:rsidR="00DB3AAB" w:rsidRDefault="00DB3AAB" w:rsidP="00DB3AAB">
            <w:pPr>
              <w:pStyle w:val="TableCell"/>
            </w:pPr>
            <w:r>
              <w:t>NR</w:t>
            </w:r>
          </w:p>
        </w:tc>
        <w:tc>
          <w:tcPr>
            <w:tcW w:w="567" w:type="pct"/>
            <w:shd w:val="clear" w:color="auto" w:fill="EDEDED" w:themeFill="accent3" w:themeFillTint="33"/>
          </w:tcPr>
          <w:p w14:paraId="0A6D96DB" w14:textId="03631431" w:rsidR="00DB3AAB" w:rsidRDefault="00DB3AAB" w:rsidP="00DB3AAB">
            <w:pPr>
              <w:pStyle w:val="TableCell"/>
            </w:pPr>
            <w:r>
              <w:t>FR1</w:t>
            </w:r>
          </w:p>
        </w:tc>
        <w:tc>
          <w:tcPr>
            <w:tcW w:w="656" w:type="pct"/>
            <w:shd w:val="clear" w:color="auto" w:fill="EDEDED" w:themeFill="accent3" w:themeFillTint="33"/>
          </w:tcPr>
          <w:p w14:paraId="29411192" w14:textId="40C8A2F1" w:rsidR="00DB3AAB" w:rsidRDefault="00DB3AAB" w:rsidP="0009229E">
            <w:pPr>
              <w:pStyle w:val="TableCell"/>
            </w:pPr>
            <w:r>
              <w:t>30</w:t>
            </w:r>
          </w:p>
        </w:tc>
        <w:tc>
          <w:tcPr>
            <w:tcW w:w="1231" w:type="pct"/>
            <w:shd w:val="clear" w:color="auto" w:fill="EDEDED" w:themeFill="accent3" w:themeFillTint="33"/>
          </w:tcPr>
          <w:p w14:paraId="404BE8DA" w14:textId="23963F3A" w:rsidR="00DB3AAB" w:rsidRDefault="00DB3AAB" w:rsidP="00DB3AAB">
            <w:pPr>
              <w:pStyle w:val="TableCell"/>
            </w:pPr>
            <w:r>
              <w:t>6</w:t>
            </w:r>
          </w:p>
        </w:tc>
        <w:tc>
          <w:tcPr>
            <w:tcW w:w="957" w:type="pct"/>
            <w:shd w:val="clear" w:color="auto" w:fill="EDEDED" w:themeFill="accent3" w:themeFillTint="33"/>
          </w:tcPr>
          <w:p w14:paraId="3B30D2BB" w14:textId="560469DD" w:rsidR="00DB3AAB" w:rsidRDefault="00DB3AAB" w:rsidP="00DB3AAB">
            <w:pPr>
              <w:pStyle w:val="TableCell"/>
            </w:pPr>
            <w:r>
              <w:t>2</w:t>
            </w:r>
          </w:p>
        </w:tc>
        <w:tc>
          <w:tcPr>
            <w:tcW w:w="1247" w:type="pct"/>
            <w:shd w:val="clear" w:color="auto" w:fill="EDEDED" w:themeFill="accent3" w:themeFillTint="33"/>
          </w:tcPr>
          <w:p w14:paraId="454FB068" w14:textId="6367F895" w:rsidR="00DB3AAB" w:rsidRDefault="00DB3AAB" w:rsidP="00DB3AAB">
            <w:pPr>
              <w:pStyle w:val="TableCell"/>
            </w:pPr>
            <w:r>
              <w:t>N/A</w:t>
            </w:r>
          </w:p>
        </w:tc>
      </w:tr>
      <w:tr w:rsidR="00DB3AAB" w14:paraId="7589D635" w14:textId="1D2F555C" w:rsidTr="0009229E">
        <w:tc>
          <w:tcPr>
            <w:tcW w:w="342" w:type="pct"/>
            <w:shd w:val="clear" w:color="auto" w:fill="EDEDED" w:themeFill="accent3" w:themeFillTint="33"/>
          </w:tcPr>
          <w:p w14:paraId="27F2F1FC" w14:textId="43EBA45E" w:rsidR="00DB3AAB" w:rsidRDefault="00DB3AAB" w:rsidP="00DB3AAB">
            <w:pPr>
              <w:pStyle w:val="TableCell"/>
            </w:pPr>
            <w:r>
              <w:lastRenderedPageBreak/>
              <w:t>NR</w:t>
            </w:r>
          </w:p>
        </w:tc>
        <w:tc>
          <w:tcPr>
            <w:tcW w:w="567" w:type="pct"/>
            <w:shd w:val="clear" w:color="auto" w:fill="EDEDED" w:themeFill="accent3" w:themeFillTint="33"/>
          </w:tcPr>
          <w:p w14:paraId="2E3A1D20" w14:textId="420D8064" w:rsidR="00DB3AAB" w:rsidRDefault="00DB3AAB" w:rsidP="00DB3AAB">
            <w:pPr>
              <w:pStyle w:val="TableCell"/>
            </w:pPr>
            <w:r>
              <w:t>FR1</w:t>
            </w:r>
          </w:p>
        </w:tc>
        <w:tc>
          <w:tcPr>
            <w:tcW w:w="656" w:type="pct"/>
            <w:shd w:val="clear" w:color="auto" w:fill="EDEDED" w:themeFill="accent3" w:themeFillTint="33"/>
          </w:tcPr>
          <w:p w14:paraId="067C2088" w14:textId="6C1FCC98" w:rsidR="00DB3AAB" w:rsidRDefault="00DB3AAB" w:rsidP="0009229E">
            <w:pPr>
              <w:pStyle w:val="TableCell"/>
            </w:pPr>
            <w:r>
              <w:t>60</w:t>
            </w:r>
          </w:p>
        </w:tc>
        <w:tc>
          <w:tcPr>
            <w:tcW w:w="1231" w:type="pct"/>
            <w:shd w:val="clear" w:color="auto" w:fill="EDEDED" w:themeFill="accent3" w:themeFillTint="33"/>
          </w:tcPr>
          <w:p w14:paraId="62F8B4F5" w14:textId="36C66DCF" w:rsidR="00DB3AAB" w:rsidRDefault="00DB3AAB" w:rsidP="00DB3AAB">
            <w:pPr>
              <w:pStyle w:val="TableCell"/>
            </w:pPr>
            <w:r>
              <w:t>12</w:t>
            </w:r>
          </w:p>
        </w:tc>
        <w:tc>
          <w:tcPr>
            <w:tcW w:w="957" w:type="pct"/>
            <w:shd w:val="clear" w:color="auto" w:fill="EDEDED" w:themeFill="accent3" w:themeFillTint="33"/>
          </w:tcPr>
          <w:p w14:paraId="7A42F3A4" w14:textId="4707C39F" w:rsidR="00DB3AAB" w:rsidRDefault="00DB3AAB" w:rsidP="00DB3AAB">
            <w:pPr>
              <w:pStyle w:val="TableCell"/>
            </w:pPr>
            <w:r>
              <w:t>2</w:t>
            </w:r>
            <w:r w:rsidR="00EA7C18">
              <w:t>, 9</w:t>
            </w:r>
          </w:p>
        </w:tc>
        <w:tc>
          <w:tcPr>
            <w:tcW w:w="1247" w:type="pct"/>
            <w:shd w:val="clear" w:color="auto" w:fill="EDEDED" w:themeFill="accent3" w:themeFillTint="33"/>
          </w:tcPr>
          <w:p w14:paraId="3BEA5A27" w14:textId="26B85747" w:rsidR="00DB3AAB" w:rsidRDefault="00DB3AAB" w:rsidP="00DB3AAB">
            <w:pPr>
              <w:pStyle w:val="TableCell"/>
            </w:pPr>
            <w:r>
              <w:t>N/A</w:t>
            </w:r>
          </w:p>
        </w:tc>
      </w:tr>
      <w:tr w:rsidR="00DB3AAB" w14:paraId="3140A7FD" w14:textId="289158B2" w:rsidTr="0009229E">
        <w:tc>
          <w:tcPr>
            <w:tcW w:w="342" w:type="pct"/>
            <w:shd w:val="clear" w:color="auto" w:fill="DEEAF6" w:themeFill="accent1" w:themeFillTint="33"/>
          </w:tcPr>
          <w:p w14:paraId="3550930D" w14:textId="18795054" w:rsidR="00DB3AAB" w:rsidRDefault="00DB3AAB" w:rsidP="00DB3AAB">
            <w:pPr>
              <w:pStyle w:val="TableCell"/>
            </w:pPr>
            <w:r>
              <w:t>NR</w:t>
            </w:r>
          </w:p>
        </w:tc>
        <w:tc>
          <w:tcPr>
            <w:tcW w:w="567" w:type="pct"/>
            <w:shd w:val="clear" w:color="auto" w:fill="DEEAF6" w:themeFill="accent1" w:themeFillTint="33"/>
          </w:tcPr>
          <w:p w14:paraId="6F262480" w14:textId="010B53ED" w:rsidR="00DB3AAB" w:rsidRDefault="00DB3AAB" w:rsidP="00DB3AAB">
            <w:pPr>
              <w:pStyle w:val="TableCell"/>
            </w:pPr>
            <w:r>
              <w:t>FR2</w:t>
            </w:r>
          </w:p>
        </w:tc>
        <w:tc>
          <w:tcPr>
            <w:tcW w:w="656" w:type="pct"/>
            <w:shd w:val="clear" w:color="auto" w:fill="DEEAF6" w:themeFill="accent1" w:themeFillTint="33"/>
          </w:tcPr>
          <w:p w14:paraId="255326FB" w14:textId="1AF8C348" w:rsidR="00DB3AAB" w:rsidRDefault="00DB3AAB" w:rsidP="0009229E">
            <w:pPr>
              <w:pStyle w:val="TableCell"/>
            </w:pPr>
            <w:r>
              <w:t>60</w:t>
            </w:r>
          </w:p>
        </w:tc>
        <w:tc>
          <w:tcPr>
            <w:tcW w:w="1231" w:type="pct"/>
            <w:shd w:val="clear" w:color="auto" w:fill="DEEAF6" w:themeFill="accent1" w:themeFillTint="33"/>
          </w:tcPr>
          <w:p w14:paraId="020B34FE" w14:textId="3F64990E" w:rsidR="00DB3AAB" w:rsidRDefault="00DB3AAB" w:rsidP="00DB3AAB">
            <w:pPr>
              <w:pStyle w:val="TableCell"/>
            </w:pPr>
            <w:r>
              <w:t>10</w:t>
            </w:r>
          </w:p>
        </w:tc>
        <w:tc>
          <w:tcPr>
            <w:tcW w:w="957" w:type="pct"/>
            <w:shd w:val="clear" w:color="auto" w:fill="DEEAF6" w:themeFill="accent1" w:themeFillTint="33"/>
          </w:tcPr>
          <w:p w14:paraId="02FCA488" w14:textId="12D48975" w:rsidR="00DB3AAB" w:rsidRDefault="00DB3AAB" w:rsidP="00DB3AAB">
            <w:pPr>
              <w:pStyle w:val="TableCell"/>
            </w:pPr>
            <w:r>
              <w:t>2</w:t>
            </w:r>
          </w:p>
        </w:tc>
        <w:tc>
          <w:tcPr>
            <w:tcW w:w="1247" w:type="pct"/>
            <w:shd w:val="clear" w:color="auto" w:fill="DEEAF6" w:themeFill="accent1" w:themeFillTint="33"/>
          </w:tcPr>
          <w:p w14:paraId="6B0465ED" w14:textId="29393E87" w:rsidR="00DB3AAB" w:rsidRDefault="009878E7" w:rsidP="00DB3AAB">
            <w:pPr>
              <w:pStyle w:val="TableCell"/>
            </w:pPr>
            <w:r>
              <w:t>3, 7</w:t>
            </w:r>
          </w:p>
        </w:tc>
      </w:tr>
      <w:tr w:rsidR="00DB3AAB" w14:paraId="6A2E9523" w14:textId="22C716F5" w:rsidTr="0009229E">
        <w:tc>
          <w:tcPr>
            <w:tcW w:w="342" w:type="pct"/>
            <w:shd w:val="clear" w:color="auto" w:fill="DEEAF6" w:themeFill="accent1" w:themeFillTint="33"/>
          </w:tcPr>
          <w:p w14:paraId="19411BD5" w14:textId="08F90EE5" w:rsidR="00DB3AAB" w:rsidRDefault="00DB3AAB" w:rsidP="00DB3AAB">
            <w:pPr>
              <w:pStyle w:val="TableCell"/>
            </w:pPr>
            <w:r>
              <w:t>NR</w:t>
            </w:r>
          </w:p>
        </w:tc>
        <w:tc>
          <w:tcPr>
            <w:tcW w:w="567" w:type="pct"/>
            <w:shd w:val="clear" w:color="auto" w:fill="DEEAF6" w:themeFill="accent1" w:themeFillTint="33"/>
          </w:tcPr>
          <w:p w14:paraId="71D568E8" w14:textId="55BD2156" w:rsidR="00DB3AAB" w:rsidRDefault="00DB3AAB" w:rsidP="00DB3AAB">
            <w:pPr>
              <w:pStyle w:val="TableCell"/>
            </w:pPr>
            <w:r>
              <w:t>FR2</w:t>
            </w:r>
          </w:p>
        </w:tc>
        <w:tc>
          <w:tcPr>
            <w:tcW w:w="656" w:type="pct"/>
            <w:shd w:val="clear" w:color="auto" w:fill="DEEAF6" w:themeFill="accent1" w:themeFillTint="33"/>
          </w:tcPr>
          <w:p w14:paraId="232684C5" w14:textId="54684F89" w:rsidR="00DB3AAB" w:rsidRDefault="00DB3AAB" w:rsidP="0009229E">
            <w:pPr>
              <w:pStyle w:val="TableCell"/>
            </w:pPr>
            <w:r>
              <w:t>120</w:t>
            </w:r>
          </w:p>
        </w:tc>
        <w:tc>
          <w:tcPr>
            <w:tcW w:w="1231" w:type="pct"/>
            <w:shd w:val="clear" w:color="auto" w:fill="DEEAF6" w:themeFill="accent1" w:themeFillTint="33"/>
          </w:tcPr>
          <w:p w14:paraId="17C0300B" w14:textId="642D3AFC" w:rsidR="00DB3AAB" w:rsidRDefault="00DB3AAB" w:rsidP="00DB3AAB">
            <w:pPr>
              <w:pStyle w:val="TableCell"/>
            </w:pPr>
            <w:r>
              <w:t>6</w:t>
            </w:r>
          </w:p>
        </w:tc>
        <w:tc>
          <w:tcPr>
            <w:tcW w:w="957" w:type="pct"/>
            <w:shd w:val="clear" w:color="auto" w:fill="DEEAF6" w:themeFill="accent1" w:themeFillTint="33"/>
          </w:tcPr>
          <w:p w14:paraId="42FFCB7F" w14:textId="363CC125" w:rsidR="00DB3AAB" w:rsidRDefault="00DB3AAB" w:rsidP="00DB3AAB">
            <w:pPr>
              <w:pStyle w:val="TableCell"/>
            </w:pPr>
            <w:r>
              <w:t>2</w:t>
            </w:r>
          </w:p>
        </w:tc>
        <w:tc>
          <w:tcPr>
            <w:tcW w:w="1247" w:type="pct"/>
            <w:shd w:val="clear" w:color="auto" w:fill="DEEAF6" w:themeFill="accent1" w:themeFillTint="33"/>
          </w:tcPr>
          <w:p w14:paraId="4AC8712C" w14:textId="142082AF" w:rsidR="00DB3AAB" w:rsidRDefault="009878E7" w:rsidP="00DB3AAB">
            <w:pPr>
              <w:pStyle w:val="TableCell"/>
            </w:pPr>
            <w:r>
              <w:t>3</w:t>
            </w:r>
          </w:p>
        </w:tc>
      </w:tr>
      <w:tr w:rsidR="00DB3AAB" w14:paraId="7BDF17EA" w14:textId="77777777" w:rsidTr="0009229E">
        <w:tc>
          <w:tcPr>
            <w:tcW w:w="342" w:type="pct"/>
            <w:shd w:val="clear" w:color="auto" w:fill="EDEDED" w:themeFill="accent3" w:themeFillTint="33"/>
          </w:tcPr>
          <w:p w14:paraId="110D344F" w14:textId="38A55BE0" w:rsidR="00DB3AAB" w:rsidRDefault="00DB3AAB" w:rsidP="00DB3AAB">
            <w:pPr>
              <w:pStyle w:val="TableCell"/>
            </w:pPr>
            <w:r>
              <w:t>MSR</w:t>
            </w:r>
          </w:p>
        </w:tc>
        <w:tc>
          <w:tcPr>
            <w:tcW w:w="567" w:type="pct"/>
            <w:shd w:val="clear" w:color="auto" w:fill="EDEDED" w:themeFill="accent3" w:themeFillTint="33"/>
          </w:tcPr>
          <w:p w14:paraId="429C6EC6" w14:textId="3AC2818F" w:rsidR="00DB3AAB" w:rsidRDefault="00DB3AAB" w:rsidP="00DB3AAB">
            <w:pPr>
              <w:pStyle w:val="TableCell"/>
            </w:pPr>
            <w:r>
              <w:t>FR1</w:t>
            </w:r>
          </w:p>
        </w:tc>
        <w:tc>
          <w:tcPr>
            <w:tcW w:w="656" w:type="pct"/>
            <w:shd w:val="clear" w:color="auto" w:fill="EDEDED" w:themeFill="accent3" w:themeFillTint="33"/>
          </w:tcPr>
          <w:p w14:paraId="065284FD" w14:textId="40C02551" w:rsidR="00DB3AAB" w:rsidRDefault="00A12742" w:rsidP="0009229E">
            <w:pPr>
              <w:pStyle w:val="TableCell"/>
            </w:pPr>
            <w:r>
              <w:t>15</w:t>
            </w:r>
          </w:p>
        </w:tc>
        <w:tc>
          <w:tcPr>
            <w:tcW w:w="1231" w:type="pct"/>
            <w:shd w:val="clear" w:color="auto" w:fill="EDEDED" w:themeFill="accent3" w:themeFillTint="33"/>
          </w:tcPr>
          <w:p w14:paraId="26C49655" w14:textId="70F16477" w:rsidR="00DB3AAB" w:rsidRDefault="00A12742" w:rsidP="00DB3AAB">
            <w:pPr>
              <w:pStyle w:val="TableCell"/>
            </w:pPr>
            <w:r>
              <w:t>10</w:t>
            </w:r>
          </w:p>
        </w:tc>
        <w:tc>
          <w:tcPr>
            <w:tcW w:w="957" w:type="pct"/>
            <w:shd w:val="clear" w:color="auto" w:fill="EDEDED" w:themeFill="accent3" w:themeFillTint="33"/>
          </w:tcPr>
          <w:p w14:paraId="5EC80C1A" w14:textId="0FE87684" w:rsidR="00DB3AAB" w:rsidRDefault="00A12742" w:rsidP="00DB3AAB">
            <w:pPr>
              <w:pStyle w:val="TableCell"/>
            </w:pPr>
            <w:r>
              <w:t>2</w:t>
            </w:r>
            <w:r w:rsidR="00EA7C18">
              <w:t>, 9</w:t>
            </w:r>
          </w:p>
        </w:tc>
        <w:tc>
          <w:tcPr>
            <w:tcW w:w="1247" w:type="pct"/>
            <w:shd w:val="clear" w:color="auto" w:fill="EDEDED" w:themeFill="accent3" w:themeFillTint="33"/>
          </w:tcPr>
          <w:p w14:paraId="3B851763" w14:textId="09EE31A1" w:rsidR="00DB3AAB" w:rsidRDefault="00A12742" w:rsidP="00DB3AAB">
            <w:pPr>
              <w:pStyle w:val="TableCell"/>
            </w:pPr>
            <w:r>
              <w:t>N/A</w:t>
            </w:r>
          </w:p>
        </w:tc>
      </w:tr>
      <w:tr w:rsidR="00A12742" w14:paraId="6598B32A" w14:textId="77777777" w:rsidTr="0009229E">
        <w:tc>
          <w:tcPr>
            <w:tcW w:w="342" w:type="pct"/>
            <w:shd w:val="clear" w:color="auto" w:fill="EDEDED" w:themeFill="accent3" w:themeFillTint="33"/>
          </w:tcPr>
          <w:p w14:paraId="521D65DD" w14:textId="2E1E5216" w:rsidR="00A12742" w:rsidRDefault="00A12742" w:rsidP="00DB3AAB">
            <w:pPr>
              <w:pStyle w:val="TableCell"/>
            </w:pPr>
            <w:r>
              <w:t>MSR</w:t>
            </w:r>
          </w:p>
        </w:tc>
        <w:tc>
          <w:tcPr>
            <w:tcW w:w="567" w:type="pct"/>
            <w:shd w:val="clear" w:color="auto" w:fill="EDEDED" w:themeFill="accent3" w:themeFillTint="33"/>
          </w:tcPr>
          <w:p w14:paraId="4CD9ABE5" w14:textId="5C3FEB2F" w:rsidR="00A12742" w:rsidRDefault="00A12742" w:rsidP="00DB3AAB">
            <w:pPr>
              <w:pStyle w:val="TableCell"/>
            </w:pPr>
            <w:r>
              <w:t>FR1</w:t>
            </w:r>
          </w:p>
        </w:tc>
        <w:tc>
          <w:tcPr>
            <w:tcW w:w="656" w:type="pct"/>
            <w:shd w:val="clear" w:color="auto" w:fill="EDEDED" w:themeFill="accent3" w:themeFillTint="33"/>
          </w:tcPr>
          <w:p w14:paraId="55A45D83" w14:textId="26647982" w:rsidR="00A12742" w:rsidRDefault="00A12742" w:rsidP="0009229E">
            <w:pPr>
              <w:pStyle w:val="TableCell"/>
            </w:pPr>
            <w:r>
              <w:t>30</w:t>
            </w:r>
          </w:p>
        </w:tc>
        <w:tc>
          <w:tcPr>
            <w:tcW w:w="1231" w:type="pct"/>
            <w:shd w:val="clear" w:color="auto" w:fill="EDEDED" w:themeFill="accent3" w:themeFillTint="33"/>
          </w:tcPr>
          <w:p w14:paraId="1DA444F5" w14:textId="5BF576E4" w:rsidR="00A12742" w:rsidRDefault="00A12742" w:rsidP="00DB3AAB">
            <w:pPr>
              <w:pStyle w:val="TableCell"/>
            </w:pPr>
            <w:r>
              <w:t>6</w:t>
            </w:r>
          </w:p>
        </w:tc>
        <w:tc>
          <w:tcPr>
            <w:tcW w:w="957" w:type="pct"/>
            <w:shd w:val="clear" w:color="auto" w:fill="EDEDED" w:themeFill="accent3" w:themeFillTint="33"/>
          </w:tcPr>
          <w:p w14:paraId="41F620BA" w14:textId="72DEE630" w:rsidR="00A12742" w:rsidRDefault="00A12742" w:rsidP="00DB3AAB">
            <w:pPr>
              <w:pStyle w:val="TableCell"/>
            </w:pPr>
            <w:r>
              <w:t>2</w:t>
            </w:r>
          </w:p>
        </w:tc>
        <w:tc>
          <w:tcPr>
            <w:tcW w:w="1247" w:type="pct"/>
            <w:shd w:val="clear" w:color="auto" w:fill="EDEDED" w:themeFill="accent3" w:themeFillTint="33"/>
          </w:tcPr>
          <w:p w14:paraId="1A52627A" w14:textId="7A342427" w:rsidR="00A12742" w:rsidRDefault="00A12742" w:rsidP="00DB3AAB">
            <w:pPr>
              <w:pStyle w:val="TableCell"/>
            </w:pPr>
            <w:r>
              <w:t>N/A</w:t>
            </w:r>
          </w:p>
        </w:tc>
      </w:tr>
      <w:tr w:rsidR="00A12742" w14:paraId="1CC9865B" w14:textId="77777777" w:rsidTr="0009229E">
        <w:tc>
          <w:tcPr>
            <w:tcW w:w="342" w:type="pct"/>
            <w:shd w:val="clear" w:color="auto" w:fill="EDEDED" w:themeFill="accent3" w:themeFillTint="33"/>
          </w:tcPr>
          <w:p w14:paraId="5D9643F7" w14:textId="3D5BD6DE" w:rsidR="00A12742" w:rsidRDefault="00A12742" w:rsidP="00DB3AAB">
            <w:pPr>
              <w:pStyle w:val="TableCell"/>
            </w:pPr>
            <w:r>
              <w:t>MSR</w:t>
            </w:r>
          </w:p>
        </w:tc>
        <w:tc>
          <w:tcPr>
            <w:tcW w:w="567" w:type="pct"/>
            <w:shd w:val="clear" w:color="auto" w:fill="EDEDED" w:themeFill="accent3" w:themeFillTint="33"/>
          </w:tcPr>
          <w:p w14:paraId="68BA376A" w14:textId="074ECF4E" w:rsidR="00A12742" w:rsidRDefault="00A12742" w:rsidP="00DB3AAB">
            <w:pPr>
              <w:pStyle w:val="TableCell"/>
            </w:pPr>
            <w:r>
              <w:t>FR1</w:t>
            </w:r>
          </w:p>
        </w:tc>
        <w:tc>
          <w:tcPr>
            <w:tcW w:w="656" w:type="pct"/>
            <w:shd w:val="clear" w:color="auto" w:fill="EDEDED" w:themeFill="accent3" w:themeFillTint="33"/>
          </w:tcPr>
          <w:p w14:paraId="4AECD1CC" w14:textId="779624F9" w:rsidR="00A12742" w:rsidRDefault="00A12742" w:rsidP="0009229E">
            <w:pPr>
              <w:pStyle w:val="TableCell"/>
            </w:pPr>
            <w:r>
              <w:t>60</w:t>
            </w:r>
          </w:p>
        </w:tc>
        <w:tc>
          <w:tcPr>
            <w:tcW w:w="1231" w:type="pct"/>
            <w:shd w:val="clear" w:color="auto" w:fill="EDEDED" w:themeFill="accent3" w:themeFillTint="33"/>
          </w:tcPr>
          <w:p w14:paraId="7A395559" w14:textId="6D622742" w:rsidR="00A12742" w:rsidRDefault="00A12742" w:rsidP="00DB3AAB">
            <w:pPr>
              <w:pStyle w:val="TableCell"/>
            </w:pPr>
            <w:r>
              <w:t>12</w:t>
            </w:r>
          </w:p>
        </w:tc>
        <w:tc>
          <w:tcPr>
            <w:tcW w:w="957" w:type="pct"/>
            <w:shd w:val="clear" w:color="auto" w:fill="EDEDED" w:themeFill="accent3" w:themeFillTint="33"/>
          </w:tcPr>
          <w:p w14:paraId="048C3A29" w14:textId="641771EE" w:rsidR="00A12742" w:rsidRDefault="00EA7C18" w:rsidP="00DB3AAB">
            <w:pPr>
              <w:pStyle w:val="TableCell"/>
            </w:pPr>
            <w:r>
              <w:t>2, 9</w:t>
            </w:r>
          </w:p>
        </w:tc>
        <w:tc>
          <w:tcPr>
            <w:tcW w:w="1247" w:type="pct"/>
            <w:shd w:val="clear" w:color="auto" w:fill="EDEDED" w:themeFill="accent3" w:themeFillTint="33"/>
          </w:tcPr>
          <w:p w14:paraId="129FF011" w14:textId="5B0D64EA" w:rsidR="00A12742" w:rsidRDefault="00EA7C18" w:rsidP="00DB3AAB">
            <w:pPr>
              <w:pStyle w:val="TableCell"/>
            </w:pPr>
            <w:r>
              <w:t>N/A</w:t>
            </w:r>
          </w:p>
        </w:tc>
      </w:tr>
    </w:tbl>
    <w:p w14:paraId="6202B07E" w14:textId="77777777" w:rsidR="00DB3AAB" w:rsidRDefault="00DB3AAB" w:rsidP="00DB3AAB"/>
    <w:p w14:paraId="44BF43D8" w14:textId="789A7E12" w:rsidR="0009229E" w:rsidRDefault="0009229E" w:rsidP="00DB3AAB">
      <w:r>
        <w:t>Several observations:</w:t>
      </w:r>
    </w:p>
    <w:p w14:paraId="6BCCD3F4" w14:textId="56155FDD" w:rsidR="00DB3AAB" w:rsidRPr="0009229E" w:rsidRDefault="0009229E" w:rsidP="00DB3AAB">
      <w:pPr>
        <w:rPr>
          <w:b/>
          <w:i/>
        </w:rPr>
      </w:pPr>
      <w:r w:rsidRPr="0009229E">
        <w:rPr>
          <w:b/>
          <w:i/>
        </w:rPr>
        <w:t>Observation 1: With 30 kHz</w:t>
      </w:r>
      <w:r>
        <w:rPr>
          <w:b/>
          <w:i/>
        </w:rPr>
        <w:t xml:space="preserve"> SCS</w:t>
      </w:r>
      <w:r w:rsidRPr="0009229E">
        <w:rPr>
          <w:b/>
          <w:i/>
        </w:rPr>
        <w:t>, there is only one reference symbol available in the flexible slot.</w:t>
      </w:r>
    </w:p>
    <w:p w14:paraId="23F6232D" w14:textId="7EA171C7" w:rsidR="0009229E" w:rsidRPr="0009229E" w:rsidRDefault="0009229E" w:rsidP="0009229E">
      <w:pPr>
        <w:rPr>
          <w:b/>
          <w:i/>
        </w:rPr>
      </w:pPr>
      <w:r w:rsidRPr="0009229E">
        <w:rPr>
          <w:b/>
          <w:i/>
        </w:rPr>
        <w:t xml:space="preserve">Observation </w:t>
      </w:r>
      <w:r>
        <w:rPr>
          <w:b/>
          <w:i/>
        </w:rPr>
        <w:t>2</w:t>
      </w:r>
      <w:r w:rsidRPr="0009229E">
        <w:rPr>
          <w:b/>
          <w:i/>
        </w:rPr>
        <w:t xml:space="preserve">: With </w:t>
      </w:r>
      <w:r>
        <w:rPr>
          <w:b/>
          <w:i/>
        </w:rPr>
        <w:t>6</w:t>
      </w:r>
      <w:r w:rsidRPr="0009229E">
        <w:rPr>
          <w:b/>
          <w:i/>
        </w:rPr>
        <w:t>0 kHz</w:t>
      </w:r>
      <w:r>
        <w:rPr>
          <w:b/>
          <w:i/>
        </w:rPr>
        <w:t xml:space="preserve"> SCS (FR2)</w:t>
      </w:r>
      <w:r w:rsidRPr="0009229E">
        <w:rPr>
          <w:b/>
          <w:i/>
        </w:rPr>
        <w:t xml:space="preserve">, there </w:t>
      </w:r>
      <w:r w:rsidR="009878E7">
        <w:rPr>
          <w:b/>
          <w:i/>
        </w:rPr>
        <w:t xml:space="preserve">are </w:t>
      </w:r>
      <w:r w:rsidRPr="0009229E">
        <w:rPr>
          <w:b/>
          <w:i/>
        </w:rPr>
        <w:t xml:space="preserve">only </w:t>
      </w:r>
      <w:r w:rsidR="009878E7">
        <w:rPr>
          <w:b/>
          <w:i/>
        </w:rPr>
        <w:t>two</w:t>
      </w:r>
      <w:r w:rsidRPr="0009229E">
        <w:rPr>
          <w:b/>
          <w:i/>
        </w:rPr>
        <w:t xml:space="preserve"> </w:t>
      </w:r>
      <w:r>
        <w:rPr>
          <w:b/>
          <w:i/>
        </w:rPr>
        <w:t>PT-RS</w:t>
      </w:r>
      <w:r w:rsidRPr="0009229E">
        <w:rPr>
          <w:b/>
          <w:i/>
        </w:rPr>
        <w:t xml:space="preserve"> symbol</w:t>
      </w:r>
      <w:r w:rsidR="009878E7">
        <w:rPr>
          <w:b/>
          <w:i/>
        </w:rPr>
        <w:t>s</w:t>
      </w:r>
      <w:r w:rsidRPr="0009229E">
        <w:rPr>
          <w:b/>
          <w:i/>
        </w:rPr>
        <w:t xml:space="preserve"> available in the flexible slot.</w:t>
      </w:r>
    </w:p>
    <w:p w14:paraId="602C64DD" w14:textId="5B978289" w:rsidR="0009229E" w:rsidRPr="0009229E" w:rsidRDefault="0009229E" w:rsidP="0009229E">
      <w:pPr>
        <w:rPr>
          <w:b/>
          <w:i/>
        </w:rPr>
      </w:pPr>
      <w:r w:rsidRPr="0009229E">
        <w:rPr>
          <w:b/>
          <w:i/>
        </w:rPr>
        <w:t xml:space="preserve">Observation </w:t>
      </w:r>
      <w:r>
        <w:rPr>
          <w:b/>
          <w:i/>
        </w:rPr>
        <w:t>3</w:t>
      </w:r>
      <w:r w:rsidRPr="0009229E">
        <w:rPr>
          <w:b/>
          <w:i/>
        </w:rPr>
        <w:t xml:space="preserve">: With </w:t>
      </w:r>
      <w:r>
        <w:rPr>
          <w:b/>
          <w:i/>
        </w:rPr>
        <w:t>12</w:t>
      </w:r>
      <w:r w:rsidRPr="0009229E">
        <w:rPr>
          <w:b/>
          <w:i/>
        </w:rPr>
        <w:t>0 kHz</w:t>
      </w:r>
      <w:r>
        <w:rPr>
          <w:b/>
          <w:i/>
        </w:rPr>
        <w:t xml:space="preserve"> SCS (FR2)</w:t>
      </w:r>
      <w:r w:rsidRPr="0009229E">
        <w:rPr>
          <w:b/>
          <w:i/>
        </w:rPr>
        <w:t xml:space="preserve">, there </w:t>
      </w:r>
      <w:r w:rsidR="009878E7">
        <w:rPr>
          <w:b/>
          <w:i/>
        </w:rPr>
        <w:t>is only</w:t>
      </w:r>
      <w:r w:rsidRPr="0009229E">
        <w:rPr>
          <w:b/>
          <w:i/>
        </w:rPr>
        <w:t xml:space="preserve"> </w:t>
      </w:r>
      <w:r>
        <w:rPr>
          <w:b/>
          <w:i/>
        </w:rPr>
        <w:t>PT-RS</w:t>
      </w:r>
      <w:r w:rsidRPr="0009229E">
        <w:rPr>
          <w:b/>
          <w:i/>
        </w:rPr>
        <w:t xml:space="preserve"> symbol available in the flexible slot.</w:t>
      </w:r>
    </w:p>
    <w:p w14:paraId="06AA420D" w14:textId="6758CE42" w:rsidR="0009229E" w:rsidRDefault="0087769D" w:rsidP="0087769D">
      <w:r>
        <w:t>One</w:t>
      </w:r>
      <w:r w:rsidR="0009229E">
        <w:t xml:space="preserve"> question</w:t>
      </w:r>
      <w:r>
        <w:t xml:space="preserve"> is whether</w:t>
      </w:r>
      <w:r w:rsidR="0009229E">
        <w:t xml:space="preserve"> EVM measurement </w:t>
      </w:r>
      <w:r>
        <w:t xml:space="preserve">should </w:t>
      </w:r>
      <w:r w:rsidR="0009229E">
        <w:t>be allowed on flexible slots?</w:t>
      </w:r>
    </w:p>
    <w:p w14:paraId="347B797B" w14:textId="3D59194C" w:rsidR="0009229E" w:rsidRDefault="0009229E" w:rsidP="0087769D">
      <w:pPr>
        <w:numPr>
          <w:ilvl w:val="0"/>
          <w:numId w:val="19"/>
        </w:numPr>
      </w:pPr>
      <w:r>
        <w:t>If yes, what is the minimum number of reference symbols allowed</w:t>
      </w:r>
      <w:r w:rsidR="00593488">
        <w:t>?</w:t>
      </w:r>
      <w:r w:rsidR="0087769D">
        <w:t xml:space="preserve"> </w:t>
      </w:r>
      <w:r w:rsidR="00593488">
        <w:t>If yes, how shou</w:t>
      </w:r>
      <w:r w:rsidR="0087769D">
        <w:t>ld the specification be written?</w:t>
      </w:r>
    </w:p>
    <w:p w14:paraId="709BADB3" w14:textId="53BD9AD7" w:rsidR="0087769D" w:rsidRDefault="0087769D" w:rsidP="0087769D">
      <w:pPr>
        <w:numPr>
          <w:ilvl w:val="0"/>
          <w:numId w:val="19"/>
        </w:numPr>
      </w:pPr>
      <w:r>
        <w:t>If no, how should the specification be written?</w:t>
      </w:r>
    </w:p>
    <w:p w14:paraId="52B969DF" w14:textId="2E1F62BC" w:rsidR="0087769D" w:rsidRDefault="0087769D" w:rsidP="0087769D">
      <w:pPr>
        <w:numPr>
          <w:ilvl w:val="0"/>
          <w:numId w:val="19"/>
        </w:numPr>
      </w:pPr>
      <w:r>
        <w:t>If unsure, leave the specification as is</w:t>
      </w:r>
    </w:p>
    <w:p w14:paraId="4E5FFEC5" w14:textId="196CFFBC" w:rsidR="0087769D" w:rsidRDefault="0087769D" w:rsidP="0087769D">
      <w:r>
        <w:t>For the “no” case, a possible text proposal</w:t>
      </w:r>
      <w:r w:rsidR="0073505C">
        <w:t xml:space="preserve"> is </w:t>
      </w:r>
    </w:p>
    <w:p w14:paraId="1E2C3E85" w14:textId="41766127" w:rsidR="0087769D" w:rsidRDefault="0073505C" w:rsidP="0073505C">
      <w:pPr>
        <w:ind w:left="576"/>
      </w:pPr>
      <w:r w:rsidRPr="00593488">
        <w:t xml:space="preserve">EVM measurements </w:t>
      </w:r>
      <w:r w:rsidR="005B0463" w:rsidRPr="00593488">
        <w:t>start on the third symbol of a</w:t>
      </w:r>
      <w:r w:rsidR="005B0463">
        <w:t xml:space="preserve"> downlink</w:t>
      </w:r>
      <w:r w:rsidR="005B0463" w:rsidRPr="00593488">
        <w:t xml:space="preserve"> slot (</w:t>
      </w:r>
      <w:r w:rsidR="005B0463" w:rsidRPr="00593488">
        <w:rPr>
          <w:i/>
        </w:rPr>
        <w:t>l</w:t>
      </w:r>
      <w:r w:rsidR="005B0463" w:rsidRPr="00593488">
        <w:t>=2)</w:t>
      </w:r>
      <w:r w:rsidRPr="00593488">
        <w:t>.</w:t>
      </w:r>
    </w:p>
    <w:p w14:paraId="4CC213CD" w14:textId="77777777" w:rsidR="005B0463" w:rsidRDefault="0073505C" w:rsidP="0073505C">
      <w:r>
        <w:t>For the “yes” case</w:t>
      </w:r>
      <w:r w:rsidR="005B0463">
        <w:t xml:space="preserve"> and for FR1</w:t>
      </w:r>
    </w:p>
    <w:p w14:paraId="7579EDF4" w14:textId="3F42E240" w:rsidR="005B0463" w:rsidRDefault="005B0463" w:rsidP="005B0463">
      <w:pPr>
        <w:numPr>
          <w:ilvl w:val="0"/>
          <w:numId w:val="19"/>
        </w:numPr>
      </w:pPr>
      <w:r>
        <w:t>If one reference symbol is sufficient, then no change is needed.</w:t>
      </w:r>
    </w:p>
    <w:p w14:paraId="03EE8FD0" w14:textId="77B4BBF5" w:rsidR="005B0463" w:rsidRDefault="005B0463" w:rsidP="005B0463">
      <w:pPr>
        <w:numPr>
          <w:ilvl w:val="0"/>
          <w:numId w:val="19"/>
        </w:numPr>
      </w:pPr>
      <w:r>
        <w:t>If two reference symbols are needed, then a possible text proposal to avoid measurements on the 30 kHz flexible slot is</w:t>
      </w:r>
    </w:p>
    <w:p w14:paraId="49F72544" w14:textId="6DD46CD8" w:rsidR="0073505C" w:rsidRDefault="0073505C" w:rsidP="0073505C">
      <w:pPr>
        <w:ind w:left="576"/>
      </w:pPr>
      <w:r w:rsidRPr="00593488">
        <w:t>EVM measurements start on the third symbol of a slot (</w:t>
      </w:r>
      <w:r w:rsidRPr="00593488">
        <w:rPr>
          <w:i/>
        </w:rPr>
        <w:t>l</w:t>
      </w:r>
      <w:r w:rsidRPr="00593488">
        <w:t>=2) when the first symbol of that slot is a downlink symbol</w:t>
      </w:r>
      <w:r>
        <w:t xml:space="preserve"> and when the number of downlink symbols of that slot is greater than 7</w:t>
      </w:r>
      <w:r w:rsidRPr="00593488">
        <w:t>.</w:t>
      </w:r>
    </w:p>
    <w:p w14:paraId="220F3A63" w14:textId="51797354" w:rsidR="005B0463" w:rsidRDefault="005B0463" w:rsidP="005B0463">
      <w:r>
        <w:t>For the “yes” case and for FR2</w:t>
      </w:r>
    </w:p>
    <w:p w14:paraId="31BFE5ED" w14:textId="732AE0F0" w:rsidR="005B0463" w:rsidRDefault="005B0463" w:rsidP="005B0463">
      <w:pPr>
        <w:numPr>
          <w:ilvl w:val="0"/>
          <w:numId w:val="19"/>
        </w:numPr>
      </w:pPr>
      <w:r>
        <w:t xml:space="preserve">If </w:t>
      </w:r>
      <w:r w:rsidR="009878E7">
        <w:t>two</w:t>
      </w:r>
      <w:r>
        <w:t xml:space="preserve"> reference symbol</w:t>
      </w:r>
      <w:r w:rsidR="009878E7">
        <w:t>s</w:t>
      </w:r>
      <w:r>
        <w:t xml:space="preserve"> </w:t>
      </w:r>
      <w:r w:rsidR="009878E7">
        <w:t>are</w:t>
      </w:r>
      <w:r>
        <w:t xml:space="preserve"> sufficient, then no change is needed.</w:t>
      </w:r>
    </w:p>
    <w:p w14:paraId="29E48E6A" w14:textId="30F785E1" w:rsidR="005B0463" w:rsidRDefault="005B0463" w:rsidP="005B0463">
      <w:pPr>
        <w:numPr>
          <w:ilvl w:val="0"/>
          <w:numId w:val="19"/>
        </w:numPr>
      </w:pPr>
      <w:r>
        <w:t xml:space="preserve">If </w:t>
      </w:r>
      <w:r w:rsidR="009878E7">
        <w:t>three</w:t>
      </w:r>
      <w:r>
        <w:t xml:space="preserve"> reference symbols are needed, then a possible text proposal to avoid measurements on the 120 kHz flexible slot is</w:t>
      </w:r>
    </w:p>
    <w:p w14:paraId="40383FC4" w14:textId="77777777" w:rsidR="005B0463" w:rsidRDefault="005B0463" w:rsidP="005B0463">
      <w:pPr>
        <w:ind w:left="576"/>
      </w:pPr>
      <w:r w:rsidRPr="00593488">
        <w:t>EVM measurements start on the third symbol of a slot (</w:t>
      </w:r>
      <w:r w:rsidRPr="00593488">
        <w:rPr>
          <w:i/>
        </w:rPr>
        <w:t>l</w:t>
      </w:r>
      <w:r w:rsidRPr="00593488">
        <w:t>=2) when the first symbol of that slot is a downlink symbol</w:t>
      </w:r>
      <w:r>
        <w:t xml:space="preserve"> and when the number of downlink symbols of that slot is greater than 7</w:t>
      </w:r>
      <w:r w:rsidRPr="00593488">
        <w:t>.</w:t>
      </w:r>
    </w:p>
    <w:p w14:paraId="34811FCB" w14:textId="09FDC890" w:rsidR="006A76B0" w:rsidRDefault="006A76B0" w:rsidP="006A76B0">
      <w:pPr>
        <w:rPr>
          <w:b/>
          <w:i/>
        </w:rPr>
      </w:pPr>
      <w:r>
        <w:rPr>
          <w:b/>
          <w:i/>
        </w:rPr>
        <w:t>Proposal 2</w:t>
      </w:r>
      <w:r w:rsidRPr="0009229E">
        <w:rPr>
          <w:b/>
          <w:i/>
        </w:rPr>
        <w:t xml:space="preserve">: </w:t>
      </w:r>
      <w:r>
        <w:rPr>
          <w:b/>
          <w:i/>
        </w:rPr>
        <w:t>Clarification of the number of reference symbols in</w:t>
      </w:r>
      <w:r w:rsidRPr="0009229E">
        <w:rPr>
          <w:b/>
          <w:i/>
        </w:rPr>
        <w:t xml:space="preserve"> </w:t>
      </w:r>
      <w:r>
        <w:rPr>
          <w:b/>
          <w:i/>
        </w:rPr>
        <w:t>a flexible slot is n</w:t>
      </w:r>
      <w:r w:rsidR="00FB0801">
        <w:rPr>
          <w:b/>
          <w:i/>
        </w:rPr>
        <w:t>eeded for EVM measurements in the test models</w:t>
      </w:r>
    </w:p>
    <w:p w14:paraId="79EB1162" w14:textId="4188C236" w:rsidR="00FB0801" w:rsidRDefault="00FB0801" w:rsidP="00FB0801">
      <w:r>
        <w:t xml:space="preserve">If two reference symbols and three reference symbols are sufficient for FR1 and FR2, then </w:t>
      </w:r>
    </w:p>
    <w:p w14:paraId="5AA9A22D" w14:textId="77777777" w:rsidR="00FB0801" w:rsidRDefault="00FB0801" w:rsidP="00FB0801">
      <w:pPr>
        <w:ind w:left="576"/>
      </w:pPr>
      <w:r w:rsidRPr="00593488">
        <w:t>EVM measurements start on the third symbol of a slot (</w:t>
      </w:r>
      <w:r w:rsidRPr="00593488">
        <w:rPr>
          <w:i/>
        </w:rPr>
        <w:t>l</w:t>
      </w:r>
      <w:r w:rsidRPr="00593488">
        <w:t>=2) when the first symbol of that slot is a downlink symbol</w:t>
      </w:r>
      <w:r>
        <w:t xml:space="preserve"> and when the number of downlink symbols of that slot is greater than 7</w:t>
      </w:r>
      <w:r w:rsidRPr="00593488">
        <w:t>.</w:t>
      </w:r>
    </w:p>
    <w:p w14:paraId="3FAEFA6A" w14:textId="5568D2B6" w:rsidR="003758C3" w:rsidRDefault="003758C3" w:rsidP="003758C3">
      <w:pPr>
        <w:pStyle w:val="Heading2"/>
      </w:pPr>
      <w:r>
        <w:t>Reference signal density</w:t>
      </w:r>
    </w:p>
    <w:p w14:paraId="36C9910C" w14:textId="78A0401B" w:rsidR="003758C3" w:rsidRDefault="003758C3" w:rsidP="003758C3">
      <w:r>
        <w:t xml:space="preserve">As stated in the previous section, the DMRS density and PTRS density was provided for downlink slots. One question is whether the performance should be clarified to include requirements about the DMRS density. Since the test models are used for base station declaration, no additional statement is needed. In </w:t>
      </w:r>
      <w:r>
        <w:lastRenderedPageBreak/>
        <w:t>addition with the decisions for when EVM measurements are made (in the previous section), the decisions imply the minimum density.</w:t>
      </w:r>
    </w:p>
    <w:p w14:paraId="760033FC" w14:textId="6C607DF7" w:rsidR="004C7EB1" w:rsidRDefault="00E53610" w:rsidP="00E53610">
      <w:pPr>
        <w:pStyle w:val="Heading1"/>
      </w:pPr>
      <w:r>
        <w:t>Conclusion</w:t>
      </w:r>
    </w:p>
    <w:p w14:paraId="4A645792" w14:textId="20BC45C7" w:rsidR="00FB0801" w:rsidRDefault="00FB0801" w:rsidP="00FB0801">
      <w:r>
        <w:t>This contribution clarifies several aspects of the EVM frame structure.</w:t>
      </w:r>
    </w:p>
    <w:p w14:paraId="4A12B2DB" w14:textId="77777777" w:rsidR="00FB0801" w:rsidRPr="00226A80" w:rsidRDefault="00FB0801" w:rsidP="00FB0801">
      <w:pPr>
        <w:rPr>
          <w:b/>
          <w:i/>
        </w:rPr>
      </w:pPr>
      <w:r w:rsidRPr="00226A80">
        <w:rPr>
          <w:b/>
          <w:i/>
        </w:rPr>
        <w:t xml:space="preserve">Proposal 1: Replace “subframe” with “slot” in </w:t>
      </w:r>
      <w:proofErr w:type="spellStart"/>
      <w:r w:rsidRPr="00226A80">
        <w:rPr>
          <w:b/>
          <w:i/>
        </w:rPr>
        <w:t>subclauses</w:t>
      </w:r>
      <w:proofErr w:type="spellEnd"/>
      <w:r w:rsidRPr="00226A80">
        <w:rPr>
          <w:b/>
          <w:i/>
        </w:rPr>
        <w:t xml:space="preserve"> 6.5.2.3 and 9.6.2.3.1</w:t>
      </w:r>
    </w:p>
    <w:p w14:paraId="2EEA44DC" w14:textId="7BFD5D1C" w:rsidR="00E53610" w:rsidRDefault="00FB0801" w:rsidP="00E53610">
      <w:r>
        <w:t>For the flexible slot, the following observations were made:</w:t>
      </w:r>
    </w:p>
    <w:p w14:paraId="7CB254B8" w14:textId="77777777" w:rsidR="00FB0801" w:rsidRPr="0009229E" w:rsidRDefault="00FB0801" w:rsidP="00FB0801">
      <w:pPr>
        <w:rPr>
          <w:b/>
          <w:i/>
        </w:rPr>
      </w:pPr>
      <w:r w:rsidRPr="0009229E">
        <w:rPr>
          <w:b/>
          <w:i/>
        </w:rPr>
        <w:t>Observation 1: With 30 kHz</w:t>
      </w:r>
      <w:r>
        <w:rPr>
          <w:b/>
          <w:i/>
        </w:rPr>
        <w:t xml:space="preserve"> SCS</w:t>
      </w:r>
      <w:r w:rsidRPr="0009229E">
        <w:rPr>
          <w:b/>
          <w:i/>
        </w:rPr>
        <w:t>, there is only one reference symbol available in the flexible slot.</w:t>
      </w:r>
    </w:p>
    <w:p w14:paraId="606922F5" w14:textId="77777777" w:rsidR="00FB0801" w:rsidRPr="0009229E" w:rsidRDefault="00FB0801" w:rsidP="00FB0801">
      <w:pPr>
        <w:rPr>
          <w:b/>
          <w:i/>
        </w:rPr>
      </w:pPr>
      <w:r w:rsidRPr="0009229E">
        <w:rPr>
          <w:b/>
          <w:i/>
        </w:rPr>
        <w:t xml:space="preserve">Observation </w:t>
      </w:r>
      <w:r>
        <w:rPr>
          <w:b/>
          <w:i/>
        </w:rPr>
        <w:t>2</w:t>
      </w:r>
      <w:r w:rsidRPr="0009229E">
        <w:rPr>
          <w:b/>
          <w:i/>
        </w:rPr>
        <w:t xml:space="preserve">: With </w:t>
      </w:r>
      <w:r>
        <w:rPr>
          <w:b/>
          <w:i/>
        </w:rPr>
        <w:t>6</w:t>
      </w:r>
      <w:r w:rsidRPr="0009229E">
        <w:rPr>
          <w:b/>
          <w:i/>
        </w:rPr>
        <w:t>0 kHz</w:t>
      </w:r>
      <w:r>
        <w:rPr>
          <w:b/>
          <w:i/>
        </w:rPr>
        <w:t xml:space="preserve"> SCS (FR2)</w:t>
      </w:r>
      <w:r w:rsidRPr="0009229E">
        <w:rPr>
          <w:b/>
          <w:i/>
        </w:rPr>
        <w:t xml:space="preserve">, there </w:t>
      </w:r>
      <w:r>
        <w:rPr>
          <w:b/>
          <w:i/>
        </w:rPr>
        <w:t xml:space="preserve">are </w:t>
      </w:r>
      <w:r w:rsidRPr="0009229E">
        <w:rPr>
          <w:b/>
          <w:i/>
        </w:rPr>
        <w:t xml:space="preserve">only </w:t>
      </w:r>
      <w:r>
        <w:rPr>
          <w:b/>
          <w:i/>
        </w:rPr>
        <w:t>two</w:t>
      </w:r>
      <w:r w:rsidRPr="0009229E">
        <w:rPr>
          <w:b/>
          <w:i/>
        </w:rPr>
        <w:t xml:space="preserve"> </w:t>
      </w:r>
      <w:r>
        <w:rPr>
          <w:b/>
          <w:i/>
        </w:rPr>
        <w:t>PT-RS</w:t>
      </w:r>
      <w:r w:rsidRPr="0009229E">
        <w:rPr>
          <w:b/>
          <w:i/>
        </w:rPr>
        <w:t xml:space="preserve"> symbol</w:t>
      </w:r>
      <w:r>
        <w:rPr>
          <w:b/>
          <w:i/>
        </w:rPr>
        <w:t>s</w:t>
      </w:r>
      <w:r w:rsidRPr="0009229E">
        <w:rPr>
          <w:b/>
          <w:i/>
        </w:rPr>
        <w:t xml:space="preserve"> available in the flexible slot.</w:t>
      </w:r>
    </w:p>
    <w:p w14:paraId="3C6F049E" w14:textId="77777777" w:rsidR="00FB0801" w:rsidRPr="0009229E" w:rsidRDefault="00FB0801" w:rsidP="00FB0801">
      <w:pPr>
        <w:rPr>
          <w:b/>
          <w:i/>
        </w:rPr>
      </w:pPr>
      <w:r w:rsidRPr="0009229E">
        <w:rPr>
          <w:b/>
          <w:i/>
        </w:rPr>
        <w:t xml:space="preserve">Observation </w:t>
      </w:r>
      <w:r>
        <w:rPr>
          <w:b/>
          <w:i/>
        </w:rPr>
        <w:t>3</w:t>
      </w:r>
      <w:r w:rsidRPr="0009229E">
        <w:rPr>
          <w:b/>
          <w:i/>
        </w:rPr>
        <w:t xml:space="preserve">: With </w:t>
      </w:r>
      <w:r>
        <w:rPr>
          <w:b/>
          <w:i/>
        </w:rPr>
        <w:t>12</w:t>
      </w:r>
      <w:r w:rsidRPr="0009229E">
        <w:rPr>
          <w:b/>
          <w:i/>
        </w:rPr>
        <w:t>0 kHz</w:t>
      </w:r>
      <w:r>
        <w:rPr>
          <w:b/>
          <w:i/>
        </w:rPr>
        <w:t xml:space="preserve"> SCS (FR2)</w:t>
      </w:r>
      <w:r w:rsidRPr="0009229E">
        <w:rPr>
          <w:b/>
          <w:i/>
        </w:rPr>
        <w:t xml:space="preserve">, there </w:t>
      </w:r>
      <w:r>
        <w:rPr>
          <w:b/>
          <w:i/>
        </w:rPr>
        <w:t>is only</w:t>
      </w:r>
      <w:r w:rsidRPr="0009229E">
        <w:rPr>
          <w:b/>
          <w:i/>
        </w:rPr>
        <w:t xml:space="preserve"> </w:t>
      </w:r>
      <w:r>
        <w:rPr>
          <w:b/>
          <w:i/>
        </w:rPr>
        <w:t>PT-RS</w:t>
      </w:r>
      <w:r w:rsidRPr="0009229E">
        <w:rPr>
          <w:b/>
          <w:i/>
        </w:rPr>
        <w:t xml:space="preserve"> symbol available in the flexible slot.</w:t>
      </w:r>
    </w:p>
    <w:p w14:paraId="64FDEE78" w14:textId="41E9E319" w:rsidR="00FB0801" w:rsidRDefault="00FB0801" w:rsidP="00E53610">
      <w:r>
        <w:t xml:space="preserve">Because certain numerologies have a reduced number of </w:t>
      </w:r>
    </w:p>
    <w:p w14:paraId="126F66E4" w14:textId="77777777" w:rsidR="00FB0801" w:rsidRDefault="00FB0801" w:rsidP="00FB0801">
      <w:pPr>
        <w:rPr>
          <w:b/>
          <w:i/>
        </w:rPr>
      </w:pPr>
      <w:r>
        <w:rPr>
          <w:b/>
          <w:i/>
        </w:rPr>
        <w:t>Proposal 2</w:t>
      </w:r>
      <w:r w:rsidRPr="0009229E">
        <w:rPr>
          <w:b/>
          <w:i/>
        </w:rPr>
        <w:t xml:space="preserve">: </w:t>
      </w:r>
      <w:r>
        <w:rPr>
          <w:b/>
          <w:i/>
        </w:rPr>
        <w:t>Clarification of the number of reference symbols in</w:t>
      </w:r>
      <w:r w:rsidRPr="0009229E">
        <w:rPr>
          <w:b/>
          <w:i/>
        </w:rPr>
        <w:t xml:space="preserve"> </w:t>
      </w:r>
      <w:r>
        <w:rPr>
          <w:b/>
          <w:i/>
        </w:rPr>
        <w:t>a flexible slot is needed for EVM measurements in the test models</w:t>
      </w:r>
    </w:p>
    <w:p w14:paraId="2383CD80" w14:textId="77777777" w:rsidR="00FB0801" w:rsidRDefault="00FB0801" w:rsidP="00E53610"/>
    <w:p w14:paraId="4CCD68F6" w14:textId="7CD3A37C" w:rsidR="00E53610" w:rsidRDefault="00E53610" w:rsidP="00A62B7B">
      <w:pPr>
        <w:pStyle w:val="Heading1"/>
        <w:numPr>
          <w:ilvl w:val="0"/>
          <w:numId w:val="0"/>
        </w:numPr>
        <w:ind w:left="432" w:hanging="432"/>
      </w:pPr>
      <w:r>
        <w:t>Reference</w:t>
      </w:r>
      <w:r w:rsidR="00226A80">
        <w:t>s</w:t>
      </w:r>
    </w:p>
    <w:p w14:paraId="46D3D7F2" w14:textId="002065BA" w:rsidR="002B24FF" w:rsidRDefault="004A4D77" w:rsidP="004A4D77">
      <w:pPr>
        <w:pStyle w:val="References"/>
      </w:pPr>
      <w:r w:rsidRPr="004A4D77">
        <w:t xml:space="preserve">R4-1816733, </w:t>
      </w:r>
      <w:r>
        <w:t>“</w:t>
      </w:r>
      <w:r w:rsidRPr="004A4D77">
        <w:t>Draft CR for 38.104 EVM requirement Section 6.5.2.3 and section 9.6.2.3</w:t>
      </w:r>
      <w:r>
        <w:t>”, Ericsson, RAN4#89, Nov. 12-16, 2018.</w:t>
      </w:r>
    </w:p>
    <w:p w14:paraId="1C8F7828" w14:textId="19F963F3" w:rsidR="004A4D77" w:rsidRDefault="004A4D77" w:rsidP="002B24FF">
      <w:pPr>
        <w:pStyle w:val="References"/>
      </w:pPr>
      <w:bookmarkStart w:id="2" w:name="_Ref536782267"/>
      <w:r>
        <w:t>TS 38.141-1</w:t>
      </w:r>
      <w:bookmarkEnd w:id="2"/>
    </w:p>
    <w:p w14:paraId="47015A7E" w14:textId="0F7C2265" w:rsidR="004A4D77" w:rsidRDefault="004A4D77" w:rsidP="002B24FF">
      <w:pPr>
        <w:pStyle w:val="References"/>
      </w:pPr>
      <w:bookmarkStart w:id="3" w:name="_Ref536782268"/>
      <w:r>
        <w:t>TS 38.141-2</w:t>
      </w:r>
      <w:bookmarkEnd w:id="3"/>
    </w:p>
    <w:p w14:paraId="2EAE58B9" w14:textId="718E7457" w:rsidR="00564D09" w:rsidRDefault="00564D09" w:rsidP="002B24FF">
      <w:pPr>
        <w:pStyle w:val="References"/>
      </w:pPr>
      <w:bookmarkStart w:id="4" w:name="_Ref536782269"/>
      <w:r>
        <w:t>TS 38.104</w:t>
      </w:r>
      <w:bookmarkEnd w:id="4"/>
    </w:p>
    <w:p w14:paraId="35C65CBA" w14:textId="0F19ACC3" w:rsidR="007227A2" w:rsidRPr="007227A2" w:rsidRDefault="00D923E3" w:rsidP="00D923E3">
      <w:pPr>
        <w:pStyle w:val="References"/>
      </w:pPr>
      <w:r w:rsidRPr="00D923E3">
        <w:t>R4-1901553</w:t>
      </w:r>
      <w:r w:rsidR="007227A2">
        <w:t>, “</w:t>
      </w:r>
      <w:r w:rsidR="007227A2" w:rsidRPr="007227A2">
        <w:t xml:space="preserve">Corrections to EVM frame structure </w:t>
      </w:r>
      <w:r w:rsidR="007227A2">
        <w:t xml:space="preserve">in </w:t>
      </w:r>
      <w:proofErr w:type="spellStart"/>
      <w:r w:rsidR="007227A2" w:rsidRPr="007227A2">
        <w:t>subclauses</w:t>
      </w:r>
      <w:proofErr w:type="spellEnd"/>
      <w:r w:rsidR="007227A2" w:rsidRPr="007227A2">
        <w:t xml:space="preserve"> 6.5.2.3 and 9.5.2.3 in 38.104</w:t>
      </w:r>
      <w:r w:rsidR="007227A2">
        <w:t xml:space="preserve">”, </w:t>
      </w:r>
      <w:r w:rsidR="007227A2" w:rsidRPr="007227A2">
        <w:t>Huawei, HiSilicon</w:t>
      </w:r>
      <w:r w:rsidR="007227A2">
        <w:t>, RAN4#90, Feb. 25 – Mar. 1, 2019.</w:t>
      </w:r>
    </w:p>
    <w:p w14:paraId="7F40857F" w14:textId="77777777" w:rsidR="00E53610" w:rsidRDefault="00E53610" w:rsidP="00E53610"/>
    <w:p w14:paraId="4F7E15EA" w14:textId="60D9C977" w:rsidR="00226A80" w:rsidRDefault="00226A80" w:rsidP="00226A80">
      <w:pPr>
        <w:pStyle w:val="Heading1"/>
        <w:numPr>
          <w:ilvl w:val="0"/>
          <w:numId w:val="0"/>
        </w:numPr>
        <w:ind w:left="432" w:hanging="432"/>
      </w:pPr>
      <w:r>
        <w:t>Appendix</w:t>
      </w:r>
    </w:p>
    <w:p w14:paraId="28C80747" w14:textId="77777777" w:rsidR="00226A80" w:rsidRPr="00564D09" w:rsidRDefault="00226A80" w:rsidP="00226A80">
      <w:proofErr w:type="spellStart"/>
      <w:r>
        <w:t>Subclauses</w:t>
      </w:r>
      <w:proofErr w:type="spellEnd"/>
      <w:r>
        <w:t xml:space="preserve"> 6.5.2.2, 6.5.2.3, 9.6.2.2, and 9.6.2.3 are presented from </w:t>
      </w:r>
    </w:p>
    <w:p w14:paraId="1CCBFD05" w14:textId="77777777" w:rsidR="00226A80" w:rsidRPr="005A07C7" w:rsidRDefault="00226A80" w:rsidP="00226A80">
      <w:pPr>
        <w:pStyle w:val="Heading4"/>
        <w:numPr>
          <w:ilvl w:val="0"/>
          <w:numId w:val="0"/>
        </w:numPr>
        <w:ind w:left="720" w:hanging="720"/>
      </w:pPr>
      <w:bookmarkStart w:id="5" w:name="_Toc535320601"/>
      <w:r w:rsidRPr="005A07C7">
        <w:t>6.5.2.2</w:t>
      </w:r>
      <w:r w:rsidRPr="005A07C7">
        <w:tab/>
      </w:r>
      <w:r w:rsidRPr="00564D09">
        <w:rPr>
          <w:i w:val="0"/>
        </w:rPr>
        <w:t xml:space="preserve">Minimum Requirement for </w:t>
      </w:r>
      <w:r w:rsidRPr="005A07C7">
        <w:t>BS type 1-C</w:t>
      </w:r>
      <w:r w:rsidRPr="00564D09">
        <w:rPr>
          <w:i w:val="0"/>
        </w:rPr>
        <w:t xml:space="preserve"> and </w:t>
      </w:r>
      <w:r w:rsidRPr="005A07C7">
        <w:t>BS type 1-H</w:t>
      </w:r>
      <w:bookmarkEnd w:id="5"/>
    </w:p>
    <w:p w14:paraId="58B67491" w14:textId="77777777" w:rsidR="00226A80" w:rsidRPr="00564D09" w:rsidRDefault="00226A80" w:rsidP="00226A80">
      <w:pPr>
        <w:rPr>
          <w:sz w:val="20"/>
        </w:rPr>
      </w:pPr>
      <w:r w:rsidRPr="00564D09">
        <w:rPr>
          <w:rFonts w:hint="eastAsia"/>
          <w:sz w:val="20"/>
          <w:lang w:eastAsia="zh-CN"/>
        </w:rPr>
        <w:t xml:space="preserve">For </w:t>
      </w:r>
      <w:r w:rsidRPr="00564D09">
        <w:rPr>
          <w:rFonts w:hint="eastAsia"/>
          <w:i/>
          <w:iCs/>
          <w:sz w:val="20"/>
          <w:lang w:eastAsia="zh-CN"/>
        </w:rPr>
        <w:t xml:space="preserve">BS type 1-C </w:t>
      </w:r>
      <w:r w:rsidRPr="00564D09">
        <w:rPr>
          <w:rFonts w:hint="eastAsia"/>
          <w:sz w:val="20"/>
          <w:lang w:eastAsia="zh-CN"/>
        </w:rPr>
        <w:t>and</w:t>
      </w:r>
      <w:r w:rsidRPr="00564D09">
        <w:rPr>
          <w:rFonts w:hint="eastAsia"/>
          <w:i/>
          <w:iCs/>
          <w:sz w:val="20"/>
          <w:lang w:eastAsia="zh-CN"/>
        </w:rPr>
        <w:t xml:space="preserve"> 1-H</w:t>
      </w:r>
      <w:r w:rsidRPr="00564D09">
        <w:rPr>
          <w:rFonts w:hint="eastAsia"/>
          <w:sz w:val="20"/>
          <w:lang w:eastAsia="zh-CN"/>
        </w:rPr>
        <w:t xml:space="preserve">, </w:t>
      </w:r>
      <w:r w:rsidRPr="00564D09">
        <w:rPr>
          <w:sz w:val="20"/>
        </w:rPr>
        <w:t xml:space="preserve">the EVM levels </w:t>
      </w:r>
      <w:r w:rsidRPr="00564D09">
        <w:rPr>
          <w:rFonts w:eastAsia="SimSun" w:hint="eastAsia"/>
          <w:sz w:val="20"/>
          <w:lang w:eastAsia="zh-CN"/>
        </w:rPr>
        <w:t xml:space="preserve">of </w:t>
      </w:r>
      <w:r w:rsidRPr="00564D09">
        <w:rPr>
          <w:rFonts w:eastAsia="SimSun"/>
          <w:sz w:val="20"/>
        </w:rPr>
        <w:t xml:space="preserve">each </w:t>
      </w:r>
      <w:r w:rsidRPr="00564D09">
        <w:rPr>
          <w:rFonts w:eastAsia="SimSun" w:hint="eastAsia"/>
          <w:sz w:val="20"/>
          <w:lang w:eastAsia="zh-CN"/>
        </w:rPr>
        <w:t xml:space="preserve">NR </w:t>
      </w:r>
      <w:r w:rsidRPr="00564D09">
        <w:rPr>
          <w:rFonts w:eastAsia="SimSun"/>
          <w:sz w:val="20"/>
        </w:rPr>
        <w:t>carrier</w:t>
      </w:r>
      <w:r w:rsidRPr="00564D09">
        <w:rPr>
          <w:sz w:val="20"/>
        </w:rPr>
        <w:t xml:space="preserve"> for different modulation schemes on PDSCH</w:t>
      </w:r>
      <w:r w:rsidRPr="00564D09">
        <w:rPr>
          <w:rFonts w:eastAsia="SimSun" w:hint="eastAsia"/>
          <w:sz w:val="20"/>
          <w:lang w:eastAsia="zh-CN"/>
        </w:rPr>
        <w:t xml:space="preserve"> </w:t>
      </w:r>
      <w:r w:rsidRPr="00564D09">
        <w:rPr>
          <w:sz w:val="20"/>
        </w:rPr>
        <w:t xml:space="preserve">outlined in table 6.5.2.2-1 shall be met using the frame structure described in </w:t>
      </w:r>
      <w:proofErr w:type="spellStart"/>
      <w:r w:rsidRPr="00564D09">
        <w:rPr>
          <w:sz w:val="20"/>
        </w:rPr>
        <w:t>subclause</w:t>
      </w:r>
      <w:proofErr w:type="spellEnd"/>
      <w:r w:rsidRPr="00564D09">
        <w:rPr>
          <w:sz w:val="20"/>
        </w:rPr>
        <w:t xml:space="preserve"> 6.5.2.3.</w:t>
      </w:r>
    </w:p>
    <w:p w14:paraId="6AA2D104" w14:textId="77777777" w:rsidR="00226A80" w:rsidRPr="005A07C7" w:rsidRDefault="00226A80" w:rsidP="00226A80">
      <w:pPr>
        <w:pStyle w:val="TH"/>
      </w:pPr>
      <w:r w:rsidRPr="005A07C7">
        <w:t xml:space="preserve">Table 6.5.2.2-1: EVM requirements for </w:t>
      </w:r>
      <w:r w:rsidRPr="005A07C7">
        <w:rPr>
          <w:i/>
        </w:rPr>
        <w:t>BS type 1-C</w:t>
      </w:r>
      <w:r w:rsidRPr="005A07C7">
        <w:t xml:space="preserve"> and </w:t>
      </w:r>
      <w:r w:rsidRPr="005A07C7">
        <w:rPr>
          <w:i/>
        </w:rPr>
        <w:t>BS type 1-H</w:t>
      </w:r>
      <w:r w:rsidRPr="005A07C7">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226A80" w:rsidRPr="005A07C7" w14:paraId="06C8687D" w14:textId="77777777" w:rsidTr="004A131A">
        <w:trPr>
          <w:jc w:val="center"/>
        </w:trPr>
        <w:tc>
          <w:tcPr>
            <w:tcW w:w="3214" w:type="dxa"/>
          </w:tcPr>
          <w:p w14:paraId="03396757" w14:textId="77777777" w:rsidR="00226A80" w:rsidRPr="005A07C7" w:rsidRDefault="00226A80" w:rsidP="004A131A">
            <w:pPr>
              <w:pStyle w:val="TAH"/>
              <w:rPr>
                <w:rFonts w:cs="Arial"/>
              </w:rPr>
            </w:pPr>
            <w:r w:rsidRPr="005A07C7">
              <w:rPr>
                <w:rFonts w:cs="Arial"/>
              </w:rPr>
              <w:t>Modulation scheme for PDSCH</w:t>
            </w:r>
          </w:p>
        </w:tc>
        <w:tc>
          <w:tcPr>
            <w:tcW w:w="2583" w:type="dxa"/>
          </w:tcPr>
          <w:p w14:paraId="4C3E22C3" w14:textId="77777777" w:rsidR="00226A80" w:rsidRPr="005A07C7" w:rsidRDefault="00226A80" w:rsidP="004A131A">
            <w:pPr>
              <w:pStyle w:val="TAH"/>
              <w:rPr>
                <w:rFonts w:cs="Arial"/>
              </w:rPr>
            </w:pPr>
            <w:r w:rsidRPr="005A07C7">
              <w:rPr>
                <w:rFonts w:cs="Arial"/>
              </w:rPr>
              <w:t>Required EVM</w:t>
            </w:r>
          </w:p>
        </w:tc>
      </w:tr>
      <w:tr w:rsidR="00226A80" w:rsidRPr="005A07C7" w14:paraId="4E28BC14" w14:textId="77777777" w:rsidTr="004A131A">
        <w:trPr>
          <w:jc w:val="center"/>
        </w:trPr>
        <w:tc>
          <w:tcPr>
            <w:tcW w:w="3214" w:type="dxa"/>
          </w:tcPr>
          <w:p w14:paraId="515D3F21" w14:textId="77777777" w:rsidR="00226A80" w:rsidRPr="005A07C7" w:rsidRDefault="00226A80" w:rsidP="004A131A">
            <w:pPr>
              <w:pStyle w:val="TAC"/>
              <w:rPr>
                <w:rFonts w:cs="Arial"/>
              </w:rPr>
            </w:pPr>
            <w:r w:rsidRPr="005A07C7">
              <w:rPr>
                <w:rFonts w:cs="Arial"/>
              </w:rPr>
              <w:t>QPSK</w:t>
            </w:r>
          </w:p>
        </w:tc>
        <w:tc>
          <w:tcPr>
            <w:tcW w:w="2583" w:type="dxa"/>
          </w:tcPr>
          <w:p w14:paraId="014BA5EA" w14:textId="77777777" w:rsidR="00226A80" w:rsidRPr="005A07C7" w:rsidRDefault="00226A80" w:rsidP="004A131A">
            <w:pPr>
              <w:pStyle w:val="TAC"/>
              <w:rPr>
                <w:rFonts w:cs="Arial"/>
              </w:rPr>
            </w:pPr>
            <w:r w:rsidRPr="005A07C7">
              <w:rPr>
                <w:rFonts w:cs="Arial"/>
              </w:rPr>
              <w:t>17.5 %</w:t>
            </w:r>
          </w:p>
        </w:tc>
      </w:tr>
      <w:tr w:rsidR="00226A80" w:rsidRPr="005A07C7" w14:paraId="33E90514" w14:textId="77777777" w:rsidTr="004A131A">
        <w:trPr>
          <w:jc w:val="center"/>
        </w:trPr>
        <w:tc>
          <w:tcPr>
            <w:tcW w:w="3214" w:type="dxa"/>
          </w:tcPr>
          <w:p w14:paraId="0BC41C58" w14:textId="77777777" w:rsidR="00226A80" w:rsidRPr="005A07C7" w:rsidRDefault="00226A80" w:rsidP="004A131A">
            <w:pPr>
              <w:pStyle w:val="TAC"/>
              <w:rPr>
                <w:rFonts w:cs="Arial"/>
              </w:rPr>
            </w:pPr>
            <w:r w:rsidRPr="005A07C7">
              <w:rPr>
                <w:rFonts w:cs="Arial"/>
              </w:rPr>
              <w:t>16QAM</w:t>
            </w:r>
          </w:p>
        </w:tc>
        <w:tc>
          <w:tcPr>
            <w:tcW w:w="2583" w:type="dxa"/>
          </w:tcPr>
          <w:p w14:paraId="7D800912" w14:textId="77777777" w:rsidR="00226A80" w:rsidRPr="005A07C7" w:rsidRDefault="00226A80" w:rsidP="004A131A">
            <w:pPr>
              <w:pStyle w:val="TAC"/>
              <w:rPr>
                <w:rFonts w:cs="Arial"/>
              </w:rPr>
            </w:pPr>
            <w:r w:rsidRPr="005A07C7">
              <w:rPr>
                <w:rFonts w:cs="Arial"/>
              </w:rPr>
              <w:t>12.5 %</w:t>
            </w:r>
          </w:p>
        </w:tc>
      </w:tr>
      <w:tr w:rsidR="00226A80" w:rsidRPr="005A07C7" w14:paraId="2E36B04C" w14:textId="77777777" w:rsidTr="004A131A">
        <w:trPr>
          <w:jc w:val="center"/>
        </w:trPr>
        <w:tc>
          <w:tcPr>
            <w:tcW w:w="3214" w:type="dxa"/>
          </w:tcPr>
          <w:p w14:paraId="0D74AEC1" w14:textId="77777777" w:rsidR="00226A80" w:rsidRPr="005A07C7" w:rsidRDefault="00226A80" w:rsidP="004A131A">
            <w:pPr>
              <w:pStyle w:val="TAC"/>
              <w:rPr>
                <w:rFonts w:cs="Arial"/>
              </w:rPr>
            </w:pPr>
            <w:r w:rsidRPr="005A07C7">
              <w:rPr>
                <w:rFonts w:cs="Arial"/>
              </w:rPr>
              <w:t>64QAM</w:t>
            </w:r>
          </w:p>
        </w:tc>
        <w:tc>
          <w:tcPr>
            <w:tcW w:w="2583" w:type="dxa"/>
          </w:tcPr>
          <w:p w14:paraId="5060D776" w14:textId="77777777" w:rsidR="00226A80" w:rsidRPr="005A07C7" w:rsidRDefault="00226A80" w:rsidP="004A131A">
            <w:pPr>
              <w:pStyle w:val="TAC"/>
              <w:rPr>
                <w:rFonts w:cs="Arial"/>
              </w:rPr>
            </w:pPr>
            <w:r w:rsidRPr="005A07C7">
              <w:rPr>
                <w:rFonts w:cs="Arial"/>
              </w:rPr>
              <w:t>8 %</w:t>
            </w:r>
          </w:p>
        </w:tc>
      </w:tr>
      <w:tr w:rsidR="00226A80" w:rsidRPr="005A07C7" w14:paraId="01677835" w14:textId="77777777" w:rsidTr="004A131A">
        <w:trPr>
          <w:jc w:val="center"/>
        </w:trPr>
        <w:tc>
          <w:tcPr>
            <w:tcW w:w="3214" w:type="dxa"/>
          </w:tcPr>
          <w:p w14:paraId="031612B4" w14:textId="77777777" w:rsidR="00226A80" w:rsidRPr="005A07C7" w:rsidRDefault="00226A80" w:rsidP="004A131A">
            <w:pPr>
              <w:pStyle w:val="TAC"/>
              <w:rPr>
                <w:rFonts w:cs="Arial"/>
              </w:rPr>
            </w:pPr>
            <w:r w:rsidRPr="005A07C7">
              <w:rPr>
                <w:rFonts w:cs="Arial"/>
              </w:rPr>
              <w:t>256QAM</w:t>
            </w:r>
          </w:p>
        </w:tc>
        <w:tc>
          <w:tcPr>
            <w:tcW w:w="2583" w:type="dxa"/>
          </w:tcPr>
          <w:p w14:paraId="00D8349F" w14:textId="77777777" w:rsidR="00226A80" w:rsidRPr="005A07C7" w:rsidRDefault="00226A80" w:rsidP="004A131A">
            <w:pPr>
              <w:pStyle w:val="TAC"/>
              <w:rPr>
                <w:rFonts w:cs="Arial"/>
              </w:rPr>
            </w:pPr>
            <w:r w:rsidRPr="005A07C7">
              <w:rPr>
                <w:rFonts w:cs="Arial"/>
              </w:rPr>
              <w:t>3.5 %</w:t>
            </w:r>
          </w:p>
        </w:tc>
      </w:tr>
    </w:tbl>
    <w:p w14:paraId="797B3574" w14:textId="77777777" w:rsidR="00226A80" w:rsidRPr="005A07C7" w:rsidRDefault="00226A80" w:rsidP="00226A80"/>
    <w:p w14:paraId="06BE96AA" w14:textId="77777777" w:rsidR="00226A80" w:rsidRPr="005A07C7" w:rsidRDefault="00226A80" w:rsidP="00226A80">
      <w:pPr>
        <w:pStyle w:val="Heading4"/>
        <w:numPr>
          <w:ilvl w:val="0"/>
          <w:numId w:val="0"/>
        </w:numPr>
        <w:ind w:left="720" w:hanging="720"/>
      </w:pPr>
      <w:bookmarkStart w:id="6" w:name="_Toc535320602"/>
      <w:r w:rsidRPr="005A07C7">
        <w:t>6.5.2.3</w:t>
      </w:r>
      <w:r w:rsidRPr="005A07C7">
        <w:tab/>
      </w:r>
      <w:r w:rsidRPr="00564D09">
        <w:rPr>
          <w:i w:val="0"/>
        </w:rPr>
        <w:t>EVM frame structure for measurement</w:t>
      </w:r>
      <w:bookmarkEnd w:id="6"/>
    </w:p>
    <w:p w14:paraId="58A6B69F" w14:textId="77777777" w:rsidR="00226A80" w:rsidRPr="00564D09" w:rsidRDefault="00226A80" w:rsidP="00226A80">
      <w:pPr>
        <w:rPr>
          <w:sz w:val="20"/>
        </w:rPr>
      </w:pPr>
      <w:r w:rsidRPr="00564D09">
        <w:rPr>
          <w:sz w:val="20"/>
        </w:rPr>
        <w:t>EVM shall be evaluated for each NR carrier over all allocated resource blocks and downlink subframes. Different modulation schemes listed in table 6.5.2.2-1 shall be considered for rank 1.</w:t>
      </w:r>
    </w:p>
    <w:p w14:paraId="0EB8DAD1" w14:textId="77777777" w:rsidR="00226A80" w:rsidRPr="00564D09" w:rsidRDefault="00226A80" w:rsidP="00226A80">
      <w:pPr>
        <w:rPr>
          <w:sz w:val="20"/>
        </w:rPr>
      </w:pPr>
      <w:r w:rsidRPr="00564D09">
        <w:rPr>
          <w:sz w:val="20"/>
        </w:rPr>
        <w:t>For NR, for all bandwidths, the EVM measurement shall be performed</w:t>
      </w:r>
      <w:r w:rsidRPr="00564D09">
        <w:rPr>
          <w:rFonts w:eastAsia="SimSun"/>
          <w:sz w:val="20"/>
        </w:rPr>
        <w:t xml:space="preserve"> for each NR carrier</w:t>
      </w:r>
      <w:r w:rsidRPr="00564D09">
        <w:rPr>
          <w:sz w:val="20"/>
        </w:rPr>
        <w:t xml:space="preserve"> over all allocated resource blocks and downlink subframes within 10 </w:t>
      </w:r>
      <w:proofErr w:type="spellStart"/>
      <w:r w:rsidRPr="00564D09">
        <w:rPr>
          <w:sz w:val="20"/>
        </w:rPr>
        <w:t>ms</w:t>
      </w:r>
      <w:proofErr w:type="spellEnd"/>
      <w:r w:rsidRPr="00564D09">
        <w:rPr>
          <w:sz w:val="20"/>
        </w:rPr>
        <w:t xml:space="preserve"> measurement periods. </w:t>
      </w:r>
      <w:r w:rsidRPr="00564D09">
        <w:rPr>
          <w:rFonts w:eastAsia="SimSun"/>
          <w:sz w:val="20"/>
        </w:rPr>
        <w:t>The boundaries of the EVM measurement periods need not be aligned with radio frame boundaries.</w:t>
      </w:r>
    </w:p>
    <w:p w14:paraId="64AF2A5D" w14:textId="77777777" w:rsidR="00226A80" w:rsidRPr="00564D09" w:rsidRDefault="00226A80" w:rsidP="00226A80">
      <w:pPr>
        <w:overflowPunct w:val="0"/>
        <w:autoSpaceDE w:val="0"/>
        <w:autoSpaceDN w:val="0"/>
        <w:adjustRightInd w:val="0"/>
        <w:textAlignment w:val="baseline"/>
        <w:rPr>
          <w:rFonts w:eastAsia="SimSun"/>
          <w:sz w:val="20"/>
          <w:lang w:eastAsia="zh-CN"/>
        </w:rPr>
      </w:pPr>
      <w:bookmarkStart w:id="7" w:name="_Hlk530131394"/>
      <w:r w:rsidRPr="00564D09">
        <w:rPr>
          <w:rFonts w:eastAsia="SimSun"/>
          <w:sz w:val="20"/>
          <w:lang w:eastAsia="zh-CN"/>
        </w:rPr>
        <w:lastRenderedPageBreak/>
        <w:t>EVM measurements start on the third symbol of a slot (</w:t>
      </w:r>
      <w:r w:rsidRPr="00564D09">
        <w:rPr>
          <w:rFonts w:eastAsia="SimSun"/>
          <w:i/>
          <w:sz w:val="20"/>
          <w:lang w:eastAsia="zh-CN"/>
        </w:rPr>
        <w:t>l</w:t>
      </w:r>
      <w:r w:rsidRPr="00564D09">
        <w:rPr>
          <w:rFonts w:eastAsia="SimSun"/>
          <w:sz w:val="20"/>
          <w:lang w:eastAsia="zh-CN"/>
        </w:rPr>
        <w:t>=2) when the first symbol of that slot is a downlink symbol.</w:t>
      </w:r>
    </w:p>
    <w:p w14:paraId="2EF91298" w14:textId="77777777" w:rsidR="00226A80" w:rsidRPr="005A07C7" w:rsidRDefault="00226A80" w:rsidP="00226A80">
      <w:pPr>
        <w:pStyle w:val="Heading4"/>
        <w:numPr>
          <w:ilvl w:val="0"/>
          <w:numId w:val="0"/>
        </w:numPr>
        <w:ind w:left="720" w:hanging="720"/>
      </w:pPr>
      <w:bookmarkStart w:id="8" w:name="_Toc535320766"/>
      <w:bookmarkEnd w:id="7"/>
      <w:r w:rsidRPr="005A07C7">
        <w:t>9.6.2.3</w:t>
      </w:r>
      <w:r w:rsidRPr="005A07C7">
        <w:tab/>
      </w:r>
      <w:bookmarkStart w:id="9" w:name="_Hlk497671816"/>
      <w:r w:rsidRPr="000C0E93">
        <w:rPr>
          <w:i w:val="0"/>
        </w:rPr>
        <w:t xml:space="preserve">Minimum Requirement for </w:t>
      </w:r>
      <w:r w:rsidRPr="005A07C7">
        <w:t>BS type 2-O</w:t>
      </w:r>
      <w:bookmarkEnd w:id="8"/>
    </w:p>
    <w:p w14:paraId="244B1EC6" w14:textId="77777777" w:rsidR="00226A80" w:rsidRPr="000C0E93" w:rsidRDefault="00226A80" w:rsidP="00226A80">
      <w:pPr>
        <w:rPr>
          <w:sz w:val="20"/>
        </w:rPr>
      </w:pPr>
      <w:r w:rsidRPr="000C0E93">
        <w:rPr>
          <w:sz w:val="20"/>
        </w:rPr>
        <w:t xml:space="preserve">For </w:t>
      </w:r>
      <w:r w:rsidRPr="000C0E93">
        <w:rPr>
          <w:i/>
          <w:iCs/>
          <w:sz w:val="20"/>
        </w:rPr>
        <w:t>BS typ</w:t>
      </w:r>
      <w:r w:rsidRPr="000C0E93">
        <w:rPr>
          <w:sz w:val="20"/>
        </w:rPr>
        <w:t xml:space="preserve">e </w:t>
      </w:r>
      <w:r w:rsidRPr="000C0E93">
        <w:rPr>
          <w:rFonts w:eastAsia="MS Mincho"/>
          <w:sz w:val="20"/>
          <w:lang w:eastAsia="zh-CN"/>
        </w:rPr>
        <w:t>2-O</w:t>
      </w:r>
      <w:r w:rsidRPr="000C0E93">
        <w:rPr>
          <w:sz w:val="20"/>
        </w:rPr>
        <w:t xml:space="preserve">, the EVM levels </w:t>
      </w:r>
      <w:r w:rsidRPr="000C0E93">
        <w:rPr>
          <w:rFonts w:eastAsia="MS Mincho"/>
          <w:sz w:val="20"/>
        </w:rPr>
        <w:t>of each NR carrier</w:t>
      </w:r>
      <w:r w:rsidRPr="000C0E93">
        <w:rPr>
          <w:sz w:val="20"/>
        </w:rPr>
        <w:t xml:space="preserve"> for different modulation schemes on PDSCH outlined in table </w:t>
      </w:r>
      <w:r w:rsidRPr="000C0E93">
        <w:rPr>
          <w:rFonts w:eastAsia="MS Mincho"/>
          <w:sz w:val="20"/>
          <w:lang w:eastAsia="zh-CN"/>
        </w:rPr>
        <w:t>9.6.2.3</w:t>
      </w:r>
      <w:r w:rsidRPr="000C0E93">
        <w:rPr>
          <w:sz w:val="20"/>
        </w:rPr>
        <w:t>-1</w:t>
      </w:r>
      <w:r w:rsidRPr="000C0E93">
        <w:rPr>
          <w:rFonts w:eastAsia="MS Mincho"/>
          <w:sz w:val="20"/>
          <w:lang w:eastAsia="zh-CN"/>
        </w:rPr>
        <w:t xml:space="preserve"> </w:t>
      </w:r>
      <w:r w:rsidRPr="000C0E93">
        <w:rPr>
          <w:sz w:val="20"/>
        </w:rPr>
        <w:t xml:space="preserve">shall be met, following the EVM frame structure described in </w:t>
      </w:r>
      <w:proofErr w:type="spellStart"/>
      <w:r w:rsidRPr="000C0E93">
        <w:rPr>
          <w:sz w:val="20"/>
        </w:rPr>
        <w:t>subclause</w:t>
      </w:r>
      <w:proofErr w:type="spellEnd"/>
      <w:r w:rsidRPr="000C0E93">
        <w:rPr>
          <w:sz w:val="20"/>
        </w:rPr>
        <w:t xml:space="preserve"> 9.6.2.3.1.</w:t>
      </w:r>
    </w:p>
    <w:p w14:paraId="70E84554" w14:textId="77777777" w:rsidR="00226A80" w:rsidRPr="005A07C7" w:rsidRDefault="00226A80" w:rsidP="00226A80">
      <w:pPr>
        <w:pStyle w:val="TH"/>
      </w:pPr>
      <w:r w:rsidRPr="005A07C7">
        <w:t xml:space="preserve">Table 9.6.2.3-1: EVM requirements for </w:t>
      </w:r>
      <w:r w:rsidRPr="005A07C7">
        <w:rPr>
          <w:i/>
        </w:rPr>
        <w:t>BS type 2-O</w:t>
      </w:r>
      <w:r w:rsidRPr="005A07C7">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226A80" w:rsidRPr="005A07C7" w14:paraId="125E664D" w14:textId="77777777" w:rsidTr="004A131A">
        <w:trPr>
          <w:jc w:val="center"/>
        </w:trPr>
        <w:tc>
          <w:tcPr>
            <w:tcW w:w="3214" w:type="dxa"/>
          </w:tcPr>
          <w:p w14:paraId="19B89896" w14:textId="77777777" w:rsidR="00226A80" w:rsidRPr="005A07C7" w:rsidRDefault="00226A80" w:rsidP="004A131A">
            <w:pPr>
              <w:pStyle w:val="TAH"/>
              <w:rPr>
                <w:rFonts w:cs="Arial"/>
              </w:rPr>
            </w:pPr>
            <w:r w:rsidRPr="005A07C7">
              <w:rPr>
                <w:rFonts w:cs="Arial"/>
              </w:rPr>
              <w:t>Modulation scheme for PDSCH</w:t>
            </w:r>
          </w:p>
        </w:tc>
        <w:tc>
          <w:tcPr>
            <w:tcW w:w="2583" w:type="dxa"/>
          </w:tcPr>
          <w:p w14:paraId="59C269B7" w14:textId="77777777" w:rsidR="00226A80" w:rsidRPr="005A07C7" w:rsidRDefault="00226A80" w:rsidP="004A131A">
            <w:pPr>
              <w:pStyle w:val="TAH"/>
              <w:rPr>
                <w:rFonts w:cs="Arial"/>
              </w:rPr>
            </w:pPr>
            <w:r w:rsidRPr="005A07C7">
              <w:rPr>
                <w:rFonts w:cs="Arial"/>
              </w:rPr>
              <w:t>Required EVM (%)</w:t>
            </w:r>
          </w:p>
        </w:tc>
      </w:tr>
      <w:tr w:rsidR="00226A80" w:rsidRPr="005A07C7" w14:paraId="657A669D" w14:textId="77777777" w:rsidTr="004A131A">
        <w:trPr>
          <w:jc w:val="center"/>
        </w:trPr>
        <w:tc>
          <w:tcPr>
            <w:tcW w:w="3214" w:type="dxa"/>
          </w:tcPr>
          <w:p w14:paraId="4A876320" w14:textId="77777777" w:rsidR="00226A80" w:rsidRPr="005A07C7" w:rsidRDefault="00226A80" w:rsidP="004A131A">
            <w:pPr>
              <w:pStyle w:val="TAC"/>
              <w:rPr>
                <w:rFonts w:cs="Arial"/>
              </w:rPr>
            </w:pPr>
            <w:r w:rsidRPr="005A07C7">
              <w:rPr>
                <w:rFonts w:cs="Arial"/>
              </w:rPr>
              <w:t>QPSK</w:t>
            </w:r>
          </w:p>
        </w:tc>
        <w:tc>
          <w:tcPr>
            <w:tcW w:w="2583" w:type="dxa"/>
          </w:tcPr>
          <w:p w14:paraId="46F2A395" w14:textId="77777777" w:rsidR="00226A80" w:rsidRPr="005A07C7" w:rsidRDefault="00226A80" w:rsidP="004A131A">
            <w:pPr>
              <w:pStyle w:val="TAC"/>
              <w:rPr>
                <w:rFonts w:cs="Arial"/>
              </w:rPr>
            </w:pPr>
            <w:r w:rsidRPr="005A07C7">
              <w:rPr>
                <w:rFonts w:eastAsia="Malgun Gothic" w:cs="Arial"/>
              </w:rPr>
              <w:t xml:space="preserve">17.5 </w:t>
            </w:r>
          </w:p>
        </w:tc>
      </w:tr>
      <w:tr w:rsidR="00226A80" w:rsidRPr="005A07C7" w14:paraId="1169D8E8" w14:textId="77777777" w:rsidTr="004A131A">
        <w:trPr>
          <w:jc w:val="center"/>
        </w:trPr>
        <w:tc>
          <w:tcPr>
            <w:tcW w:w="3214" w:type="dxa"/>
          </w:tcPr>
          <w:p w14:paraId="23BF8CEC" w14:textId="77777777" w:rsidR="00226A80" w:rsidRPr="005A07C7" w:rsidRDefault="00226A80" w:rsidP="004A131A">
            <w:pPr>
              <w:pStyle w:val="TAC"/>
              <w:rPr>
                <w:rFonts w:cs="Arial"/>
              </w:rPr>
            </w:pPr>
            <w:r w:rsidRPr="005A07C7">
              <w:rPr>
                <w:rFonts w:cs="Arial"/>
              </w:rPr>
              <w:t>16QAM</w:t>
            </w:r>
          </w:p>
        </w:tc>
        <w:tc>
          <w:tcPr>
            <w:tcW w:w="2583" w:type="dxa"/>
          </w:tcPr>
          <w:p w14:paraId="068E0531" w14:textId="77777777" w:rsidR="00226A80" w:rsidRPr="005A07C7" w:rsidRDefault="00226A80" w:rsidP="004A131A">
            <w:pPr>
              <w:pStyle w:val="TAC"/>
              <w:rPr>
                <w:rFonts w:cs="Arial"/>
              </w:rPr>
            </w:pPr>
            <w:r w:rsidRPr="005A07C7">
              <w:rPr>
                <w:rFonts w:eastAsia="Malgun Gothic" w:cs="Arial"/>
              </w:rPr>
              <w:t xml:space="preserve">12.5 </w:t>
            </w:r>
          </w:p>
        </w:tc>
      </w:tr>
      <w:tr w:rsidR="00226A80" w:rsidRPr="005A07C7" w14:paraId="2F70E7DD" w14:textId="77777777" w:rsidTr="004A131A">
        <w:trPr>
          <w:jc w:val="center"/>
        </w:trPr>
        <w:tc>
          <w:tcPr>
            <w:tcW w:w="3214" w:type="dxa"/>
          </w:tcPr>
          <w:p w14:paraId="24B30749" w14:textId="77777777" w:rsidR="00226A80" w:rsidRPr="005A07C7" w:rsidRDefault="00226A80" w:rsidP="004A131A">
            <w:pPr>
              <w:pStyle w:val="TAC"/>
              <w:rPr>
                <w:rFonts w:cs="Arial"/>
              </w:rPr>
            </w:pPr>
            <w:r w:rsidRPr="005A07C7">
              <w:rPr>
                <w:rFonts w:cs="Arial"/>
              </w:rPr>
              <w:t>64QAM</w:t>
            </w:r>
          </w:p>
        </w:tc>
        <w:tc>
          <w:tcPr>
            <w:tcW w:w="2583" w:type="dxa"/>
          </w:tcPr>
          <w:p w14:paraId="032B4E8B" w14:textId="77777777" w:rsidR="00226A80" w:rsidRPr="005A07C7" w:rsidRDefault="00226A80" w:rsidP="004A131A">
            <w:pPr>
              <w:pStyle w:val="TAC"/>
              <w:rPr>
                <w:rFonts w:cs="Arial"/>
              </w:rPr>
            </w:pPr>
            <w:r w:rsidRPr="005A07C7">
              <w:rPr>
                <w:rFonts w:eastAsia="Malgun Gothic" w:cs="Arial"/>
              </w:rPr>
              <w:t xml:space="preserve">8 </w:t>
            </w:r>
          </w:p>
        </w:tc>
      </w:tr>
      <w:bookmarkEnd w:id="9"/>
    </w:tbl>
    <w:p w14:paraId="197BDA10" w14:textId="77777777" w:rsidR="00226A80" w:rsidRPr="005A07C7" w:rsidRDefault="00226A80" w:rsidP="00226A80">
      <w:pPr>
        <w:rPr>
          <w:rFonts w:eastAsia="SimSun"/>
          <w:lang w:eastAsia="zh-CN"/>
        </w:rPr>
      </w:pPr>
    </w:p>
    <w:p w14:paraId="3F695AF3" w14:textId="77777777" w:rsidR="00226A80" w:rsidRPr="005A07C7" w:rsidRDefault="00226A80" w:rsidP="00226A80">
      <w:pPr>
        <w:pStyle w:val="Heading5"/>
        <w:numPr>
          <w:ilvl w:val="0"/>
          <w:numId w:val="0"/>
        </w:numPr>
        <w:ind w:left="720" w:hanging="720"/>
      </w:pPr>
      <w:bookmarkStart w:id="10" w:name="_Toc535320767"/>
      <w:r w:rsidRPr="005A07C7">
        <w:t>9.6.2.3.1</w:t>
      </w:r>
      <w:r w:rsidRPr="005A07C7">
        <w:tab/>
        <w:t>EVM frame structure for measurement</w:t>
      </w:r>
      <w:bookmarkEnd w:id="10"/>
    </w:p>
    <w:p w14:paraId="47D2EC87" w14:textId="77777777" w:rsidR="00226A80" w:rsidRPr="000C0E93" w:rsidRDefault="00226A80" w:rsidP="00226A80">
      <w:pPr>
        <w:rPr>
          <w:sz w:val="20"/>
        </w:rPr>
      </w:pPr>
      <w:r w:rsidRPr="000C0E93">
        <w:rPr>
          <w:sz w:val="20"/>
        </w:rPr>
        <w:t>EVM requirements shall apply for each NR carrier over all allocated resource blocks. Different modulation schemes listed in table 9.6.2.3-1 shall be considered for rank 1.</w:t>
      </w:r>
    </w:p>
    <w:p w14:paraId="01C8BF21" w14:textId="77777777" w:rsidR="00226A80" w:rsidRPr="000C0E93" w:rsidRDefault="00226A80" w:rsidP="00226A80">
      <w:pPr>
        <w:rPr>
          <w:sz w:val="20"/>
        </w:rPr>
      </w:pPr>
      <w:r w:rsidRPr="000C0E93">
        <w:rPr>
          <w:sz w:val="20"/>
        </w:rPr>
        <w:t>For NR, for all bandwidths, the EVM measurement shall be performed</w:t>
      </w:r>
      <w:r w:rsidRPr="000C0E93">
        <w:rPr>
          <w:rFonts w:eastAsia="SimSun"/>
          <w:sz w:val="20"/>
        </w:rPr>
        <w:t xml:space="preserve"> for each NR carrier</w:t>
      </w:r>
      <w:r w:rsidRPr="000C0E93">
        <w:rPr>
          <w:sz w:val="20"/>
        </w:rPr>
        <w:t xml:space="preserve"> over all allocated resource blocks and downlink subframes within 10 </w:t>
      </w:r>
      <w:proofErr w:type="spellStart"/>
      <w:r w:rsidRPr="000C0E93">
        <w:rPr>
          <w:sz w:val="20"/>
        </w:rPr>
        <w:t>ms</w:t>
      </w:r>
      <w:proofErr w:type="spellEnd"/>
      <w:r w:rsidRPr="000C0E93">
        <w:rPr>
          <w:sz w:val="20"/>
        </w:rPr>
        <w:t xml:space="preserve"> measurement periods. </w:t>
      </w:r>
      <w:r w:rsidRPr="000C0E93">
        <w:rPr>
          <w:rFonts w:eastAsia="SimSun"/>
          <w:sz w:val="20"/>
        </w:rPr>
        <w:t>The boundaries of the EVM measurement periods need not be aligned with radio frame boundaries.</w:t>
      </w:r>
    </w:p>
    <w:p w14:paraId="0D58FE6D" w14:textId="77777777" w:rsidR="00226A80" w:rsidRPr="000C0E93" w:rsidRDefault="00226A80" w:rsidP="00226A80">
      <w:pPr>
        <w:overflowPunct w:val="0"/>
        <w:autoSpaceDE w:val="0"/>
        <w:autoSpaceDN w:val="0"/>
        <w:adjustRightInd w:val="0"/>
        <w:textAlignment w:val="baseline"/>
        <w:rPr>
          <w:rFonts w:eastAsia="SimSun"/>
          <w:sz w:val="20"/>
          <w:lang w:eastAsia="zh-CN"/>
        </w:rPr>
      </w:pPr>
      <w:r w:rsidRPr="000C0E93">
        <w:rPr>
          <w:rFonts w:eastAsia="SimSun"/>
          <w:sz w:val="20"/>
          <w:lang w:eastAsia="zh-CN"/>
        </w:rPr>
        <w:t>EVM measurements start on the third symbol of a slot (</w:t>
      </w:r>
      <w:r w:rsidRPr="000C0E93">
        <w:rPr>
          <w:rFonts w:eastAsia="SimSun"/>
          <w:i/>
          <w:sz w:val="20"/>
          <w:lang w:eastAsia="zh-CN"/>
        </w:rPr>
        <w:t>l</w:t>
      </w:r>
      <w:r w:rsidRPr="000C0E93">
        <w:rPr>
          <w:rFonts w:eastAsia="SimSun"/>
          <w:sz w:val="20"/>
          <w:lang w:eastAsia="zh-CN"/>
        </w:rPr>
        <w:t>=2) when the first symbol of that slot is a downlink symbol.</w:t>
      </w:r>
    </w:p>
    <w:p w14:paraId="2A25603C" w14:textId="77777777" w:rsidR="00226A80" w:rsidRDefault="00226A80" w:rsidP="00226A80"/>
    <w:p w14:paraId="047D2195" w14:textId="77777777" w:rsidR="00226A80" w:rsidRDefault="00226A80" w:rsidP="00E53610"/>
    <w:sectPr w:rsidR="00226A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C76"/>
    <w:multiLevelType w:val="hybridMultilevel"/>
    <w:tmpl w:val="82CE7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31DAD"/>
    <w:multiLevelType w:val="hybridMultilevel"/>
    <w:tmpl w:val="7CA6740E"/>
    <w:lvl w:ilvl="0" w:tplc="18BE6EAC">
      <w:start w:val="6"/>
      <w:numFmt w:val="bullet"/>
      <w:lvlText w:val="-"/>
      <w:lvlJc w:val="left"/>
      <w:pPr>
        <w:ind w:left="720" w:hanging="360"/>
      </w:pPr>
      <w:rPr>
        <w:rFonts w:ascii="Times New Roman" w:eastAsiaTheme="minorHAnsi" w:hAnsi="Times New Roman" w:cs="Times New Roman" w:hint="default"/>
      </w:rPr>
    </w:lvl>
    <w:lvl w:ilvl="1" w:tplc="18BE6EAC">
      <w:start w:val="6"/>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7C26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50303C"/>
    <w:multiLevelType w:val="hybridMultilevel"/>
    <w:tmpl w:val="76E0EF2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91428"/>
    <w:multiLevelType w:val="hybridMultilevel"/>
    <w:tmpl w:val="E15C1B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A638EA"/>
    <w:multiLevelType w:val="hybridMultilevel"/>
    <w:tmpl w:val="BFF80EB6"/>
    <w:lvl w:ilvl="0" w:tplc="DBC22070">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A59FD"/>
    <w:multiLevelType w:val="hybridMultilevel"/>
    <w:tmpl w:val="7C623294"/>
    <w:lvl w:ilvl="0" w:tplc="0D70F75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45D41"/>
    <w:multiLevelType w:val="hybridMultilevel"/>
    <w:tmpl w:val="3C3E639A"/>
    <w:lvl w:ilvl="0" w:tplc="E53269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8C389F"/>
    <w:multiLevelType w:val="hybridMultilevel"/>
    <w:tmpl w:val="D5583F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EC39EF"/>
    <w:multiLevelType w:val="hybridMultilevel"/>
    <w:tmpl w:val="AC34EF18"/>
    <w:lvl w:ilvl="0" w:tplc="04090011">
      <w:start w:val="1"/>
      <w:numFmt w:val="decimal"/>
      <w:lvlText w:val="%1)"/>
      <w:lvlJc w:val="left"/>
      <w:pPr>
        <w:ind w:left="720" w:hanging="360"/>
      </w:pPr>
      <w:rPr>
        <w:rFonts w:hint="default"/>
      </w:rPr>
    </w:lvl>
    <w:lvl w:ilvl="1" w:tplc="18BE6EAC">
      <w:start w:val="6"/>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BE5D36"/>
    <w:multiLevelType w:val="hybridMultilevel"/>
    <w:tmpl w:val="E1D899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C04F41"/>
    <w:multiLevelType w:val="hybridMultilevel"/>
    <w:tmpl w:val="CA42E7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C66A2D"/>
    <w:multiLevelType w:val="hybridMultilevel"/>
    <w:tmpl w:val="0C74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6" w15:restartNumberingAfterBreak="0">
    <w:nsid w:val="6AA75220"/>
    <w:multiLevelType w:val="hybridMultilevel"/>
    <w:tmpl w:val="DA429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3F799F"/>
    <w:multiLevelType w:val="hybridMultilevel"/>
    <w:tmpl w:val="6E3EDC9E"/>
    <w:lvl w:ilvl="0" w:tplc="E134195E">
      <w:start w:val="3"/>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D10892"/>
    <w:multiLevelType w:val="hybridMultilevel"/>
    <w:tmpl w:val="372296E2"/>
    <w:lvl w:ilvl="0" w:tplc="18BE6EAC">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9"/>
  </w:num>
  <w:num w:numId="4">
    <w:abstractNumId w:val="7"/>
  </w:num>
  <w:num w:numId="5">
    <w:abstractNumId w:val="0"/>
  </w:num>
  <w:num w:numId="6">
    <w:abstractNumId w:val="2"/>
  </w:num>
  <w:num w:numId="7">
    <w:abstractNumId w:val="17"/>
  </w:num>
  <w:num w:numId="8">
    <w:abstractNumId w:val="6"/>
  </w:num>
  <w:num w:numId="9">
    <w:abstractNumId w:val="16"/>
  </w:num>
  <w:num w:numId="10">
    <w:abstractNumId w:val="5"/>
  </w:num>
  <w:num w:numId="11">
    <w:abstractNumId w:val="3"/>
  </w:num>
  <w:num w:numId="12">
    <w:abstractNumId w:val="8"/>
  </w:num>
  <w:num w:numId="13">
    <w:abstractNumId w:val="13"/>
  </w:num>
  <w:num w:numId="14">
    <w:abstractNumId w:val="15"/>
  </w:num>
  <w:num w:numId="15">
    <w:abstractNumId w:val="14"/>
  </w:num>
  <w:num w:numId="16">
    <w:abstractNumId w:val="18"/>
  </w:num>
  <w:num w:numId="17">
    <w:abstractNumId w:val="12"/>
  </w:num>
  <w:num w:numId="18">
    <w:abstractNumId w:val="10"/>
  </w:num>
  <w:num w:numId="19">
    <w:abstractNumId w:val="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doNotDisplayPageBoundarie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C1A"/>
    <w:rsid w:val="0009229E"/>
    <w:rsid w:val="000C0E93"/>
    <w:rsid w:val="00171BB6"/>
    <w:rsid w:val="001A7894"/>
    <w:rsid w:val="001C5FFF"/>
    <w:rsid w:val="001E0BFE"/>
    <w:rsid w:val="00226A80"/>
    <w:rsid w:val="00232085"/>
    <w:rsid w:val="0028416F"/>
    <w:rsid w:val="002A5258"/>
    <w:rsid w:val="002B24FF"/>
    <w:rsid w:val="003266DC"/>
    <w:rsid w:val="003752BD"/>
    <w:rsid w:val="003758C3"/>
    <w:rsid w:val="00384ECD"/>
    <w:rsid w:val="003855C3"/>
    <w:rsid w:val="003B54E5"/>
    <w:rsid w:val="00436167"/>
    <w:rsid w:val="0045467E"/>
    <w:rsid w:val="004949E4"/>
    <w:rsid w:val="004A07B5"/>
    <w:rsid w:val="004A4D77"/>
    <w:rsid w:val="004C7EB1"/>
    <w:rsid w:val="004E35EE"/>
    <w:rsid w:val="004E66CF"/>
    <w:rsid w:val="00537600"/>
    <w:rsid w:val="005447BD"/>
    <w:rsid w:val="00564D09"/>
    <w:rsid w:val="00567636"/>
    <w:rsid w:val="00583723"/>
    <w:rsid w:val="00593488"/>
    <w:rsid w:val="005B0463"/>
    <w:rsid w:val="005D5C1A"/>
    <w:rsid w:val="00657310"/>
    <w:rsid w:val="00665251"/>
    <w:rsid w:val="006A3BA3"/>
    <w:rsid w:val="006A76B0"/>
    <w:rsid w:val="006C3738"/>
    <w:rsid w:val="006D504F"/>
    <w:rsid w:val="007227A2"/>
    <w:rsid w:val="0073505C"/>
    <w:rsid w:val="007E51C0"/>
    <w:rsid w:val="00810B2C"/>
    <w:rsid w:val="0087769D"/>
    <w:rsid w:val="00934609"/>
    <w:rsid w:val="00960E80"/>
    <w:rsid w:val="00987439"/>
    <w:rsid w:val="009878E7"/>
    <w:rsid w:val="00992B54"/>
    <w:rsid w:val="009B1C5C"/>
    <w:rsid w:val="00A01997"/>
    <w:rsid w:val="00A12742"/>
    <w:rsid w:val="00A13BED"/>
    <w:rsid w:val="00A218B1"/>
    <w:rsid w:val="00A42739"/>
    <w:rsid w:val="00A62B7B"/>
    <w:rsid w:val="00A65ECC"/>
    <w:rsid w:val="00AB4580"/>
    <w:rsid w:val="00AB4C52"/>
    <w:rsid w:val="00AD1267"/>
    <w:rsid w:val="00AD37D8"/>
    <w:rsid w:val="00AE069D"/>
    <w:rsid w:val="00B17219"/>
    <w:rsid w:val="00B61A8A"/>
    <w:rsid w:val="00B9099E"/>
    <w:rsid w:val="00BD254D"/>
    <w:rsid w:val="00BD44F8"/>
    <w:rsid w:val="00C03C87"/>
    <w:rsid w:val="00C617D2"/>
    <w:rsid w:val="00C6434D"/>
    <w:rsid w:val="00C94C93"/>
    <w:rsid w:val="00CD2772"/>
    <w:rsid w:val="00CF7284"/>
    <w:rsid w:val="00D4156F"/>
    <w:rsid w:val="00D923E3"/>
    <w:rsid w:val="00D9347C"/>
    <w:rsid w:val="00DB3AAB"/>
    <w:rsid w:val="00DB56CF"/>
    <w:rsid w:val="00E257EC"/>
    <w:rsid w:val="00E47377"/>
    <w:rsid w:val="00E53610"/>
    <w:rsid w:val="00E90D8B"/>
    <w:rsid w:val="00EA7C18"/>
    <w:rsid w:val="00F14523"/>
    <w:rsid w:val="00F75890"/>
    <w:rsid w:val="00FB0801"/>
    <w:rsid w:val="00FF3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37B79"/>
  <w15:chartTrackingRefBased/>
  <w15:docId w15:val="{5CCFE0C8-3551-4E20-B753-137F1B39D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4FF"/>
    <w:pPr>
      <w:snapToGrid w:val="0"/>
    </w:pPr>
  </w:style>
  <w:style w:type="paragraph" w:styleId="Heading1">
    <w:name w:val="heading 1"/>
    <w:basedOn w:val="Normal"/>
    <w:next w:val="Normal"/>
    <w:link w:val="Heading1Char"/>
    <w:uiPriority w:val="9"/>
    <w:qFormat/>
    <w:rsid w:val="00583723"/>
    <w:pPr>
      <w:keepNext/>
      <w:numPr>
        <w:numId w:val="6"/>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CD2772"/>
    <w:pPr>
      <w:keepNext/>
      <w:numPr>
        <w:ilvl w:val="1"/>
        <w:numId w:val="6"/>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CD2772"/>
    <w:pPr>
      <w:keepNext/>
      <w:numPr>
        <w:ilvl w:val="2"/>
        <w:numId w:val="6"/>
      </w:numPr>
      <w:spacing w:before="1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CD2772"/>
    <w:pPr>
      <w:keepNext/>
      <w:numPr>
        <w:ilvl w:val="3"/>
        <w:numId w:val="6"/>
      </w:numPr>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CD2772"/>
    <w:pPr>
      <w:keepNext/>
      <w:numPr>
        <w:ilvl w:val="4"/>
        <w:numId w:val="6"/>
      </w:numPr>
      <w:spacing w:before="120"/>
      <w:ind w:left="720" w:hanging="720"/>
      <w:outlineLvl w:val="4"/>
    </w:pPr>
    <w:rPr>
      <w:rFonts w:eastAsiaTheme="majorEastAsia"/>
      <w:b/>
    </w:rPr>
  </w:style>
  <w:style w:type="paragraph" w:styleId="Heading6">
    <w:name w:val="heading 6"/>
    <w:basedOn w:val="Normal"/>
    <w:next w:val="Normal"/>
    <w:link w:val="Heading6Char"/>
    <w:uiPriority w:val="9"/>
    <w:semiHidden/>
    <w:unhideWhenUsed/>
    <w:qFormat/>
    <w:rsid w:val="00992B54"/>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92B54"/>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92B54"/>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92B54"/>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5C1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5C1A"/>
    <w:rPr>
      <w:color w:val="808080"/>
    </w:rPr>
  </w:style>
  <w:style w:type="paragraph" w:styleId="BalloonText">
    <w:name w:val="Balloon Text"/>
    <w:basedOn w:val="Normal"/>
    <w:link w:val="BalloonTextChar"/>
    <w:uiPriority w:val="99"/>
    <w:semiHidden/>
    <w:unhideWhenUsed/>
    <w:rsid w:val="0058372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3723"/>
    <w:rPr>
      <w:rFonts w:ascii="Segoe UI" w:hAnsi="Segoe UI" w:cs="Segoe UI"/>
      <w:sz w:val="18"/>
      <w:szCs w:val="18"/>
    </w:rPr>
  </w:style>
  <w:style w:type="character" w:customStyle="1" w:styleId="Heading1Char">
    <w:name w:val="Heading 1 Char"/>
    <w:basedOn w:val="DefaultParagraphFont"/>
    <w:link w:val="Heading1"/>
    <w:uiPriority w:val="9"/>
    <w:rsid w:val="00583723"/>
    <w:rPr>
      <w:rFonts w:eastAsiaTheme="majorEastAsia"/>
      <w:b/>
      <w:sz w:val="28"/>
      <w:szCs w:val="32"/>
    </w:rPr>
  </w:style>
  <w:style w:type="character" w:customStyle="1" w:styleId="Heading2Char">
    <w:name w:val="Heading 2 Char"/>
    <w:basedOn w:val="DefaultParagraphFont"/>
    <w:link w:val="Heading2"/>
    <w:uiPriority w:val="9"/>
    <w:rsid w:val="00CD2772"/>
    <w:rPr>
      <w:rFonts w:eastAsiaTheme="majorEastAsia"/>
      <w:b/>
      <w:sz w:val="24"/>
      <w:szCs w:val="26"/>
    </w:rPr>
  </w:style>
  <w:style w:type="character" w:customStyle="1" w:styleId="Heading3Char">
    <w:name w:val="Heading 3 Char"/>
    <w:basedOn w:val="DefaultParagraphFont"/>
    <w:link w:val="Heading3"/>
    <w:uiPriority w:val="9"/>
    <w:rsid w:val="00CD2772"/>
    <w:rPr>
      <w:rFonts w:eastAsiaTheme="majorEastAsia"/>
      <w:b/>
      <w:szCs w:val="24"/>
    </w:rPr>
  </w:style>
  <w:style w:type="character" w:customStyle="1" w:styleId="Heading4Char">
    <w:name w:val="Heading 4 Char"/>
    <w:basedOn w:val="DefaultParagraphFont"/>
    <w:link w:val="Heading4"/>
    <w:uiPriority w:val="9"/>
    <w:semiHidden/>
    <w:rsid w:val="00CD2772"/>
    <w:rPr>
      <w:rFonts w:eastAsiaTheme="majorEastAsia"/>
      <w:b/>
      <w:i/>
      <w:iCs/>
    </w:rPr>
  </w:style>
  <w:style w:type="character" w:customStyle="1" w:styleId="Heading5Char">
    <w:name w:val="Heading 5 Char"/>
    <w:basedOn w:val="DefaultParagraphFont"/>
    <w:link w:val="Heading5"/>
    <w:uiPriority w:val="9"/>
    <w:semiHidden/>
    <w:rsid w:val="00CD2772"/>
    <w:rPr>
      <w:rFonts w:eastAsiaTheme="majorEastAsia"/>
      <w:b/>
    </w:rPr>
  </w:style>
  <w:style w:type="paragraph" w:styleId="Caption">
    <w:name w:val="caption"/>
    <w:aliases w:val="cap"/>
    <w:basedOn w:val="Normal"/>
    <w:next w:val="Normal"/>
    <w:link w:val="CaptionChar"/>
    <w:uiPriority w:val="35"/>
    <w:unhideWhenUsed/>
    <w:qFormat/>
    <w:rsid w:val="004949E4"/>
    <w:pPr>
      <w:jc w:val="center"/>
    </w:pPr>
    <w:rPr>
      <w:b/>
      <w:iCs/>
      <w:sz w:val="20"/>
      <w:szCs w:val="18"/>
    </w:rPr>
  </w:style>
  <w:style w:type="character" w:customStyle="1" w:styleId="Heading6Char">
    <w:name w:val="Heading 6 Char"/>
    <w:basedOn w:val="DefaultParagraphFont"/>
    <w:link w:val="Heading6"/>
    <w:uiPriority w:val="9"/>
    <w:semiHidden/>
    <w:rsid w:val="00992B54"/>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92B54"/>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992B5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92B54"/>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AD1267"/>
    <w:rPr>
      <w:sz w:val="16"/>
      <w:szCs w:val="16"/>
    </w:rPr>
  </w:style>
  <w:style w:type="paragraph" w:styleId="CommentText">
    <w:name w:val="annotation text"/>
    <w:basedOn w:val="Normal"/>
    <w:link w:val="CommentTextChar"/>
    <w:uiPriority w:val="99"/>
    <w:semiHidden/>
    <w:unhideWhenUsed/>
    <w:rsid w:val="00AD1267"/>
    <w:rPr>
      <w:sz w:val="20"/>
      <w:szCs w:val="20"/>
    </w:rPr>
  </w:style>
  <w:style w:type="character" w:customStyle="1" w:styleId="CommentTextChar">
    <w:name w:val="Comment Text Char"/>
    <w:basedOn w:val="DefaultParagraphFont"/>
    <w:link w:val="CommentText"/>
    <w:uiPriority w:val="99"/>
    <w:semiHidden/>
    <w:rsid w:val="00AD1267"/>
    <w:rPr>
      <w:sz w:val="20"/>
      <w:szCs w:val="20"/>
    </w:rPr>
  </w:style>
  <w:style w:type="paragraph" w:styleId="CommentSubject">
    <w:name w:val="annotation subject"/>
    <w:basedOn w:val="CommentText"/>
    <w:next w:val="CommentText"/>
    <w:link w:val="CommentSubjectChar"/>
    <w:uiPriority w:val="99"/>
    <w:semiHidden/>
    <w:unhideWhenUsed/>
    <w:rsid w:val="00AD1267"/>
    <w:rPr>
      <w:b/>
      <w:bCs/>
    </w:rPr>
  </w:style>
  <w:style w:type="character" w:customStyle="1" w:styleId="CommentSubjectChar">
    <w:name w:val="Comment Subject Char"/>
    <w:basedOn w:val="CommentTextChar"/>
    <w:link w:val="CommentSubject"/>
    <w:uiPriority w:val="99"/>
    <w:semiHidden/>
    <w:rsid w:val="00AD1267"/>
    <w:rPr>
      <w:b/>
      <w:bCs/>
      <w:sz w:val="20"/>
      <w:szCs w:val="20"/>
    </w:rPr>
  </w:style>
  <w:style w:type="paragraph" w:customStyle="1" w:styleId="TableCell">
    <w:name w:val="TableCell"/>
    <w:basedOn w:val="Normal"/>
    <w:rsid w:val="00DB3AAB"/>
    <w:pPr>
      <w:spacing w:before="20" w:after="20"/>
      <w:jc w:val="left"/>
    </w:pPr>
    <w:rPr>
      <w:sz w:val="20"/>
    </w:rPr>
  </w:style>
  <w:style w:type="character" w:customStyle="1" w:styleId="CaptionChar">
    <w:name w:val="Caption Char"/>
    <w:aliases w:val="cap Char"/>
    <w:link w:val="Caption"/>
    <w:uiPriority w:val="35"/>
    <w:rsid w:val="00657310"/>
    <w:rPr>
      <w:b/>
      <w:iCs/>
      <w:sz w:val="20"/>
      <w:szCs w:val="18"/>
    </w:rPr>
  </w:style>
  <w:style w:type="paragraph" w:customStyle="1" w:styleId="References">
    <w:name w:val="References"/>
    <w:basedOn w:val="Normal"/>
    <w:qFormat/>
    <w:rsid w:val="002B24FF"/>
    <w:pPr>
      <w:numPr>
        <w:numId w:val="12"/>
      </w:numPr>
      <w:autoSpaceDE w:val="0"/>
      <w:autoSpaceDN w:val="0"/>
      <w:spacing w:after="60"/>
    </w:pPr>
    <w:rPr>
      <w:rFonts w:eastAsiaTheme="minorEastAsia"/>
      <w:sz w:val="20"/>
      <w:szCs w:val="16"/>
    </w:rPr>
  </w:style>
  <w:style w:type="paragraph" w:customStyle="1" w:styleId="TAH">
    <w:name w:val="TAH"/>
    <w:basedOn w:val="TAC"/>
    <w:link w:val="TAHCar"/>
    <w:qFormat/>
    <w:rsid w:val="00564D09"/>
    <w:rPr>
      <w:b/>
    </w:rPr>
  </w:style>
  <w:style w:type="paragraph" w:customStyle="1" w:styleId="TAC">
    <w:name w:val="TAC"/>
    <w:basedOn w:val="Normal"/>
    <w:link w:val="TACChar"/>
    <w:qFormat/>
    <w:rsid w:val="00564D09"/>
    <w:pPr>
      <w:keepNext/>
      <w:keepLines/>
      <w:snapToGrid/>
      <w:spacing w:after="0"/>
      <w:jc w:val="center"/>
    </w:pPr>
    <w:rPr>
      <w:rFonts w:ascii="Arial" w:eastAsiaTheme="minorEastAsia" w:hAnsi="Arial"/>
      <w:sz w:val="18"/>
      <w:szCs w:val="20"/>
      <w:lang w:val="en-GB"/>
    </w:rPr>
  </w:style>
  <w:style w:type="character" w:customStyle="1" w:styleId="TACChar">
    <w:name w:val="TAC Char"/>
    <w:link w:val="TAC"/>
    <w:qFormat/>
    <w:rsid w:val="00564D09"/>
    <w:rPr>
      <w:rFonts w:ascii="Arial" w:eastAsiaTheme="minorEastAsia" w:hAnsi="Arial"/>
      <w:sz w:val="18"/>
      <w:szCs w:val="20"/>
      <w:lang w:val="en-GB"/>
    </w:rPr>
  </w:style>
  <w:style w:type="character" w:customStyle="1" w:styleId="TAHCar">
    <w:name w:val="TAH Car"/>
    <w:link w:val="TAH"/>
    <w:qFormat/>
    <w:rsid w:val="00564D09"/>
    <w:rPr>
      <w:rFonts w:ascii="Arial" w:eastAsiaTheme="minorEastAsia" w:hAnsi="Arial"/>
      <w:b/>
      <w:sz w:val="18"/>
      <w:szCs w:val="20"/>
      <w:lang w:val="en-GB"/>
    </w:rPr>
  </w:style>
  <w:style w:type="paragraph" w:customStyle="1" w:styleId="TH">
    <w:name w:val="TH"/>
    <w:basedOn w:val="Normal"/>
    <w:link w:val="THChar"/>
    <w:qFormat/>
    <w:rsid w:val="00564D09"/>
    <w:pPr>
      <w:keepNext/>
      <w:keepLines/>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564D09"/>
    <w:rPr>
      <w:rFonts w:ascii="Arial" w:eastAsiaTheme="minorEastAsia"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37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A5339-F190-4D0A-A655-BB1AE7558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1220</Words>
  <Characters>6958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dc:description/>
  <cp:lastModifiedBy>Huawei</cp:lastModifiedBy>
  <cp:revision>4</cp:revision>
  <dcterms:created xsi:type="dcterms:W3CDTF">2019-02-15T17:02:00Z</dcterms:created>
  <dcterms:modified xsi:type="dcterms:W3CDTF">2019-02-15T19:13:00Z</dcterms:modified>
</cp:coreProperties>
</file>