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26F79167"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9049DB">
        <w:rPr>
          <w:rFonts w:cs="Arial"/>
          <w:sz w:val="24"/>
          <w:szCs w:val="24"/>
          <w:lang w:val="de-DE"/>
        </w:rPr>
        <w:t>90</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Pr="003C4E3D">
        <w:rPr>
          <w:rFonts w:cs="Arial"/>
          <w:sz w:val="24"/>
          <w:szCs w:val="24"/>
          <w:lang w:val="de-DE"/>
        </w:rPr>
        <w:t>R4-1</w:t>
      </w:r>
      <w:r w:rsidR="00092F71">
        <w:rPr>
          <w:rFonts w:cs="Arial"/>
          <w:sz w:val="24"/>
          <w:szCs w:val="24"/>
          <w:lang w:val="de-DE"/>
        </w:rPr>
        <w:t>90</w:t>
      </w:r>
      <w:r w:rsidR="00B66F4E">
        <w:rPr>
          <w:rFonts w:cs="Arial"/>
          <w:sz w:val="24"/>
          <w:szCs w:val="24"/>
          <w:lang w:val="de-DE"/>
        </w:rPr>
        <w:t>0676</w:t>
      </w:r>
    </w:p>
    <w:bookmarkEnd w:id="0"/>
    <w:p w14:paraId="77E3419A" w14:textId="258611C7" w:rsidR="0080445A" w:rsidRDefault="00092F71" w:rsidP="00C00E40">
      <w:pPr>
        <w:pStyle w:val="Header"/>
        <w:rPr>
          <w:rFonts w:cs="Arial"/>
          <w:sz w:val="24"/>
          <w:szCs w:val="24"/>
          <w:lang w:val="de-DE"/>
        </w:rPr>
      </w:pPr>
      <w:r>
        <w:rPr>
          <w:rFonts w:cs="Arial"/>
          <w:sz w:val="24"/>
          <w:szCs w:val="24"/>
          <w:lang w:val="de-DE"/>
        </w:rPr>
        <w:t>Athens, GR, 25 Feb-1 Mar</w:t>
      </w:r>
      <w:r w:rsidRPr="00B766D9">
        <w:rPr>
          <w:rFonts w:cs="Arial"/>
          <w:sz w:val="24"/>
          <w:szCs w:val="24"/>
          <w:lang w:val="de-DE"/>
        </w:rPr>
        <w:t xml:space="preserve"> 201</w:t>
      </w:r>
      <w:r>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77777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00AB">
        <w:rPr>
          <w:rFonts w:ascii="Arial" w:hAnsi="Arial" w:cs="Arial"/>
          <w:sz w:val="24"/>
          <w:szCs w:val="24"/>
          <w:lang w:val="en-US"/>
        </w:rPr>
        <w:t>OTA Test Considerations for UE Transmit Signal Quality in FR2</w:t>
      </w:r>
    </w:p>
    <w:p w14:paraId="56BB70BC" w14:textId="438E479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32FE0">
        <w:rPr>
          <w:rFonts w:ascii="Arial" w:hAnsi="Arial"/>
          <w:sz w:val="24"/>
          <w:lang w:val="en-US"/>
        </w:rPr>
        <w:t>6.7.8.4</w:t>
      </w:r>
    </w:p>
    <w:p w14:paraId="6FE0B29D"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6A78EA96" w:rsidR="0080445A" w:rsidRDefault="00183169" w:rsidP="0080445A">
      <w:r>
        <w:t xml:space="preserve">In </w:t>
      </w:r>
      <w:r w:rsidR="006B6F84">
        <w:t>an earlier</w:t>
      </w:r>
      <w:r>
        <w:t xml:space="preserve"> contribution</w:t>
      </w:r>
      <w:r w:rsidR="006B6F84">
        <w:t xml:space="preserve"> [1]</w:t>
      </w:r>
      <w:r>
        <w:t xml:space="preserve">, we identified a potential problem in OTA verification of any </w:t>
      </w:r>
      <w:r w:rsidR="00C51897">
        <w:t xml:space="preserve">RF </w:t>
      </w:r>
      <w:r>
        <w:t xml:space="preserve">requirement that requires demodulation at the TE. The problem stems from </w:t>
      </w:r>
      <w:r w:rsidR="00A104DA">
        <w:t xml:space="preserve">three contributing factors that come together in FR2: </w:t>
      </w:r>
      <w:r>
        <w:t xml:space="preserve">UL transmission </w:t>
      </w:r>
      <w:r w:rsidR="00A104DA">
        <w:t xml:space="preserve">in both polarizations, allowable transmit diversity </w:t>
      </w:r>
      <w:r w:rsidR="00175473">
        <w:t xml:space="preserve">schemes </w:t>
      </w:r>
      <w:r w:rsidR="00A104DA">
        <w:t xml:space="preserve">and </w:t>
      </w:r>
      <w:r w:rsidR="00C51897">
        <w:t>TE</w:t>
      </w:r>
      <w:r w:rsidR="00A104DA">
        <w:t xml:space="preserve"> measurement</w:t>
      </w:r>
      <w:r w:rsidR="00C51897">
        <w:t xml:space="preserve"> in a single polarization</w:t>
      </w:r>
      <w:r w:rsidR="00A104DA">
        <w:t>.</w:t>
      </w:r>
    </w:p>
    <w:p w14:paraId="4BAF4AC5" w14:textId="3509DD03" w:rsidR="006B6F84" w:rsidRPr="00094C11" w:rsidRDefault="006B6F84" w:rsidP="0080445A">
      <w:r>
        <w:t xml:space="preserve">In this contribution, we analyse </w:t>
      </w:r>
      <w:r w:rsidR="00032FE0">
        <w:t>our options for verification testing</w:t>
      </w:r>
      <w:r>
        <w:t xml:space="preserve"> with the constraints listed above.</w:t>
      </w:r>
    </w:p>
    <w:p w14:paraId="3BB548A0" w14:textId="77777777" w:rsidR="006866E3" w:rsidRDefault="006866E3" w:rsidP="0080445A">
      <w:pPr>
        <w:pStyle w:val="Heading1"/>
        <w:rPr>
          <w:lang w:val="en-US"/>
        </w:rPr>
      </w:pPr>
      <w:r>
        <w:rPr>
          <w:lang w:val="en-US"/>
        </w:rPr>
        <w:t>Discussion</w:t>
      </w:r>
    </w:p>
    <w:p w14:paraId="34AFF5D2" w14:textId="0A8E82C0" w:rsidR="00A104DA" w:rsidRDefault="006B6F84" w:rsidP="00A104DA">
      <w:r>
        <w:t xml:space="preserve">As discussed in [1], an FR2 </w:t>
      </w:r>
      <w:r w:rsidR="00A104DA">
        <w:t>UE is not precluded from transmitting its UL signal in mutually orthogonal polarizations simultaneously</w:t>
      </w:r>
      <w:r w:rsidR="00AD57CC">
        <w:t>. Additionally, it can incorporate transparent diversity schemes.</w:t>
      </w:r>
      <w:r w:rsidR="00A104DA">
        <w:t xml:space="preserve"> </w:t>
      </w:r>
    </w:p>
    <w:p w14:paraId="5D764F01" w14:textId="20451ADF" w:rsidR="00A104DA" w:rsidRDefault="00A104DA" w:rsidP="00A104DA">
      <w:r>
        <w:t>In an OTA context of EVM testing, it was agreed in [</w:t>
      </w:r>
      <w:r w:rsidR="00AD57CC">
        <w:t>2</w:t>
      </w:r>
      <w:r>
        <w:t xml:space="preserve">] that </w:t>
      </w:r>
      <w:r w:rsidRPr="00823396">
        <w:t xml:space="preserve">EVM </w:t>
      </w:r>
      <w:r>
        <w:t xml:space="preserve">would be evaluated </w:t>
      </w:r>
      <w:r w:rsidRPr="00823396">
        <w:t>separately for each polarization of the measurement antenna</w:t>
      </w:r>
      <w:r>
        <w:t xml:space="preserve">, and that the EVM requirement shall be met in at least one of those polarizations. </w:t>
      </w:r>
      <w:r w:rsidR="00C51897">
        <w:t>Note that t</w:t>
      </w:r>
      <w:r>
        <w:t xml:space="preserve">he general condition is that a UE’s UL polarization axes are not aligned with those of the TE. </w:t>
      </w:r>
    </w:p>
    <w:p w14:paraId="0C996ECD" w14:textId="176E130E" w:rsidR="00A104DA" w:rsidRDefault="00BA68AC" w:rsidP="00A104DA">
      <w:r>
        <w:t>When a UE’s UL signal is captured per [</w:t>
      </w:r>
      <w:r w:rsidR="00AD57CC">
        <w:t>2</w:t>
      </w:r>
      <w:r>
        <w:t>], without benefit of coherent combining across two mutually orthogonal polarizations, the combination of</w:t>
      </w:r>
      <w:r w:rsidR="00D60486">
        <w:t xml:space="preserve"> UL polarization diversity</w:t>
      </w:r>
      <w:r>
        <w:t xml:space="preserve"> and certain</w:t>
      </w:r>
      <w:r w:rsidR="00D60486">
        <w:t xml:space="preserve"> t</w:t>
      </w:r>
      <w:r w:rsidR="00A104DA">
        <w:t xml:space="preserve">ransparent frequency-domain diversity schemes can </w:t>
      </w:r>
      <w:r w:rsidR="00D60486">
        <w:t xml:space="preserve">cause </w:t>
      </w:r>
      <w:r>
        <w:t>artefacts</w:t>
      </w:r>
      <w:r w:rsidR="00D60486">
        <w:t xml:space="preserve"> </w:t>
      </w:r>
      <w:r w:rsidR="00921A67">
        <w:t xml:space="preserve">in </w:t>
      </w:r>
      <w:r>
        <w:t xml:space="preserve">the signal’s spectral flatness. This effect needs consideration because it can impact compliance with spectrum flatness requirements, and IBE. </w:t>
      </w:r>
    </w:p>
    <w:p w14:paraId="6FA44DD8" w14:textId="5FF2CDFD" w:rsidR="00AD57CC" w:rsidRDefault="00AD57CC" w:rsidP="00A104DA">
      <w:r>
        <w:t>In [1], we proposed that in order to enable proper verification of tests requiring demodulation of the UL signal:</w:t>
      </w:r>
    </w:p>
    <w:p w14:paraId="467D851B" w14:textId="00D54BF7" w:rsidR="00AD57CC" w:rsidRDefault="00AD57CC" w:rsidP="00A104DA">
      <w:r>
        <w:rPr>
          <w:noProof/>
        </w:rPr>
        <mc:AlternateContent>
          <mc:Choice Requires="wps">
            <w:drawing>
              <wp:inline distT="0" distB="0" distL="0" distR="0" wp14:anchorId="7A98C883" wp14:editId="464B4A7F">
                <wp:extent cx="5988050" cy="140462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4620"/>
                        </a:xfrm>
                        <a:prstGeom prst="rect">
                          <a:avLst/>
                        </a:prstGeom>
                        <a:solidFill>
                          <a:srgbClr val="FFFFFF"/>
                        </a:solidFill>
                        <a:ln w="9525">
                          <a:solidFill>
                            <a:srgbClr val="000000"/>
                          </a:solidFill>
                          <a:miter lim="800000"/>
                          <a:headEnd/>
                          <a:tailEnd/>
                        </a:ln>
                      </wps:spPr>
                      <wps:txbx>
                        <w:txbxContent>
                          <w:p w14:paraId="0D220A54" w14:textId="5DF483C9" w:rsidR="00BD17A0" w:rsidRPr="00AD57CC" w:rsidRDefault="00BD17A0">
                            <w:pPr>
                              <w:rPr>
                                <w:b/>
                              </w:rPr>
                            </w:pPr>
                            <w:r w:rsidRPr="00CB71B5">
                              <w:rPr>
                                <w:b/>
                              </w:rPr>
                              <w:t>Proposal: Measurement at the TE should be performed</w:t>
                            </w:r>
                            <w:r>
                              <w:rPr>
                                <w:b/>
                              </w:rPr>
                              <w:t xml:space="preserve"> concurrently</w:t>
                            </w:r>
                            <w:r w:rsidRPr="00CB71B5">
                              <w:rPr>
                                <w:b/>
                              </w:rPr>
                              <w:t xml:space="preserve"> in mutually orthogonal polarization angles, to accommodate UEs that implement allowable diversity</w:t>
                            </w:r>
                            <w:r>
                              <w:rPr>
                                <w:b/>
                              </w:rPr>
                              <w:t xml:space="preserve"> schemes in conjunction</w:t>
                            </w:r>
                            <w:r w:rsidRPr="00CB71B5">
                              <w:rPr>
                                <w:b/>
                              </w:rPr>
                              <w:t xml:space="preserve"> with polarization diversity in the UL.</w:t>
                            </w:r>
                          </w:p>
                        </w:txbxContent>
                      </wps:txbx>
                      <wps:bodyPr rot="0" vert="horz" wrap="square" lIns="91440" tIns="45720" rIns="91440" bIns="45720" anchor="t" anchorCtr="0">
                        <a:spAutoFit/>
                      </wps:bodyPr>
                    </wps:wsp>
                  </a:graphicData>
                </a:graphic>
              </wp:inline>
            </w:drawing>
          </mc:Choice>
          <mc:Fallback>
            <w:pict>
              <v:shapetype w14:anchorId="7A98C883" id="_x0000_t202" coordsize="21600,21600" o:spt="202" path="m,l,21600r21600,l21600,xe">
                <v:stroke joinstyle="miter"/>
                <v:path gradientshapeok="t" o:connecttype="rect"/>
              </v:shapetype>
              <v:shape id="Text Box 2" o:spid="_x0000_s1026"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">
                <v:textbox style="mso-fit-shape-to-text:t">
                  <w:txbxContent>
                    <w:p w14:paraId="0D220A54" w14:textId="5DF483C9" w:rsidR="00BD17A0" w:rsidRPr="00AD57CC" w:rsidRDefault="00BD17A0">
                      <w:pPr>
                        <w:rPr>
                          <w:b/>
                        </w:rPr>
                      </w:pPr>
                      <w:r w:rsidRPr="00CB71B5">
                        <w:rPr>
                          <w:b/>
                        </w:rPr>
                        <w:t>Proposal: Measurement at the TE should be performed</w:t>
                      </w:r>
                      <w:r>
                        <w:rPr>
                          <w:b/>
                        </w:rPr>
                        <w:t xml:space="preserve"> concurrently</w:t>
                      </w:r>
                      <w:r w:rsidRPr="00CB71B5">
                        <w:rPr>
                          <w:b/>
                        </w:rPr>
                        <w:t xml:space="preserve"> in mutually orthogonal polarization angles, to accommodate UEs that implement allowable diversity</w:t>
                      </w:r>
                      <w:r>
                        <w:rPr>
                          <w:b/>
                        </w:rPr>
                        <w:t xml:space="preserve"> schemes in conjunction</w:t>
                      </w:r>
                      <w:r w:rsidRPr="00CB71B5">
                        <w:rPr>
                          <w:b/>
                        </w:rPr>
                        <w:t xml:space="preserve"> with polarization diversity in the UL.</w:t>
                      </w:r>
                    </w:p>
                  </w:txbxContent>
                </v:textbox>
                <w10:anchorlock/>
              </v:shape>
            </w:pict>
          </mc:Fallback>
        </mc:AlternateContent>
      </w:r>
    </w:p>
    <w:p w14:paraId="11CFE92C" w14:textId="69906457" w:rsidR="00AD57CC" w:rsidRDefault="00AD57CC" w:rsidP="00A104DA">
      <w:r>
        <w:t>Online discussion was captured in the Chairman’s notes:</w:t>
      </w:r>
    </w:p>
    <w:p w14:paraId="12A46D0B" w14:textId="43A3AAA8" w:rsidR="00AD57CC" w:rsidRDefault="00AD57CC" w:rsidP="00A104DA">
      <w:r>
        <w:rPr>
          <w:noProof/>
        </w:rPr>
        <mc:AlternateContent>
          <mc:Choice Requires="wps">
            <w:drawing>
              <wp:inline distT="0" distB="0" distL="0" distR="0" wp14:anchorId="78D6DADA" wp14:editId="38F342F1">
                <wp:extent cx="5988050" cy="1492250"/>
                <wp:effectExtent l="0" t="0" r="12700" b="12700"/>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92250"/>
                        </a:xfrm>
                        <a:prstGeom prst="rect">
                          <a:avLst/>
                        </a:prstGeom>
                        <a:solidFill>
                          <a:srgbClr val="FFFFFF"/>
                        </a:solidFill>
                        <a:ln w="9525">
                          <a:solidFill>
                            <a:srgbClr val="000000"/>
                          </a:solidFill>
                          <a:miter lim="800000"/>
                          <a:headEnd/>
                          <a:tailEnd/>
                        </a:ln>
                      </wps:spPr>
                      <wps:txbx>
                        <w:txbxContent>
                          <w:p w14:paraId="2C4EE8D2"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A</w:t>
                            </w:r>
                            <w:r w:rsidRPr="00AD57CC">
                              <w:rPr>
                                <w:rFonts w:eastAsia="MS Mincho"/>
                                <w:lang w:eastAsia="ja-JP"/>
                              </w:rPr>
                              <w:t>pple: we agree with that measurement should be concurrently done. This should be done in other requirements as well. We can discuss this more generally.</w:t>
                            </w:r>
                          </w:p>
                          <w:p w14:paraId="6A467DE1"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R</w:t>
                            </w:r>
                            <w:r w:rsidRPr="00AD57CC">
                              <w:rPr>
                                <w:rFonts w:eastAsia="MS Mincho"/>
                                <w:lang w:eastAsia="ja-JP"/>
                              </w:rPr>
                              <w:t xml:space="preserve">&amp;S: we disagree with this proposal. it is very easy to say that combining </w:t>
                            </w:r>
                            <w:proofErr w:type="spellStart"/>
                            <w:proofErr w:type="gramStart"/>
                            <w:r w:rsidRPr="00AD57CC">
                              <w:rPr>
                                <w:rFonts w:eastAsia="MS Mincho"/>
                                <w:lang w:eastAsia="ja-JP"/>
                              </w:rPr>
                              <w:t>etc..actually</w:t>
                            </w:r>
                            <w:proofErr w:type="spellEnd"/>
                            <w:proofErr w:type="gramEnd"/>
                            <w:r w:rsidRPr="00AD57CC">
                              <w:rPr>
                                <w:rFonts w:eastAsia="MS Mincho"/>
                                <w:lang w:eastAsia="ja-JP"/>
                              </w:rPr>
                              <w:t xml:space="preserve"> the proposal is not a practical way. </w:t>
                            </w:r>
                          </w:p>
                          <w:p w14:paraId="2D58066B"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K</w:t>
                            </w:r>
                            <w:r w:rsidRPr="00AD57CC">
                              <w:rPr>
                                <w:rFonts w:eastAsia="MS Mincho"/>
                                <w:lang w:eastAsia="ja-JP"/>
                              </w:rPr>
                              <w:t>S: we have a similar view with R&amp;S. That aspect was discussed in our other paper.</w:t>
                            </w:r>
                          </w:p>
                          <w:p w14:paraId="24FAFD02"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Q</w:t>
                            </w:r>
                            <w:r w:rsidRPr="00AD57CC">
                              <w:rPr>
                                <w:rFonts w:eastAsia="MS Mincho"/>
                                <w:lang w:eastAsia="ja-JP"/>
                              </w:rPr>
                              <w:t xml:space="preserve">ualcomm: For R&amp;S and KS, we understand their concern. </w:t>
                            </w:r>
                          </w:p>
                          <w:p w14:paraId="457D9E0B" w14:textId="46D9CB09" w:rsidR="00BD17A0" w:rsidRPr="00AD57CC" w:rsidRDefault="00BD17A0" w:rsidP="00AD57CC">
                            <w:pPr>
                              <w:rPr>
                                <w:b/>
                              </w:rPr>
                            </w:pPr>
                          </w:p>
                        </w:txbxContent>
                      </wps:txbx>
                      <wps:bodyPr rot="0" vert="horz" wrap="square" lIns="91440" tIns="45720" rIns="91440" bIns="45720" anchor="t" anchorCtr="0">
                        <a:noAutofit/>
                      </wps:bodyPr>
                    </wps:wsp>
                  </a:graphicData>
                </a:graphic>
              </wp:inline>
            </w:drawing>
          </mc:Choice>
          <mc:Fallback>
            <w:pict>
              <v:shape w14:anchorId="78D6DADA" id="_x0000_s1027" type="#_x0000_t202" style="width:471.5pt;height: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">
                <v:textbox>
                  <w:txbxContent>
                    <w:p w14:paraId="2C4EE8D2"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A</w:t>
                      </w:r>
                      <w:r w:rsidRPr="00AD57CC">
                        <w:rPr>
                          <w:rFonts w:eastAsia="MS Mincho"/>
                          <w:lang w:eastAsia="ja-JP"/>
                        </w:rPr>
                        <w:t>pple: we agree with that measurement should be concurrently done. This should be done in other requirements as well. We can discuss this more generally.</w:t>
                      </w:r>
                    </w:p>
                    <w:p w14:paraId="6A467DE1"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R</w:t>
                      </w:r>
                      <w:r w:rsidRPr="00AD57CC">
                        <w:rPr>
                          <w:rFonts w:eastAsia="MS Mincho"/>
                          <w:lang w:eastAsia="ja-JP"/>
                        </w:rPr>
                        <w:t xml:space="preserve">&amp;S: we disagree with this proposal. it is very easy to say that combining </w:t>
                      </w:r>
                      <w:proofErr w:type="spellStart"/>
                      <w:proofErr w:type="gramStart"/>
                      <w:r w:rsidRPr="00AD57CC">
                        <w:rPr>
                          <w:rFonts w:eastAsia="MS Mincho"/>
                          <w:lang w:eastAsia="ja-JP"/>
                        </w:rPr>
                        <w:t>etc..actually</w:t>
                      </w:r>
                      <w:proofErr w:type="spellEnd"/>
                      <w:proofErr w:type="gramEnd"/>
                      <w:r w:rsidRPr="00AD57CC">
                        <w:rPr>
                          <w:rFonts w:eastAsia="MS Mincho"/>
                          <w:lang w:eastAsia="ja-JP"/>
                        </w:rPr>
                        <w:t xml:space="preserve"> the proposal is not a practical way. </w:t>
                      </w:r>
                    </w:p>
                    <w:p w14:paraId="2D58066B"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K</w:t>
                      </w:r>
                      <w:r w:rsidRPr="00AD57CC">
                        <w:rPr>
                          <w:rFonts w:eastAsia="MS Mincho"/>
                          <w:lang w:eastAsia="ja-JP"/>
                        </w:rPr>
                        <w:t>S: we have a similar view with R&amp;S. That aspect was discussed in our other paper.</w:t>
                      </w:r>
                    </w:p>
                    <w:p w14:paraId="24FAFD02" w14:textId="77777777" w:rsidR="00BD17A0" w:rsidRPr="00AD57CC" w:rsidRDefault="00BD17A0" w:rsidP="00AD57CC">
                      <w:pPr>
                        <w:overflowPunct w:val="0"/>
                        <w:autoSpaceDE w:val="0"/>
                        <w:autoSpaceDN w:val="0"/>
                        <w:adjustRightInd w:val="0"/>
                        <w:textAlignment w:val="baseline"/>
                        <w:rPr>
                          <w:rFonts w:eastAsia="MS Mincho"/>
                          <w:lang w:eastAsia="ja-JP"/>
                        </w:rPr>
                      </w:pPr>
                      <w:r w:rsidRPr="00AD57CC">
                        <w:rPr>
                          <w:rFonts w:eastAsia="MS Mincho" w:hint="eastAsia"/>
                          <w:lang w:eastAsia="ja-JP"/>
                        </w:rPr>
                        <w:t>Q</w:t>
                      </w:r>
                      <w:r w:rsidRPr="00AD57CC">
                        <w:rPr>
                          <w:rFonts w:eastAsia="MS Mincho"/>
                          <w:lang w:eastAsia="ja-JP"/>
                        </w:rPr>
                        <w:t xml:space="preserve">ualcomm: For R&amp;S and KS, we understand their concern. </w:t>
                      </w:r>
                    </w:p>
                    <w:p w14:paraId="457D9E0B" w14:textId="46D9CB09" w:rsidR="00BD17A0" w:rsidRPr="00AD57CC" w:rsidRDefault="00BD17A0" w:rsidP="00AD57CC">
                      <w:pPr>
                        <w:rPr>
                          <w:b/>
                        </w:rPr>
                      </w:pPr>
                    </w:p>
                  </w:txbxContent>
                </v:textbox>
                <w10:anchorlock/>
              </v:shape>
            </w:pict>
          </mc:Fallback>
        </mc:AlternateContent>
      </w:r>
    </w:p>
    <w:p w14:paraId="03149354" w14:textId="6105F7FC" w:rsidR="00AD57CC" w:rsidRDefault="007009BB" w:rsidP="00A104DA">
      <w:r>
        <w:t xml:space="preserve">Unfortunately, this problem of proper verification of tests requiring demodulation of the UL signal remains unresolved. </w:t>
      </w:r>
      <w:r w:rsidR="00251CC8">
        <w:t xml:space="preserve">We revisit </w:t>
      </w:r>
      <w:r>
        <w:t xml:space="preserve">this problem, first by describing the phenomenon, and its effects, followed by options to </w:t>
      </w:r>
      <w:r w:rsidR="00F84D5D">
        <w:t>address</w:t>
      </w:r>
      <w:r>
        <w:t xml:space="preserve"> the problem.</w:t>
      </w:r>
    </w:p>
    <w:p w14:paraId="753C6817" w14:textId="32DAB4F9" w:rsidR="00FB6682" w:rsidRDefault="00E3468C" w:rsidP="006D7FFD">
      <w:pPr>
        <w:pStyle w:val="Heading2"/>
      </w:pPr>
      <w:r>
        <w:lastRenderedPageBreak/>
        <w:t>Spectral Flatness Problem</w:t>
      </w:r>
    </w:p>
    <w:p w14:paraId="08A901FD" w14:textId="51C418B0" w:rsidR="00623A7E" w:rsidRDefault="002C347D" w:rsidP="00623A7E">
      <w:r>
        <w:t>Figure 2.</w:t>
      </w:r>
      <w:r w:rsidR="009049DB">
        <w:t>1</w:t>
      </w:r>
      <w:r w:rsidR="00E10A19">
        <w:t>-1</w:t>
      </w:r>
      <w:r>
        <w:t xml:space="preserve"> shows </w:t>
      </w:r>
      <w:r w:rsidR="009049DB">
        <w:t>simulated PSD captured by a TE antenna</w:t>
      </w:r>
      <w:r w:rsidR="00D113E7">
        <w:t>, as a function of TE antenna misalignment</w:t>
      </w:r>
      <w:r w:rsidR="00106E8E">
        <w:t xml:space="preserve">, for </w:t>
      </w:r>
      <w:r w:rsidR="009049DB">
        <w:t>a delay diversity scheme</w:t>
      </w:r>
      <w:r w:rsidR="00106E8E">
        <w:t xml:space="preserve"> across a 10RB allocation</w:t>
      </w:r>
      <w:r>
        <w:t>.</w:t>
      </w:r>
      <w:r w:rsidR="00106E8E">
        <w:t xml:space="preserve"> </w:t>
      </w:r>
      <w:r w:rsidR="009049DB">
        <w:t xml:space="preserve">In this example, the delay was </w:t>
      </w:r>
      <w:r w:rsidR="00E10A19">
        <w:t>about 0.83% of symbol duration (without CP). This delay is considerable smaller than the CP</w:t>
      </w:r>
      <w:r w:rsidR="009049DB">
        <w:t>, which</w:t>
      </w:r>
      <w:r w:rsidR="00E10A19">
        <w:t xml:space="preserve"> is about 7% of symbol duration</w:t>
      </w:r>
      <w:r w:rsidR="00C62218">
        <w:t>.</w:t>
      </w:r>
      <w:r w:rsidR="00022509">
        <w:t xml:space="preserve"> </w:t>
      </w:r>
      <w:proofErr w:type="spellStart"/>
      <w:r w:rsidR="00022509">
        <w:t>i.e</w:t>
      </w:r>
      <w:proofErr w:type="spellEnd"/>
      <w:r w:rsidR="00E10A19">
        <w:t xml:space="preserve"> </w:t>
      </w:r>
      <w:proofErr w:type="gramStart"/>
      <w:r w:rsidR="009049DB">
        <w:t>The</w:t>
      </w:r>
      <w:proofErr w:type="gramEnd"/>
      <w:r w:rsidR="009049DB">
        <w:t xml:space="preserve"> delay is ‘short’ and considered</w:t>
      </w:r>
      <w:r w:rsidR="00E10A19">
        <w:t xml:space="preserve"> transparent.</w:t>
      </w:r>
    </w:p>
    <w:p w14:paraId="56BE0420" w14:textId="57296C99" w:rsidR="006531CE" w:rsidRDefault="00B91A9D" w:rsidP="00D113E7">
      <w:pPr>
        <w:jc w:val="center"/>
      </w:pPr>
      <w:r w:rsidRPr="00B91A9D">
        <w:rPr>
          <w:noProof/>
        </w:rPr>
        <w:drawing>
          <wp:inline distT="0" distB="0" distL="0" distR="0" wp14:anchorId="483C9768" wp14:editId="6B37FF13">
            <wp:extent cx="3282950" cy="2462213"/>
            <wp:effectExtent l="0" t="0" r="0" b="0"/>
            <wp:docPr id="6" name="Picture 6">
              <a:extLst xmlns:a="http://schemas.openxmlformats.org/drawingml/2006/main">
                <a:ext uri="{FF2B5EF4-FFF2-40B4-BE49-F238E27FC236}">
                  <a16:creationId xmlns:a16="http://schemas.microsoft.com/office/drawing/2014/main" id="{13A0FF40-41AD-4739-A42B-0CF4355045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3A0FF40-41AD-4739-A42B-0CF4355045A4}"/>
                        </a:ext>
                      </a:extLst>
                    </pic:cNvPr>
                    <pic:cNvPicPr>
                      <a:picLocks noChangeAspect="1"/>
                    </pic:cNvPicPr>
                  </pic:nvPicPr>
                  <pic:blipFill>
                    <a:blip r:embed="rId8"/>
                    <a:stretch>
                      <a:fillRect/>
                    </a:stretch>
                  </pic:blipFill>
                  <pic:spPr>
                    <a:xfrm>
                      <a:off x="0" y="0"/>
                      <a:ext cx="3288197" cy="2466149"/>
                    </a:xfrm>
                    <a:prstGeom prst="rect">
                      <a:avLst/>
                    </a:prstGeom>
                  </pic:spPr>
                </pic:pic>
              </a:graphicData>
            </a:graphic>
          </wp:inline>
        </w:drawing>
      </w:r>
    </w:p>
    <w:p w14:paraId="5CDC1528" w14:textId="00700713" w:rsidR="00D113E7" w:rsidRDefault="00D113E7" w:rsidP="00D113E7">
      <w:pPr>
        <w:jc w:val="center"/>
      </w:pPr>
      <w:r>
        <w:t>Fig</w:t>
      </w:r>
      <w:r w:rsidR="00F84D5D">
        <w:t>ure</w:t>
      </w:r>
      <w:r>
        <w:t xml:space="preserve"> 2.</w:t>
      </w:r>
      <w:r w:rsidR="009049DB">
        <w:t>1</w:t>
      </w:r>
      <w:r>
        <w:t xml:space="preserve">-1: Spectral Flatness </w:t>
      </w:r>
      <w:r w:rsidR="00022509">
        <w:t xml:space="preserve">captured by TE in a single polarization, </w:t>
      </w:r>
      <w:r>
        <w:t>as a function of TE antenna misalignment</w:t>
      </w:r>
      <w:r w:rsidR="00106E8E">
        <w:t xml:space="preserve">, for </w:t>
      </w:r>
      <w:r w:rsidR="009049DB">
        <w:t>short delay diversity</w:t>
      </w:r>
      <w:r>
        <w:t>.</w:t>
      </w:r>
    </w:p>
    <w:p w14:paraId="3A9A18E5" w14:textId="2D331E90" w:rsidR="00D113E7" w:rsidRDefault="00E10A19" w:rsidP="00D113E7">
      <w:r>
        <w:t xml:space="preserve">The figure above </w:t>
      </w:r>
      <w:r w:rsidR="009049DB">
        <w:t>illustrates</w:t>
      </w:r>
      <w:r>
        <w:t xml:space="preserve"> the problem of testing OTA in conjunction with </w:t>
      </w:r>
      <w:r w:rsidR="009049DB">
        <w:t>delay diversity</w:t>
      </w:r>
      <w:r>
        <w:t xml:space="preserve">, dual pol UL signal and single polarization TE antenna: </w:t>
      </w:r>
      <w:r w:rsidR="00D113E7" w:rsidRPr="007009BB">
        <w:rPr>
          <w:highlight w:val="yellow"/>
        </w:rPr>
        <w:t xml:space="preserve">Even </w:t>
      </w:r>
      <w:r w:rsidR="00106E8E" w:rsidRPr="007009BB">
        <w:rPr>
          <w:highlight w:val="yellow"/>
        </w:rPr>
        <w:t xml:space="preserve">when a UE transmits </w:t>
      </w:r>
      <w:r w:rsidR="00D113E7" w:rsidRPr="007009BB">
        <w:rPr>
          <w:highlight w:val="yellow"/>
        </w:rPr>
        <w:t>a</w:t>
      </w:r>
      <w:r w:rsidR="00106E8E" w:rsidRPr="007009BB">
        <w:rPr>
          <w:highlight w:val="yellow"/>
        </w:rPr>
        <w:t xml:space="preserve">n UL signal with a </w:t>
      </w:r>
      <w:r w:rsidR="00D113E7" w:rsidRPr="007009BB">
        <w:rPr>
          <w:highlight w:val="yellow"/>
        </w:rPr>
        <w:t xml:space="preserve">perfectly flat PSD </w:t>
      </w:r>
      <w:r w:rsidR="00106E8E" w:rsidRPr="007009BB">
        <w:rPr>
          <w:highlight w:val="yellow"/>
        </w:rPr>
        <w:t>in both</w:t>
      </w:r>
      <w:r w:rsidR="00D113E7" w:rsidRPr="007009BB">
        <w:rPr>
          <w:highlight w:val="yellow"/>
        </w:rPr>
        <w:t xml:space="preserve"> polarization</w:t>
      </w:r>
      <w:r w:rsidR="00106E8E" w:rsidRPr="007009BB">
        <w:rPr>
          <w:highlight w:val="yellow"/>
        </w:rPr>
        <w:t xml:space="preserve">s, </w:t>
      </w:r>
      <w:r w:rsidR="00D113E7" w:rsidRPr="007009BB">
        <w:rPr>
          <w:highlight w:val="yellow"/>
        </w:rPr>
        <w:t>the TE</w:t>
      </w:r>
      <w:r w:rsidR="00106E8E" w:rsidRPr="007009BB">
        <w:rPr>
          <w:highlight w:val="yellow"/>
        </w:rPr>
        <w:t xml:space="preserve"> can misconstrue the signal as having significant amplitude flatness degradation</w:t>
      </w:r>
      <w:r w:rsidR="00106E8E">
        <w:t xml:space="preserve">. The trend is symmetric around 45degrees of misalignment, which is a worst-case </w:t>
      </w:r>
      <w:r w:rsidR="00022509">
        <w:t>misalignment</w:t>
      </w:r>
      <w:r w:rsidR="00106E8E">
        <w:t>.</w:t>
      </w:r>
    </w:p>
    <w:p w14:paraId="5C108A29" w14:textId="7507ED6B" w:rsidR="00E7086A" w:rsidRPr="00E7086A" w:rsidRDefault="00E7086A" w:rsidP="00623A7E">
      <w:pPr>
        <w:rPr>
          <w:rFonts w:ascii="Arial" w:hAnsi="Arial"/>
          <w:sz w:val="32"/>
        </w:rPr>
      </w:pPr>
      <w:r w:rsidRPr="00E7086A">
        <w:t xml:space="preserve">This problem </w:t>
      </w:r>
      <w:r>
        <w:t>can impact all tests in Section 6.4 of TS38.101-2 (Transmit Modulation Quality), among others.</w:t>
      </w:r>
      <w:r>
        <w:rPr>
          <w:rFonts w:ascii="Arial" w:hAnsi="Arial"/>
          <w:sz w:val="32"/>
        </w:rPr>
        <w:t xml:space="preserve"> </w:t>
      </w:r>
      <w:r w:rsidRPr="00E7086A">
        <w:rPr>
          <w:rFonts w:ascii="Arial" w:hAnsi="Arial"/>
          <w:sz w:val="32"/>
        </w:rPr>
        <w:t xml:space="preserve"> </w:t>
      </w:r>
    </w:p>
    <w:p w14:paraId="23DA31E5" w14:textId="1006C9E5" w:rsidR="002C347D" w:rsidRDefault="002C347D" w:rsidP="002C347D">
      <w:pPr>
        <w:pStyle w:val="Heading2"/>
      </w:pPr>
      <w:r>
        <w:t>Proposals</w:t>
      </w:r>
      <w:r w:rsidR="00092F71">
        <w:t xml:space="preserve"> for verification</w:t>
      </w:r>
    </w:p>
    <w:p w14:paraId="420B3D3E" w14:textId="02F6A413" w:rsidR="00BE2970" w:rsidRDefault="00BE2970" w:rsidP="002C347D">
      <w:r>
        <w:t>The mechanism that causes the flatness artefact illustrated in figure 2.1-1 can be disabled by removing one of the 3 contributing factors:</w:t>
      </w:r>
    </w:p>
    <w:p w14:paraId="6869D374" w14:textId="21955EFF" w:rsidR="00BE2970" w:rsidRDefault="00BE2970" w:rsidP="00B65137">
      <w:pPr>
        <w:pStyle w:val="ListParagraph"/>
        <w:numPr>
          <w:ilvl w:val="0"/>
          <w:numId w:val="37"/>
        </w:numPr>
      </w:pPr>
      <w:r>
        <w:t>UL transmission in both polarizations</w:t>
      </w:r>
    </w:p>
    <w:p w14:paraId="7F625416" w14:textId="776CBCD6" w:rsidR="00BE2970" w:rsidRDefault="00BE2970" w:rsidP="00B65137">
      <w:pPr>
        <w:pStyle w:val="ListParagraph"/>
        <w:numPr>
          <w:ilvl w:val="0"/>
          <w:numId w:val="37"/>
        </w:numPr>
      </w:pPr>
      <w:r>
        <w:t>allowable transmit diversity schemes</w:t>
      </w:r>
    </w:p>
    <w:p w14:paraId="647F4449" w14:textId="092D310F" w:rsidR="00BE2970" w:rsidRDefault="00BE2970" w:rsidP="00B65137">
      <w:pPr>
        <w:pStyle w:val="ListParagraph"/>
        <w:numPr>
          <w:ilvl w:val="0"/>
          <w:numId w:val="37"/>
        </w:numPr>
      </w:pPr>
      <w:r>
        <w:t>TE measurement in a single polarization</w:t>
      </w:r>
      <w:r w:rsidR="00B65137">
        <w:t xml:space="preserve"> </w:t>
      </w:r>
    </w:p>
    <w:p w14:paraId="1FE0DD63" w14:textId="02DACB98" w:rsidR="001A6F1D" w:rsidRDefault="00B65137" w:rsidP="002C347D">
      <w:r>
        <w:t xml:space="preserve">We now investigate the ramifications of removing each contribution factor, to enable verification of Transmit Modulation Quality requirements in FR2. </w:t>
      </w:r>
      <w:r w:rsidR="00092F71">
        <w:t xml:space="preserve">Table 2.2-1 lists the </w:t>
      </w:r>
      <w:r w:rsidR="00450FA0">
        <w:t xml:space="preserve">test and verification </w:t>
      </w:r>
      <w:r w:rsidR="00092F71">
        <w:t>options</w:t>
      </w:r>
      <w:r w:rsidR="005753CB">
        <w:t>.</w:t>
      </w:r>
    </w:p>
    <w:tbl>
      <w:tblPr>
        <w:tblStyle w:val="GridTable4-Accent6"/>
        <w:tblW w:w="0" w:type="auto"/>
        <w:tblLook w:val="04A0" w:firstRow="1" w:lastRow="0" w:firstColumn="1" w:lastColumn="0" w:noHBand="0" w:noVBand="1"/>
      </w:tblPr>
      <w:tblGrid>
        <w:gridCol w:w="1283"/>
        <w:gridCol w:w="2448"/>
        <w:gridCol w:w="2352"/>
        <w:gridCol w:w="3168"/>
      </w:tblGrid>
      <w:tr w:rsidR="00732C0D" w14:paraId="751F2580" w14:textId="77777777" w:rsidTr="002779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3" w:type="dxa"/>
          </w:tcPr>
          <w:p w14:paraId="019E76CA" w14:textId="389A32C9" w:rsidR="00732C0D" w:rsidRDefault="00732C0D" w:rsidP="002C347D">
            <w:r>
              <w:t>Option</w:t>
            </w:r>
          </w:p>
        </w:tc>
        <w:tc>
          <w:tcPr>
            <w:tcW w:w="2448" w:type="dxa"/>
          </w:tcPr>
          <w:p w14:paraId="373FE6E5" w14:textId="58B2D6F2" w:rsidR="00732C0D" w:rsidRDefault="00732C0D" w:rsidP="002C347D">
            <w:pPr>
              <w:cnfStyle w:val="100000000000" w:firstRow="1" w:lastRow="0" w:firstColumn="0" w:lastColumn="0" w:oddVBand="0" w:evenVBand="0" w:oddHBand="0" w:evenHBand="0" w:firstRowFirstColumn="0" w:firstRowLastColumn="0" w:lastRowFirstColumn="0" w:lastRowLastColumn="0"/>
            </w:pPr>
            <w:r>
              <w:t>Detail</w:t>
            </w:r>
          </w:p>
        </w:tc>
        <w:tc>
          <w:tcPr>
            <w:tcW w:w="2352" w:type="dxa"/>
          </w:tcPr>
          <w:p w14:paraId="2989ABEC" w14:textId="3C6E0E56" w:rsidR="00732C0D" w:rsidRDefault="00732C0D" w:rsidP="002C347D">
            <w:pPr>
              <w:cnfStyle w:val="100000000000" w:firstRow="1" w:lastRow="0" w:firstColumn="0" w:lastColumn="0" w:oddVBand="0" w:evenVBand="0" w:oddHBand="0" w:evenHBand="0" w:firstRowFirstColumn="0" w:firstRowLastColumn="0" w:lastRowFirstColumn="0" w:lastRowLastColumn="0"/>
            </w:pPr>
            <w:r>
              <w:t>Pro</w:t>
            </w:r>
          </w:p>
        </w:tc>
        <w:tc>
          <w:tcPr>
            <w:tcW w:w="3168" w:type="dxa"/>
          </w:tcPr>
          <w:p w14:paraId="21953BAD" w14:textId="18FECDFE" w:rsidR="00732C0D" w:rsidRDefault="00732C0D" w:rsidP="002C347D">
            <w:pPr>
              <w:cnfStyle w:val="100000000000" w:firstRow="1" w:lastRow="0" w:firstColumn="0" w:lastColumn="0" w:oddVBand="0" w:evenVBand="0" w:oddHBand="0" w:evenHBand="0" w:firstRowFirstColumn="0" w:firstRowLastColumn="0" w:lastRowFirstColumn="0" w:lastRowLastColumn="0"/>
            </w:pPr>
            <w:r>
              <w:t>Con</w:t>
            </w:r>
          </w:p>
        </w:tc>
      </w:tr>
      <w:tr w:rsidR="00732C0D" w14:paraId="549E158E" w14:textId="77777777" w:rsidTr="002779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3" w:type="dxa"/>
          </w:tcPr>
          <w:p w14:paraId="10E12BD7" w14:textId="77777777" w:rsidR="00732C0D" w:rsidRDefault="00732C0D" w:rsidP="002C347D">
            <w:r>
              <w:t>1</w:t>
            </w:r>
          </w:p>
          <w:p w14:paraId="46EE8E8B" w14:textId="0F00AA8B" w:rsidR="00B65137" w:rsidRDefault="00B65137" w:rsidP="002C347D">
            <w:r>
              <w:t>(remove contributing factor c)</w:t>
            </w:r>
          </w:p>
        </w:tc>
        <w:tc>
          <w:tcPr>
            <w:tcW w:w="2448" w:type="dxa"/>
          </w:tcPr>
          <w:p w14:paraId="48DF4BD4" w14:textId="72C72FB5" w:rsidR="00732C0D" w:rsidRDefault="00732C0D" w:rsidP="002C347D">
            <w:pPr>
              <w:cnfStyle w:val="000000100000" w:firstRow="0" w:lastRow="0" w:firstColumn="0" w:lastColumn="0" w:oddVBand="0" w:evenVBand="0" w:oddHBand="1" w:evenHBand="0" w:firstRowFirstColumn="0" w:firstRowLastColumn="0" w:lastRowFirstColumn="0" w:lastRowLastColumn="0"/>
            </w:pPr>
            <w:r>
              <w:t>Twin Coherent Receivers</w:t>
            </w:r>
            <w:r w:rsidR="00CD1C59">
              <w:t xml:space="preserve"> in TE</w:t>
            </w:r>
            <w:r>
              <w:t>. TE</w:t>
            </w:r>
            <w:r w:rsidR="00DC35FA">
              <w:t xml:space="preserve"> must coherently combine the signals captured concurrently in two orthogonal polarizations</w:t>
            </w:r>
          </w:p>
        </w:tc>
        <w:tc>
          <w:tcPr>
            <w:tcW w:w="2352" w:type="dxa"/>
          </w:tcPr>
          <w:p w14:paraId="396CDBFB" w14:textId="2BCF713F" w:rsidR="00732C0D" w:rsidRDefault="00DC35FA" w:rsidP="002C347D">
            <w:pPr>
              <w:cnfStyle w:val="000000100000" w:firstRow="0" w:lastRow="0" w:firstColumn="0" w:lastColumn="0" w:oddVBand="0" w:evenVBand="0" w:oddHBand="1" w:evenHBand="0" w:firstRowFirstColumn="0" w:firstRowLastColumn="0" w:lastRowFirstColumn="0" w:lastRowLastColumn="0"/>
            </w:pPr>
            <w:r>
              <w:t xml:space="preserve">Test condition best mimics signal </w:t>
            </w:r>
            <w:r w:rsidR="0041381F">
              <w:t xml:space="preserve">as </w:t>
            </w:r>
            <w:r>
              <w:t xml:space="preserve">seen by </w:t>
            </w:r>
            <w:proofErr w:type="spellStart"/>
            <w:r>
              <w:t>gNB</w:t>
            </w:r>
            <w:proofErr w:type="spellEnd"/>
            <w:r>
              <w:t xml:space="preserve"> </w:t>
            </w:r>
          </w:p>
        </w:tc>
        <w:tc>
          <w:tcPr>
            <w:tcW w:w="3168" w:type="dxa"/>
          </w:tcPr>
          <w:p w14:paraId="20400F77" w14:textId="1BD0826A" w:rsidR="00732C0D" w:rsidRDefault="00DC35FA" w:rsidP="002C347D">
            <w:pPr>
              <w:cnfStyle w:val="000000100000" w:firstRow="0" w:lastRow="0" w:firstColumn="0" w:lastColumn="0" w:oddVBand="0" w:evenVBand="0" w:oddHBand="1" w:evenHBand="0" w:firstRowFirstColumn="0" w:firstRowLastColumn="0" w:lastRowFirstColumn="0" w:lastRowLastColumn="0"/>
            </w:pPr>
            <w:r>
              <w:t>TE vendors have ruled this ‘impractical’</w:t>
            </w:r>
            <w:r w:rsidR="00CD1C59">
              <w:t xml:space="preserve"> for rel.15 due to complexity;</w:t>
            </w:r>
            <w:r>
              <w:t xml:space="preserve"> see section 2.</w:t>
            </w:r>
            <w:r w:rsidR="00627290">
              <w:t xml:space="preserve"> (Discussion)</w:t>
            </w:r>
          </w:p>
        </w:tc>
      </w:tr>
      <w:tr w:rsidR="00732C0D" w14:paraId="544D124B" w14:textId="77777777" w:rsidTr="0027791A">
        <w:tc>
          <w:tcPr>
            <w:cnfStyle w:val="001000000000" w:firstRow="0" w:lastRow="0" w:firstColumn="1" w:lastColumn="0" w:oddVBand="0" w:evenVBand="0" w:oddHBand="0" w:evenHBand="0" w:firstRowFirstColumn="0" w:firstRowLastColumn="0" w:lastRowFirstColumn="0" w:lastRowLastColumn="0"/>
            <w:tcW w:w="1283" w:type="dxa"/>
          </w:tcPr>
          <w:p w14:paraId="72AD603D" w14:textId="77777777" w:rsidR="00732C0D" w:rsidRDefault="00DC35FA" w:rsidP="002C347D">
            <w:r>
              <w:t>2</w:t>
            </w:r>
          </w:p>
          <w:p w14:paraId="4FADD3CF" w14:textId="33AA7F33" w:rsidR="00B65137" w:rsidRDefault="00B65137" w:rsidP="002C347D">
            <w:r>
              <w:t>(suppress contributing factor c)</w:t>
            </w:r>
          </w:p>
        </w:tc>
        <w:tc>
          <w:tcPr>
            <w:tcW w:w="2448" w:type="dxa"/>
          </w:tcPr>
          <w:p w14:paraId="5AA38344" w14:textId="78AD6401" w:rsidR="00732C0D" w:rsidRDefault="00DC35FA" w:rsidP="002C347D">
            <w:pPr>
              <w:cnfStyle w:val="000000000000" w:firstRow="0" w:lastRow="0" w:firstColumn="0" w:lastColumn="0" w:oddVBand="0" w:evenVBand="0" w:oddHBand="0" w:evenHBand="0" w:firstRowFirstColumn="0" w:firstRowLastColumn="0" w:lastRowFirstColumn="0" w:lastRowLastColumn="0"/>
            </w:pPr>
            <w:r>
              <w:t>Single TE receiver chain, TE must search for optimal polarization angle to collect UL signal</w:t>
            </w:r>
          </w:p>
        </w:tc>
        <w:tc>
          <w:tcPr>
            <w:tcW w:w="2352" w:type="dxa"/>
          </w:tcPr>
          <w:p w14:paraId="4DEFA417" w14:textId="2EDEA929" w:rsidR="00732C0D" w:rsidRDefault="00DC35FA" w:rsidP="002C347D">
            <w:pPr>
              <w:cnfStyle w:val="000000000000" w:firstRow="0" w:lastRow="0" w:firstColumn="0" w:lastColumn="0" w:oddVBand="0" w:evenVBand="0" w:oddHBand="0" w:evenHBand="0" w:firstRowFirstColumn="0" w:firstRowLastColumn="0" w:lastRowFirstColumn="0" w:lastRowLastColumn="0"/>
            </w:pPr>
            <w:r>
              <w:t xml:space="preserve">Theoretically, the flatness artefact can be reduced to insignificance </w:t>
            </w:r>
            <w:r w:rsidR="00627290">
              <w:t xml:space="preserve">based on being able to receive output from only one of </w:t>
            </w:r>
            <w:r w:rsidR="00627290">
              <w:lastRenderedPageBreak/>
              <w:t xml:space="preserve">the UE’s polarization, and rejection of the other </w:t>
            </w:r>
          </w:p>
        </w:tc>
        <w:tc>
          <w:tcPr>
            <w:tcW w:w="3168" w:type="dxa"/>
          </w:tcPr>
          <w:p w14:paraId="2EFBBC77" w14:textId="7B0A1227" w:rsidR="00B65137" w:rsidRDefault="00B737E5" w:rsidP="002C347D">
            <w:pPr>
              <w:cnfStyle w:val="000000000000" w:firstRow="0" w:lastRow="0" w:firstColumn="0" w:lastColumn="0" w:oddVBand="0" w:evenVBand="0" w:oddHBand="0" w:evenHBand="0" w:firstRowFirstColumn="0" w:firstRowLastColumn="0" w:lastRowFirstColumn="0" w:lastRowLastColumn="0"/>
            </w:pPr>
            <w:r>
              <w:lastRenderedPageBreak/>
              <w:t>There a</w:t>
            </w:r>
            <w:r w:rsidR="000D5372">
              <w:t>r</w:t>
            </w:r>
            <w:r>
              <w:t xml:space="preserve">e at least as many optimal angles as there are active UE UL polarizations. </w:t>
            </w:r>
            <w:r w:rsidR="00B65137">
              <w:t xml:space="preserve">FFS how to determine </w:t>
            </w:r>
            <w:r w:rsidR="000D5372">
              <w:t>best</w:t>
            </w:r>
            <w:r w:rsidR="00B65137">
              <w:t xml:space="preserve"> TE antenna </w:t>
            </w:r>
            <w:r>
              <w:t>angle</w:t>
            </w:r>
            <w:r w:rsidR="000D5372">
              <w:t xml:space="preserve"> for test</w:t>
            </w:r>
            <w:r w:rsidR="00450FA0">
              <w:t>.</w:t>
            </w:r>
          </w:p>
          <w:p w14:paraId="55344669" w14:textId="708D692E" w:rsidR="00B65137" w:rsidRDefault="00B65137" w:rsidP="002C347D">
            <w:pPr>
              <w:cnfStyle w:val="000000000000" w:firstRow="0" w:lastRow="0" w:firstColumn="0" w:lastColumn="0" w:oddVBand="0" w:evenVBand="0" w:oddHBand="0" w:evenHBand="0" w:firstRowFirstColumn="0" w:firstRowLastColumn="0" w:lastRowFirstColumn="0" w:lastRowLastColumn="0"/>
            </w:pPr>
            <w:r>
              <w:lastRenderedPageBreak/>
              <w:t xml:space="preserve">There is </w:t>
            </w:r>
            <w:r w:rsidR="00F84D5D">
              <w:t xml:space="preserve">flatness </w:t>
            </w:r>
            <w:r>
              <w:t>uncertainty associated with how well TE antenna alignment can be achieve</w:t>
            </w:r>
            <w:r w:rsidR="000D5372">
              <w:t>d.</w:t>
            </w:r>
          </w:p>
          <w:p w14:paraId="52954CF1" w14:textId="7C0901E4" w:rsidR="0027791A" w:rsidRDefault="000D5372" w:rsidP="002C347D">
            <w:pPr>
              <w:cnfStyle w:val="000000000000" w:firstRow="0" w:lastRow="0" w:firstColumn="0" w:lastColumn="0" w:oddVBand="0" w:evenVBand="0" w:oddHBand="0" w:evenHBand="0" w:firstRowFirstColumn="0" w:firstRowLastColumn="0" w:lastRowFirstColumn="0" w:lastRowLastColumn="0"/>
            </w:pPr>
            <w:r>
              <w:t>This scheme places an indirect requirement on strength of unintended cross-pol fields being launched by the UE</w:t>
            </w:r>
          </w:p>
          <w:p w14:paraId="7D76DEC4" w14:textId="1CB83C53" w:rsidR="001705B9" w:rsidRDefault="001705B9" w:rsidP="001705B9">
            <w:pPr>
              <w:cnfStyle w:val="000000000000" w:firstRow="0" w:lastRow="0" w:firstColumn="0" w:lastColumn="0" w:oddVBand="0" w:evenVBand="0" w:oddHBand="0" w:evenHBand="0" w:firstRowFirstColumn="0" w:firstRowLastColumn="0" w:lastRowFirstColumn="0" w:lastRowLastColumn="0"/>
            </w:pPr>
            <w:r>
              <w:t>EIRP range requirement for EVM test will be impacted.</w:t>
            </w:r>
          </w:p>
        </w:tc>
      </w:tr>
      <w:tr w:rsidR="00732C0D" w14:paraId="38A82190" w14:textId="77777777" w:rsidTr="002779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3" w:type="dxa"/>
          </w:tcPr>
          <w:p w14:paraId="4EFD57E0" w14:textId="77777777" w:rsidR="00732C0D" w:rsidRDefault="00627290" w:rsidP="002C347D">
            <w:r>
              <w:lastRenderedPageBreak/>
              <w:t>3</w:t>
            </w:r>
          </w:p>
          <w:p w14:paraId="2BC3A249" w14:textId="298E3FC3" w:rsidR="00B737E5" w:rsidRDefault="00B737E5" w:rsidP="002C347D">
            <w:r>
              <w:t>(remove contributing factor b)</w:t>
            </w:r>
          </w:p>
        </w:tc>
        <w:tc>
          <w:tcPr>
            <w:tcW w:w="2448" w:type="dxa"/>
          </w:tcPr>
          <w:p w14:paraId="0B359899" w14:textId="4529E311" w:rsidR="00732C0D" w:rsidRDefault="00627290" w:rsidP="002C347D">
            <w:pPr>
              <w:cnfStyle w:val="000000100000" w:firstRow="0" w:lastRow="0" w:firstColumn="0" w:lastColumn="0" w:oddVBand="0" w:evenVBand="0" w:oddHBand="1" w:evenHBand="0" w:firstRowFirstColumn="0" w:firstRowLastColumn="0" w:lastRowFirstColumn="0" w:lastRowLastColumn="0"/>
            </w:pPr>
            <w:r>
              <w:t xml:space="preserve">Single TE receiver chain + restriction on the UE’s performance to disable </w:t>
            </w:r>
            <w:r w:rsidR="00CD1C59">
              <w:t>frequency</w:t>
            </w:r>
            <w:r>
              <w:t xml:space="preserve"> diversity schemes</w:t>
            </w:r>
          </w:p>
        </w:tc>
        <w:tc>
          <w:tcPr>
            <w:tcW w:w="2352" w:type="dxa"/>
          </w:tcPr>
          <w:p w14:paraId="222BE366" w14:textId="49FACF42" w:rsidR="00732C0D" w:rsidRDefault="00CD1C59" w:rsidP="002C347D">
            <w:pPr>
              <w:cnfStyle w:val="000000100000" w:firstRow="0" w:lastRow="0" w:firstColumn="0" w:lastColumn="0" w:oddVBand="0" w:evenVBand="0" w:oddHBand="1" w:evenHBand="0" w:firstRowFirstColumn="0" w:firstRowLastColumn="0" w:lastRowFirstColumn="0" w:lastRowLastColumn="0"/>
            </w:pPr>
            <w:r>
              <w:t xml:space="preserve">Robust way to disable </w:t>
            </w:r>
            <w:r w:rsidR="0042792A">
              <w:t xml:space="preserve">flatness </w:t>
            </w:r>
            <w:r>
              <w:t>problem</w:t>
            </w:r>
          </w:p>
        </w:tc>
        <w:tc>
          <w:tcPr>
            <w:tcW w:w="3168" w:type="dxa"/>
          </w:tcPr>
          <w:p w14:paraId="0B1963BE" w14:textId="77777777" w:rsidR="00CD1C59" w:rsidRDefault="00CD1C59" w:rsidP="002C347D">
            <w:pPr>
              <w:cnfStyle w:val="000000100000" w:firstRow="0" w:lastRow="0" w:firstColumn="0" w:lastColumn="0" w:oddVBand="0" w:evenVBand="0" w:oddHBand="1" w:evenHBand="0" w:firstRowFirstColumn="0" w:firstRowLastColumn="0" w:lastRowFirstColumn="0" w:lastRowLastColumn="0"/>
            </w:pPr>
            <w:r>
              <w:t xml:space="preserve">Requires test-specific operation (testing cannot be done in true mission mode). </w:t>
            </w:r>
          </w:p>
          <w:p w14:paraId="08BF9447" w14:textId="176F2C99" w:rsidR="00732C0D" w:rsidRDefault="00B66F4E" w:rsidP="002C347D">
            <w:pPr>
              <w:cnfStyle w:val="000000100000" w:firstRow="0" w:lastRow="0" w:firstColumn="0" w:lastColumn="0" w:oddVBand="0" w:evenVBand="0" w:oddHBand="1" w:evenHBand="0" w:firstRowFirstColumn="0" w:firstRowLastColumn="0" w:lastRowFirstColumn="0" w:lastRowLastColumn="0"/>
            </w:pPr>
            <w:r>
              <w:t xml:space="preserve">There is mild ask of the </w:t>
            </w:r>
            <w:r w:rsidR="00CD1C59" w:rsidRPr="00C33B30">
              <w:t xml:space="preserve">UE </w:t>
            </w:r>
            <w:r>
              <w:t>to balance electrical</w:t>
            </w:r>
            <w:r w:rsidR="00CD1C59" w:rsidRPr="00C33B30">
              <w:t xml:space="preserve"> length difference in its two polarizations </w:t>
            </w:r>
          </w:p>
        </w:tc>
      </w:tr>
      <w:tr w:rsidR="00732C0D" w14:paraId="1477D407" w14:textId="77777777" w:rsidTr="0027791A">
        <w:tc>
          <w:tcPr>
            <w:cnfStyle w:val="001000000000" w:firstRow="0" w:lastRow="0" w:firstColumn="1" w:lastColumn="0" w:oddVBand="0" w:evenVBand="0" w:oddHBand="0" w:evenHBand="0" w:firstRowFirstColumn="0" w:firstRowLastColumn="0" w:lastRowFirstColumn="0" w:lastRowLastColumn="0"/>
            <w:tcW w:w="1283" w:type="dxa"/>
          </w:tcPr>
          <w:p w14:paraId="02927BB6" w14:textId="571D1922" w:rsidR="00B737E5" w:rsidRDefault="00CD1C59" w:rsidP="002C347D">
            <w:r>
              <w:t>4</w:t>
            </w:r>
          </w:p>
          <w:p w14:paraId="251C6CE0" w14:textId="23A48B09" w:rsidR="00B737E5" w:rsidRDefault="00B737E5" w:rsidP="002C347D">
            <w:r>
              <w:t>(remove contributing factor a)</w:t>
            </w:r>
          </w:p>
        </w:tc>
        <w:tc>
          <w:tcPr>
            <w:tcW w:w="2448" w:type="dxa"/>
          </w:tcPr>
          <w:p w14:paraId="4E89A5DD" w14:textId="440F4CFD" w:rsidR="00732C0D" w:rsidRDefault="00CD1C59" w:rsidP="002C347D">
            <w:pPr>
              <w:cnfStyle w:val="000000000000" w:firstRow="0" w:lastRow="0" w:firstColumn="0" w:lastColumn="0" w:oddVBand="0" w:evenVBand="0" w:oddHBand="0" w:evenHBand="0" w:firstRowFirstColumn="0" w:firstRowLastColumn="0" w:lastRowFirstColumn="0" w:lastRowLastColumn="0"/>
            </w:pPr>
            <w:r>
              <w:t xml:space="preserve">Single TE receiver chain + restriction on the UE’s performance to disable polarization diversity </w:t>
            </w:r>
          </w:p>
        </w:tc>
        <w:tc>
          <w:tcPr>
            <w:tcW w:w="2352" w:type="dxa"/>
          </w:tcPr>
          <w:p w14:paraId="11ACFCFC" w14:textId="6ED65293" w:rsidR="00732C0D" w:rsidRDefault="00CD1C59" w:rsidP="002C347D">
            <w:pPr>
              <w:cnfStyle w:val="000000000000" w:firstRow="0" w:lastRow="0" w:firstColumn="0" w:lastColumn="0" w:oddVBand="0" w:evenVBand="0" w:oddHBand="0" w:evenHBand="0" w:firstRowFirstColumn="0" w:firstRowLastColumn="0" w:lastRowFirstColumn="0" w:lastRowLastColumn="0"/>
            </w:pPr>
            <w:r>
              <w:t xml:space="preserve">Robust way to disable </w:t>
            </w:r>
            <w:r w:rsidR="0042792A">
              <w:t xml:space="preserve">flatness </w:t>
            </w:r>
            <w:r>
              <w:t>problem</w:t>
            </w:r>
          </w:p>
        </w:tc>
        <w:tc>
          <w:tcPr>
            <w:tcW w:w="3168" w:type="dxa"/>
          </w:tcPr>
          <w:p w14:paraId="219C2BF9" w14:textId="51FEFD9C" w:rsidR="0042792A" w:rsidRDefault="00F84D5D" w:rsidP="002C347D">
            <w:pPr>
              <w:cnfStyle w:val="000000000000" w:firstRow="0" w:lastRow="0" w:firstColumn="0" w:lastColumn="0" w:oddVBand="0" w:evenVBand="0" w:oddHBand="0" w:evenHBand="0" w:firstRowFirstColumn="0" w:firstRowLastColumn="0" w:lastRowFirstColumn="0" w:lastRowLastColumn="0"/>
            </w:pPr>
            <w:r>
              <w:t>R</w:t>
            </w:r>
            <w:r w:rsidR="00CD1C59">
              <w:t>equire</w:t>
            </w:r>
            <w:r>
              <w:t>s</w:t>
            </w:r>
            <w:r w:rsidR="00CD1C59">
              <w:t xml:space="preserve"> intrusive test</w:t>
            </w:r>
            <w:r w:rsidR="0042792A">
              <w:t>-only</w:t>
            </w:r>
            <w:r w:rsidR="00CD1C59">
              <w:t xml:space="preserve"> mode on UE</w:t>
            </w:r>
            <w:r w:rsidR="00450FA0">
              <w:t>. FFS if it can be made general enough to cover all UE implementations.</w:t>
            </w:r>
          </w:p>
          <w:p w14:paraId="42230158" w14:textId="2DE27438" w:rsidR="00732C0D" w:rsidRDefault="0042792A" w:rsidP="002C347D">
            <w:pPr>
              <w:cnfStyle w:val="000000000000" w:firstRow="0" w:lastRow="0" w:firstColumn="0" w:lastColumn="0" w:oddVBand="0" w:evenVBand="0" w:oddHBand="0" w:evenHBand="0" w:firstRowFirstColumn="0" w:firstRowLastColumn="0" w:lastRowFirstColumn="0" w:lastRowLastColumn="0"/>
            </w:pPr>
            <w:r>
              <w:t>T</w:t>
            </w:r>
            <w:r w:rsidR="00CD1C59">
              <w:t>est mode is further removed from mission mode.</w:t>
            </w:r>
            <w:bookmarkStart w:id="1" w:name="_GoBack"/>
            <w:bookmarkEnd w:id="1"/>
          </w:p>
          <w:p w14:paraId="34720007" w14:textId="47A1699B" w:rsidR="00CD1C59" w:rsidRDefault="00CD1C59" w:rsidP="002C347D">
            <w:pPr>
              <w:cnfStyle w:val="000000000000" w:firstRow="0" w:lastRow="0" w:firstColumn="0" w:lastColumn="0" w:oddVBand="0" w:evenVBand="0" w:oddHBand="0" w:evenHBand="0" w:firstRowFirstColumn="0" w:firstRowLastColumn="0" w:lastRowFirstColumn="0" w:lastRowLastColumn="0"/>
            </w:pPr>
            <w:r>
              <w:t xml:space="preserve">EIRP range </w:t>
            </w:r>
            <w:r w:rsidR="0042792A">
              <w:t>requirement for EVM test will be impacted.</w:t>
            </w:r>
          </w:p>
        </w:tc>
      </w:tr>
    </w:tbl>
    <w:p w14:paraId="685B3FEC" w14:textId="74DE0232" w:rsidR="00B65137" w:rsidRDefault="00F84D5D" w:rsidP="00B65137">
      <w:pPr>
        <w:jc w:val="center"/>
      </w:pPr>
      <w:r>
        <w:t>Table</w:t>
      </w:r>
      <w:r w:rsidR="00B65137">
        <w:t xml:space="preserve"> 2.2-1: Verification Options for Transmit Modulation Quality Testing for FR2</w:t>
      </w:r>
    </w:p>
    <w:p w14:paraId="52E92F1E" w14:textId="77777777" w:rsidR="00450FA0" w:rsidRDefault="00450FA0" w:rsidP="002C347D">
      <w:r>
        <w:t>The options fall into 2 broad categories:</w:t>
      </w:r>
    </w:p>
    <w:p w14:paraId="7A57FED1" w14:textId="2298C441" w:rsidR="00450FA0" w:rsidRDefault="00450FA0" w:rsidP="00450FA0">
      <w:pPr>
        <w:pStyle w:val="ListParagraph"/>
        <w:numPr>
          <w:ilvl w:val="0"/>
          <w:numId w:val="34"/>
        </w:numPr>
      </w:pPr>
      <w:r>
        <w:t>Adopt a requirement that tests the UE in mission mode, but possibly have no immediate way to verify (option1)</w:t>
      </w:r>
    </w:p>
    <w:p w14:paraId="7F146CA0" w14:textId="315461C4" w:rsidR="001A6F1D" w:rsidRDefault="00450FA0" w:rsidP="00450FA0">
      <w:pPr>
        <w:pStyle w:val="ListParagraph"/>
        <w:numPr>
          <w:ilvl w:val="0"/>
          <w:numId w:val="34"/>
        </w:numPr>
      </w:pPr>
      <w:r>
        <w:t xml:space="preserve">Adopt a </w:t>
      </w:r>
      <w:r w:rsidR="00F84D5D">
        <w:t>modified</w:t>
      </w:r>
      <w:r>
        <w:t xml:space="preserve"> requirement (perhaps with certain non-mission mode UE restrictions) that can be verified (options </w:t>
      </w:r>
      <w:r w:rsidR="00F84D5D">
        <w:t xml:space="preserve">2, </w:t>
      </w:r>
      <w:r>
        <w:t>3 and 4)</w:t>
      </w:r>
      <w:r w:rsidR="00C52D08">
        <w:t>.</w:t>
      </w:r>
    </w:p>
    <w:p w14:paraId="2975C1BA" w14:textId="4B88D62A" w:rsidR="007345F2" w:rsidRDefault="00BE2970" w:rsidP="007345F2">
      <w:r>
        <w:t xml:space="preserve">Our first choice in terms of quality of requirement remains option #1. </w:t>
      </w:r>
    </w:p>
    <w:p w14:paraId="565653C6" w14:textId="2420195D" w:rsidR="002C347D" w:rsidRDefault="005753CB" w:rsidP="002C347D">
      <w:pPr>
        <w:rPr>
          <w:b/>
        </w:rPr>
      </w:pPr>
      <w:r w:rsidRPr="00CB71B5">
        <w:rPr>
          <w:b/>
        </w:rPr>
        <w:t>Proposal</w:t>
      </w:r>
      <w:r w:rsidR="00F84D5D">
        <w:rPr>
          <w:b/>
        </w:rPr>
        <w:t xml:space="preserve"> 1</w:t>
      </w:r>
      <w:r w:rsidRPr="00CB71B5">
        <w:rPr>
          <w:b/>
        </w:rPr>
        <w:t xml:space="preserve">: </w:t>
      </w:r>
      <w:r w:rsidR="00F84D5D">
        <w:rPr>
          <w:b/>
        </w:rPr>
        <w:t>Choose option 1 of Table 2.2-1</w:t>
      </w:r>
    </w:p>
    <w:p w14:paraId="351BEFD9" w14:textId="58C8F1D1" w:rsidR="00F84D5D" w:rsidRPr="00F84D5D" w:rsidRDefault="0027791A" w:rsidP="002C347D">
      <w:r>
        <w:t xml:space="preserve">As noted however, if this option is held back by technical difficulties in the rel. </w:t>
      </w:r>
      <w:proofErr w:type="gramStart"/>
      <w:r>
        <w:t>15 time</w:t>
      </w:r>
      <w:proofErr w:type="gramEnd"/>
      <w:r>
        <w:t xml:space="preserve"> frame, a </w:t>
      </w:r>
      <w:r w:rsidR="00BD17A0">
        <w:t>fall-back strategy must be determined. Perhaps a debate on the options provided above can serve as a start to this activity.</w:t>
      </w:r>
    </w:p>
    <w:p w14:paraId="3CA22524" w14:textId="77777777" w:rsidR="00911ED3" w:rsidRDefault="00683177" w:rsidP="00911ED3">
      <w:pPr>
        <w:pStyle w:val="Heading1"/>
        <w:rPr>
          <w:lang w:val="en-US"/>
        </w:rPr>
      </w:pPr>
      <w:r>
        <w:rPr>
          <w:lang w:val="en-US"/>
        </w:rPr>
        <w:t>Conclusion</w:t>
      </w:r>
    </w:p>
    <w:p w14:paraId="3377BAA2" w14:textId="47F5656D" w:rsidR="00E55E0C" w:rsidRDefault="00CC434E" w:rsidP="00E55E0C">
      <w:r>
        <w:rPr>
          <w:lang w:val="en-US"/>
        </w:rPr>
        <w:t xml:space="preserve">In FR2, </w:t>
      </w:r>
      <w:r w:rsidR="008C7388">
        <w:rPr>
          <w:lang w:val="en-US"/>
        </w:rPr>
        <w:t>when a UE implements</w:t>
      </w:r>
      <w:r w:rsidR="008C7388">
        <w:t xml:space="preserve"> allowable diversity schemes, in conjunction with polarization diversity, measurement in a single polarization TE antenna can cause artefacts in flatness of measured spectrum. These artefacts are a function of UE implementation (specific diversity scheme chosen) and angular misalignment between TE antenna and UE polarization axes.</w:t>
      </w:r>
    </w:p>
    <w:p w14:paraId="2FAF2A2E" w14:textId="2E0A70D9" w:rsidR="008C7388" w:rsidRDefault="00F84D5D" w:rsidP="00E55E0C">
      <w:pPr>
        <w:rPr>
          <w:lang w:val="en-US"/>
        </w:rPr>
      </w:pPr>
      <w:r>
        <w:rPr>
          <w:lang w:val="en-US"/>
        </w:rPr>
        <w:t>To combat the flatness-degrading mechanism, w</w:t>
      </w:r>
      <w:r w:rsidR="008C7388">
        <w:rPr>
          <w:lang w:val="en-US"/>
        </w:rPr>
        <w:t xml:space="preserve">e propose </w:t>
      </w:r>
      <w:r w:rsidR="00A804EF">
        <w:rPr>
          <w:lang w:val="en-US"/>
        </w:rPr>
        <w:t xml:space="preserve">a </w:t>
      </w:r>
      <w:r w:rsidR="00BD17A0">
        <w:rPr>
          <w:lang w:val="en-US"/>
        </w:rPr>
        <w:t xml:space="preserve">verification </w:t>
      </w:r>
      <w:r w:rsidR="00A804EF">
        <w:rPr>
          <w:lang w:val="en-US"/>
        </w:rPr>
        <w:t>solution that requires</w:t>
      </w:r>
      <w:r w:rsidR="000517FB">
        <w:rPr>
          <w:lang w:val="en-US"/>
        </w:rPr>
        <w:t xml:space="preserve"> coherent combing </w:t>
      </w:r>
      <w:r w:rsidR="001957FF">
        <w:rPr>
          <w:lang w:val="en-US"/>
        </w:rPr>
        <w:t>across</w:t>
      </w:r>
      <w:r w:rsidR="00A804EF">
        <w:rPr>
          <w:lang w:val="en-US"/>
        </w:rPr>
        <w:t xml:space="preserve"> two receive chains in the TE</w:t>
      </w:r>
      <w:r w:rsidR="00B53279">
        <w:rPr>
          <w:lang w:val="en-US"/>
        </w:rPr>
        <w:t>, one assigned to each of two measured polarizations</w:t>
      </w:r>
      <w:r w:rsidR="008C7388">
        <w:rPr>
          <w:lang w:val="en-US"/>
        </w:rPr>
        <w:t>:</w:t>
      </w:r>
    </w:p>
    <w:p w14:paraId="22D9D36C" w14:textId="77777777" w:rsidR="00F84D5D" w:rsidRDefault="00F84D5D" w:rsidP="00F84D5D">
      <w:pPr>
        <w:rPr>
          <w:b/>
        </w:rPr>
      </w:pPr>
      <w:r w:rsidRPr="00CB71B5">
        <w:rPr>
          <w:b/>
        </w:rPr>
        <w:t>Proposal</w:t>
      </w:r>
      <w:r>
        <w:rPr>
          <w:b/>
        </w:rPr>
        <w:t xml:space="preserve"> 1</w:t>
      </w:r>
      <w:r w:rsidRPr="00CB71B5">
        <w:rPr>
          <w:b/>
        </w:rPr>
        <w:t xml:space="preserve">: </w:t>
      </w:r>
      <w:r>
        <w:rPr>
          <w:b/>
        </w:rPr>
        <w:t>Choose option 1 of Table 2.2-1</w:t>
      </w:r>
    </w:p>
    <w:p w14:paraId="49EE9335" w14:textId="292C6841" w:rsidR="00BD17A0" w:rsidRPr="00BD17A0" w:rsidRDefault="00BD17A0" w:rsidP="008C7388">
      <w:r>
        <w:t xml:space="preserve">If practical limitations make this option infeasible for rel. 15, we </w:t>
      </w:r>
      <w:r w:rsidR="00F84D5D">
        <w:t>recommend further debate on options 2, 3 and 4.</w:t>
      </w:r>
    </w:p>
    <w:p w14:paraId="64D4C62A" w14:textId="77777777" w:rsidR="00BD17A0" w:rsidRPr="00CB71B5" w:rsidRDefault="00BD17A0" w:rsidP="008C7388">
      <w:pPr>
        <w:rPr>
          <w:b/>
        </w:rPr>
      </w:pPr>
    </w:p>
    <w:p w14:paraId="33451030" w14:textId="77777777" w:rsidR="0069757C" w:rsidRDefault="0069757C" w:rsidP="00760706">
      <w:pPr>
        <w:pStyle w:val="Heading1"/>
        <w:rPr>
          <w:lang w:val="en-US"/>
        </w:rPr>
      </w:pPr>
      <w:r>
        <w:rPr>
          <w:lang w:val="en-US"/>
        </w:rPr>
        <w:lastRenderedPageBreak/>
        <w:t>Reference</w:t>
      </w:r>
    </w:p>
    <w:p w14:paraId="7EC08592" w14:textId="131D5545" w:rsidR="006B6F84" w:rsidRPr="006B6F84" w:rsidRDefault="006B6F84" w:rsidP="006B6F84">
      <w:pPr>
        <w:pStyle w:val="11BodyText"/>
        <w:numPr>
          <w:ilvl w:val="0"/>
          <w:numId w:val="2"/>
        </w:numPr>
        <w:tabs>
          <w:tab w:val="left" w:pos="1080"/>
        </w:tabs>
        <w:overflowPunct w:val="0"/>
        <w:autoSpaceDE w:val="0"/>
        <w:autoSpaceDN w:val="0"/>
        <w:adjustRightInd w:val="0"/>
        <w:rPr>
          <w:rFonts w:cs="Arial"/>
          <w:bCs/>
          <w:sz w:val="18"/>
          <w:szCs w:val="18"/>
        </w:rPr>
      </w:pPr>
      <w:r w:rsidRPr="006B6F84">
        <w:rPr>
          <w:sz w:val="18"/>
          <w:szCs w:val="18"/>
        </w:rPr>
        <w:t>R4</w:t>
      </w:r>
      <w:r>
        <w:rPr>
          <w:sz w:val="18"/>
          <w:szCs w:val="18"/>
        </w:rPr>
        <w:t>-</w:t>
      </w:r>
      <w:r w:rsidR="00AD57CC">
        <w:rPr>
          <w:sz w:val="18"/>
          <w:szCs w:val="18"/>
        </w:rPr>
        <w:t xml:space="preserve">1813367, </w:t>
      </w:r>
      <w:r w:rsidR="00AD57CC" w:rsidRPr="006B6F84">
        <w:rPr>
          <w:sz w:val="18"/>
          <w:szCs w:val="18"/>
        </w:rPr>
        <w:t>‘</w:t>
      </w:r>
      <w:r w:rsidRPr="006B6F84">
        <w:rPr>
          <w:sz w:val="18"/>
          <w:szCs w:val="18"/>
        </w:rPr>
        <w:t>OTA Test Considerations for UE Transmit Signal Quality in FR2</w:t>
      </w:r>
      <w:r>
        <w:rPr>
          <w:sz w:val="18"/>
          <w:szCs w:val="18"/>
        </w:rPr>
        <w:t xml:space="preserve">’, Qualcomm, RAN WG4#88Bis, </w:t>
      </w:r>
      <w:r w:rsidRPr="006B6F84">
        <w:rPr>
          <w:sz w:val="18"/>
          <w:szCs w:val="18"/>
        </w:rPr>
        <w:t xml:space="preserve">Chengdu, China, 08-12 </w:t>
      </w:r>
      <w:proofErr w:type="gramStart"/>
      <w:r w:rsidRPr="006B6F84">
        <w:rPr>
          <w:sz w:val="18"/>
          <w:szCs w:val="18"/>
        </w:rPr>
        <w:t>Oct,</w:t>
      </w:r>
      <w:proofErr w:type="gramEnd"/>
      <w:r w:rsidRPr="006B6F84">
        <w:rPr>
          <w:sz w:val="18"/>
          <w:szCs w:val="18"/>
        </w:rPr>
        <w:t xml:space="preserve"> 2018</w:t>
      </w:r>
    </w:p>
    <w:p w14:paraId="79FBD43E" w14:textId="77777777" w:rsidR="006B6F84" w:rsidRPr="006B6F84" w:rsidRDefault="00823396" w:rsidP="00823396">
      <w:pPr>
        <w:pStyle w:val="11BodyText"/>
        <w:numPr>
          <w:ilvl w:val="0"/>
          <w:numId w:val="2"/>
        </w:numPr>
        <w:tabs>
          <w:tab w:val="left" w:pos="1080"/>
        </w:tabs>
        <w:overflowPunct w:val="0"/>
        <w:autoSpaceDE w:val="0"/>
        <w:autoSpaceDN w:val="0"/>
        <w:adjustRightInd w:val="0"/>
        <w:rPr>
          <w:rFonts w:cs="Arial"/>
          <w:bCs/>
          <w:sz w:val="18"/>
          <w:szCs w:val="18"/>
        </w:rPr>
      </w:pPr>
      <w:r w:rsidRPr="006B6F84">
        <w:rPr>
          <w:rFonts w:cs="Arial"/>
          <w:sz w:val="18"/>
          <w:szCs w:val="18"/>
          <w:lang w:eastAsia="x-none"/>
        </w:rPr>
        <w:t>R4-1804462, ‘</w:t>
      </w:r>
      <w:r w:rsidRPr="006B6F84">
        <w:rPr>
          <w:sz w:val="18"/>
          <w:szCs w:val="18"/>
          <w:lang w:val="en-GB"/>
        </w:rPr>
        <w:t>On OTA EVM Measurements’</w:t>
      </w:r>
      <w:r w:rsidRPr="006B6F84">
        <w:rPr>
          <w:rFonts w:cs="Arial"/>
          <w:sz w:val="18"/>
          <w:szCs w:val="18"/>
          <w:lang w:eastAsia="x-none"/>
        </w:rPr>
        <w:t>, R&amp;S, RAN WG4 #86</w:t>
      </w:r>
      <w:r w:rsidR="00183169" w:rsidRPr="006B6F84">
        <w:rPr>
          <w:rFonts w:cs="Arial"/>
          <w:sz w:val="18"/>
          <w:szCs w:val="18"/>
          <w:lang w:eastAsia="x-none"/>
        </w:rPr>
        <w:t>Bis</w:t>
      </w:r>
      <w:r w:rsidRPr="006B6F84">
        <w:rPr>
          <w:rFonts w:cs="Arial"/>
          <w:sz w:val="18"/>
          <w:szCs w:val="18"/>
          <w:lang w:eastAsia="x-none"/>
        </w:rPr>
        <w:t xml:space="preserve">, </w:t>
      </w:r>
      <w:r w:rsidR="00183169" w:rsidRPr="006B6F84">
        <w:rPr>
          <w:rFonts w:cs="Arial"/>
          <w:sz w:val="18"/>
          <w:szCs w:val="18"/>
          <w:lang w:eastAsia="x-none"/>
        </w:rPr>
        <w:t>Melbourne</w:t>
      </w:r>
      <w:r w:rsidRPr="006B6F84">
        <w:rPr>
          <w:rFonts w:cs="Arial"/>
          <w:sz w:val="18"/>
          <w:szCs w:val="18"/>
          <w:lang w:eastAsia="x-none"/>
        </w:rPr>
        <w:t xml:space="preserve"> </w:t>
      </w:r>
      <w:proofErr w:type="spellStart"/>
      <w:r w:rsidR="00183169" w:rsidRPr="006B6F84">
        <w:rPr>
          <w:rFonts w:cs="Arial"/>
          <w:sz w:val="18"/>
          <w:szCs w:val="18"/>
          <w:lang w:eastAsia="x-none"/>
        </w:rPr>
        <w:t>Aus</w:t>
      </w:r>
      <w:proofErr w:type="spellEnd"/>
      <w:r w:rsidRPr="006B6F84">
        <w:rPr>
          <w:rFonts w:cs="Arial"/>
          <w:sz w:val="18"/>
          <w:szCs w:val="18"/>
          <w:lang w:eastAsia="x-none"/>
        </w:rPr>
        <w:t xml:space="preserve">, </w:t>
      </w:r>
      <w:r w:rsidR="00183169" w:rsidRPr="006B6F84">
        <w:rPr>
          <w:rFonts w:cs="Arial"/>
          <w:sz w:val="18"/>
          <w:szCs w:val="18"/>
          <w:lang w:eastAsia="x-none"/>
        </w:rPr>
        <w:t>Apr</w:t>
      </w:r>
      <w:r w:rsidRPr="006B6F84">
        <w:rPr>
          <w:rFonts w:cs="Arial"/>
          <w:sz w:val="18"/>
          <w:szCs w:val="18"/>
          <w:lang w:eastAsia="x-none"/>
        </w:rPr>
        <w:t>. 2018</w:t>
      </w: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6DEC" w14:textId="77777777" w:rsidR="00E93CF6" w:rsidRDefault="00E93CF6">
      <w:r>
        <w:separator/>
      </w:r>
    </w:p>
  </w:endnote>
  <w:endnote w:type="continuationSeparator" w:id="0">
    <w:p w14:paraId="3C3C1835" w14:textId="77777777" w:rsidR="00E93CF6" w:rsidRDefault="00E9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5500E" w14:textId="77777777" w:rsidR="00E93CF6" w:rsidRDefault="00E93CF6">
      <w:r>
        <w:separator/>
      </w:r>
    </w:p>
  </w:footnote>
  <w:footnote w:type="continuationSeparator" w:id="0">
    <w:p w14:paraId="793C8C5A" w14:textId="77777777" w:rsidR="00E93CF6" w:rsidRDefault="00E93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2"/>
  </w:num>
  <w:num w:numId="4">
    <w:abstractNumId w:val="35"/>
  </w:num>
  <w:num w:numId="5">
    <w:abstractNumId w:val="25"/>
  </w:num>
  <w:num w:numId="6">
    <w:abstractNumId w:val="13"/>
  </w:num>
  <w:num w:numId="7">
    <w:abstractNumId w:val="7"/>
  </w:num>
  <w:num w:numId="8">
    <w:abstractNumId w:val="30"/>
  </w:num>
  <w:num w:numId="9">
    <w:abstractNumId w:val="14"/>
  </w:num>
  <w:num w:numId="10">
    <w:abstractNumId w:val="22"/>
  </w:num>
  <w:num w:numId="11">
    <w:abstractNumId w:val="36"/>
  </w:num>
  <w:num w:numId="12">
    <w:abstractNumId w:val="3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0"/>
  </w:num>
  <w:num w:numId="18">
    <w:abstractNumId w:val="21"/>
  </w:num>
  <w:num w:numId="19">
    <w:abstractNumId w:val="15"/>
  </w:num>
  <w:num w:numId="20">
    <w:abstractNumId w:val="27"/>
  </w:num>
  <w:num w:numId="21">
    <w:abstractNumId w:val="33"/>
  </w:num>
  <w:num w:numId="22">
    <w:abstractNumId w:val="26"/>
  </w:num>
  <w:num w:numId="23">
    <w:abstractNumId w:val="16"/>
  </w:num>
  <w:num w:numId="24">
    <w:abstractNumId w:val="1"/>
  </w:num>
  <w:num w:numId="25">
    <w:abstractNumId w:val="23"/>
  </w:num>
  <w:num w:numId="26">
    <w:abstractNumId w:val="31"/>
  </w:num>
  <w:num w:numId="27">
    <w:abstractNumId w:val="12"/>
  </w:num>
  <w:num w:numId="28">
    <w:abstractNumId w:val="5"/>
  </w:num>
  <w:num w:numId="29">
    <w:abstractNumId w:val="6"/>
  </w:num>
  <w:num w:numId="30">
    <w:abstractNumId w:val="18"/>
  </w:num>
  <w:num w:numId="31">
    <w:abstractNumId w:val="29"/>
  </w:num>
  <w:num w:numId="32">
    <w:abstractNumId w:val="19"/>
  </w:num>
  <w:num w:numId="33">
    <w:abstractNumId w:val="2"/>
  </w:num>
  <w:num w:numId="34">
    <w:abstractNumId w:val="24"/>
  </w:num>
  <w:num w:numId="35">
    <w:abstractNumId w:val="4"/>
  </w:num>
  <w:num w:numId="36">
    <w:abstractNumId w:val="3"/>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FE0"/>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7FB"/>
    <w:rsid w:val="00051D36"/>
    <w:rsid w:val="00053E42"/>
    <w:rsid w:val="0005400D"/>
    <w:rsid w:val="000540BD"/>
    <w:rsid w:val="000549BA"/>
    <w:rsid w:val="000550EF"/>
    <w:rsid w:val="00055B21"/>
    <w:rsid w:val="000562FA"/>
    <w:rsid w:val="000601B0"/>
    <w:rsid w:val="00062B7F"/>
    <w:rsid w:val="00062E5A"/>
    <w:rsid w:val="00062F52"/>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7DA"/>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7D47"/>
    <w:rsid w:val="00090BB8"/>
    <w:rsid w:val="00091017"/>
    <w:rsid w:val="00092919"/>
    <w:rsid w:val="00092DCA"/>
    <w:rsid w:val="00092E07"/>
    <w:rsid w:val="00092F71"/>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D46"/>
    <w:rsid w:val="000B6D65"/>
    <w:rsid w:val="000B735E"/>
    <w:rsid w:val="000B7AA2"/>
    <w:rsid w:val="000C084C"/>
    <w:rsid w:val="000C086D"/>
    <w:rsid w:val="000C0B1F"/>
    <w:rsid w:val="000C1EBE"/>
    <w:rsid w:val="000C1F3E"/>
    <w:rsid w:val="000C4A55"/>
    <w:rsid w:val="000C4A8B"/>
    <w:rsid w:val="000C5396"/>
    <w:rsid w:val="000C5EE5"/>
    <w:rsid w:val="000C655C"/>
    <w:rsid w:val="000C6650"/>
    <w:rsid w:val="000C6CBF"/>
    <w:rsid w:val="000C73B4"/>
    <w:rsid w:val="000C77A2"/>
    <w:rsid w:val="000C7E14"/>
    <w:rsid w:val="000D01BA"/>
    <w:rsid w:val="000D0A83"/>
    <w:rsid w:val="000D19C5"/>
    <w:rsid w:val="000D1A28"/>
    <w:rsid w:val="000D2B1D"/>
    <w:rsid w:val="000D2DDE"/>
    <w:rsid w:val="000D2E2A"/>
    <w:rsid w:val="000D31D5"/>
    <w:rsid w:val="000D33D3"/>
    <w:rsid w:val="000D3487"/>
    <w:rsid w:val="000D3CB5"/>
    <w:rsid w:val="000D467F"/>
    <w:rsid w:val="000D4E0C"/>
    <w:rsid w:val="000D5372"/>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B7E"/>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4025"/>
    <w:rsid w:val="001553C6"/>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5C0"/>
    <w:rsid w:val="00165AB0"/>
    <w:rsid w:val="0016638A"/>
    <w:rsid w:val="001679C5"/>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6E62"/>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C49"/>
    <w:rsid w:val="0018555B"/>
    <w:rsid w:val="00185573"/>
    <w:rsid w:val="00185893"/>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913"/>
    <w:rsid w:val="00233973"/>
    <w:rsid w:val="00234C5F"/>
    <w:rsid w:val="00235AEE"/>
    <w:rsid w:val="00236663"/>
    <w:rsid w:val="00236861"/>
    <w:rsid w:val="00236874"/>
    <w:rsid w:val="00236C6E"/>
    <w:rsid w:val="00236F57"/>
    <w:rsid w:val="00237A6C"/>
    <w:rsid w:val="00237E42"/>
    <w:rsid w:val="002403EA"/>
    <w:rsid w:val="002420FA"/>
    <w:rsid w:val="00242665"/>
    <w:rsid w:val="00242D21"/>
    <w:rsid w:val="0024341E"/>
    <w:rsid w:val="00243EA5"/>
    <w:rsid w:val="00244849"/>
    <w:rsid w:val="00245579"/>
    <w:rsid w:val="002461C3"/>
    <w:rsid w:val="0024788C"/>
    <w:rsid w:val="00251B67"/>
    <w:rsid w:val="00251CC8"/>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91A"/>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3C5"/>
    <w:rsid w:val="003029AD"/>
    <w:rsid w:val="00302D5C"/>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EF8"/>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EF9"/>
    <w:rsid w:val="00327FCD"/>
    <w:rsid w:val="00330015"/>
    <w:rsid w:val="00330243"/>
    <w:rsid w:val="0033058F"/>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7459"/>
    <w:rsid w:val="0035767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D57"/>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53D8"/>
    <w:rsid w:val="003B5714"/>
    <w:rsid w:val="003B5F4D"/>
    <w:rsid w:val="003C06DA"/>
    <w:rsid w:val="003C1867"/>
    <w:rsid w:val="003C2936"/>
    <w:rsid w:val="003C2F7F"/>
    <w:rsid w:val="003C37C2"/>
    <w:rsid w:val="003C3DBA"/>
    <w:rsid w:val="003C4768"/>
    <w:rsid w:val="003C4E3D"/>
    <w:rsid w:val="003C51B6"/>
    <w:rsid w:val="003C5963"/>
    <w:rsid w:val="003C6439"/>
    <w:rsid w:val="003C675A"/>
    <w:rsid w:val="003C717E"/>
    <w:rsid w:val="003C7753"/>
    <w:rsid w:val="003C7927"/>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2D5A"/>
    <w:rsid w:val="003E32CC"/>
    <w:rsid w:val="003E38B4"/>
    <w:rsid w:val="003E3A86"/>
    <w:rsid w:val="003E3AC6"/>
    <w:rsid w:val="003E48E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381F"/>
    <w:rsid w:val="004148FF"/>
    <w:rsid w:val="00414BD6"/>
    <w:rsid w:val="00415201"/>
    <w:rsid w:val="00415AB4"/>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A68"/>
    <w:rsid w:val="0044397D"/>
    <w:rsid w:val="00443FD4"/>
    <w:rsid w:val="0044404F"/>
    <w:rsid w:val="004445A4"/>
    <w:rsid w:val="00444E46"/>
    <w:rsid w:val="00445605"/>
    <w:rsid w:val="004457D3"/>
    <w:rsid w:val="00445800"/>
    <w:rsid w:val="0044602B"/>
    <w:rsid w:val="0044606C"/>
    <w:rsid w:val="00446644"/>
    <w:rsid w:val="00446EAF"/>
    <w:rsid w:val="004501FC"/>
    <w:rsid w:val="00450852"/>
    <w:rsid w:val="00450FA0"/>
    <w:rsid w:val="004517A7"/>
    <w:rsid w:val="00451D52"/>
    <w:rsid w:val="0045237E"/>
    <w:rsid w:val="004525C0"/>
    <w:rsid w:val="00452E13"/>
    <w:rsid w:val="00454DF4"/>
    <w:rsid w:val="00454FAD"/>
    <w:rsid w:val="00455884"/>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38DE"/>
    <w:rsid w:val="004A454B"/>
    <w:rsid w:val="004A508E"/>
    <w:rsid w:val="004A6F6E"/>
    <w:rsid w:val="004A7B1E"/>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3D8"/>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F76"/>
    <w:rsid w:val="005648D7"/>
    <w:rsid w:val="00565866"/>
    <w:rsid w:val="00566252"/>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3367"/>
    <w:rsid w:val="005B398A"/>
    <w:rsid w:val="005B3CC6"/>
    <w:rsid w:val="005B4429"/>
    <w:rsid w:val="005B448B"/>
    <w:rsid w:val="005B57F2"/>
    <w:rsid w:val="005B5F79"/>
    <w:rsid w:val="005B618B"/>
    <w:rsid w:val="005B6A10"/>
    <w:rsid w:val="005B6C33"/>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2729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4BF"/>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0F4F"/>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E16"/>
    <w:rsid w:val="006B4331"/>
    <w:rsid w:val="006B49F6"/>
    <w:rsid w:val="006B5C84"/>
    <w:rsid w:val="006B5DD2"/>
    <w:rsid w:val="006B6B02"/>
    <w:rsid w:val="006B6DAA"/>
    <w:rsid w:val="006B6F84"/>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09BB"/>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C7D"/>
    <w:rsid w:val="00731D02"/>
    <w:rsid w:val="00732C0D"/>
    <w:rsid w:val="0073334B"/>
    <w:rsid w:val="00733BC3"/>
    <w:rsid w:val="0073413D"/>
    <w:rsid w:val="0073419D"/>
    <w:rsid w:val="007345F2"/>
    <w:rsid w:val="00737096"/>
    <w:rsid w:val="0073715A"/>
    <w:rsid w:val="00741C20"/>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CF0"/>
    <w:rsid w:val="00752C41"/>
    <w:rsid w:val="00753A6B"/>
    <w:rsid w:val="00754455"/>
    <w:rsid w:val="00754D7D"/>
    <w:rsid w:val="007550B4"/>
    <w:rsid w:val="007551C2"/>
    <w:rsid w:val="00756780"/>
    <w:rsid w:val="00756CE2"/>
    <w:rsid w:val="00757096"/>
    <w:rsid w:val="00757853"/>
    <w:rsid w:val="00757F25"/>
    <w:rsid w:val="007601B6"/>
    <w:rsid w:val="00760706"/>
    <w:rsid w:val="007620EB"/>
    <w:rsid w:val="0076227C"/>
    <w:rsid w:val="00762588"/>
    <w:rsid w:val="0076274A"/>
    <w:rsid w:val="00763558"/>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63B7"/>
    <w:rsid w:val="007B74BE"/>
    <w:rsid w:val="007C01B6"/>
    <w:rsid w:val="007C0BEF"/>
    <w:rsid w:val="007C1173"/>
    <w:rsid w:val="007C118E"/>
    <w:rsid w:val="007C18C2"/>
    <w:rsid w:val="007C2576"/>
    <w:rsid w:val="007C259A"/>
    <w:rsid w:val="007C2EFF"/>
    <w:rsid w:val="007C3016"/>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495"/>
    <w:rsid w:val="008125C7"/>
    <w:rsid w:val="00813500"/>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728"/>
    <w:rsid w:val="00861DD3"/>
    <w:rsid w:val="00862075"/>
    <w:rsid w:val="008632C0"/>
    <w:rsid w:val="00865A8B"/>
    <w:rsid w:val="00865B97"/>
    <w:rsid w:val="0086772C"/>
    <w:rsid w:val="00870EAF"/>
    <w:rsid w:val="00871CE9"/>
    <w:rsid w:val="00872994"/>
    <w:rsid w:val="00872AB5"/>
    <w:rsid w:val="00874DFD"/>
    <w:rsid w:val="00875013"/>
    <w:rsid w:val="0087541C"/>
    <w:rsid w:val="008760A4"/>
    <w:rsid w:val="00876B4B"/>
    <w:rsid w:val="008772BE"/>
    <w:rsid w:val="008775BB"/>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533"/>
    <w:rsid w:val="008E41DB"/>
    <w:rsid w:val="008E44C5"/>
    <w:rsid w:val="008E4B3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9DB"/>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33B"/>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731F"/>
    <w:rsid w:val="0099797E"/>
    <w:rsid w:val="009A01D8"/>
    <w:rsid w:val="009A0750"/>
    <w:rsid w:val="009A2A54"/>
    <w:rsid w:val="009A3970"/>
    <w:rsid w:val="009A3C45"/>
    <w:rsid w:val="009A4651"/>
    <w:rsid w:val="009A49A2"/>
    <w:rsid w:val="009A4A8D"/>
    <w:rsid w:val="009A4D02"/>
    <w:rsid w:val="009A7566"/>
    <w:rsid w:val="009B0165"/>
    <w:rsid w:val="009B0D2E"/>
    <w:rsid w:val="009B15FC"/>
    <w:rsid w:val="009B17EC"/>
    <w:rsid w:val="009B2851"/>
    <w:rsid w:val="009B2C99"/>
    <w:rsid w:val="009B2DD8"/>
    <w:rsid w:val="009B2F85"/>
    <w:rsid w:val="009B45EB"/>
    <w:rsid w:val="009B4B74"/>
    <w:rsid w:val="009B50D6"/>
    <w:rsid w:val="009B55C9"/>
    <w:rsid w:val="009B7262"/>
    <w:rsid w:val="009B73DC"/>
    <w:rsid w:val="009C04FC"/>
    <w:rsid w:val="009C0B50"/>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B3"/>
    <w:rsid w:val="00AD4F75"/>
    <w:rsid w:val="00AD555B"/>
    <w:rsid w:val="00AD57CC"/>
    <w:rsid w:val="00AD602B"/>
    <w:rsid w:val="00AD602E"/>
    <w:rsid w:val="00AD693F"/>
    <w:rsid w:val="00AD7271"/>
    <w:rsid w:val="00AD7569"/>
    <w:rsid w:val="00AE086D"/>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9D"/>
    <w:rsid w:val="00B65137"/>
    <w:rsid w:val="00B652D1"/>
    <w:rsid w:val="00B65AC5"/>
    <w:rsid w:val="00B66188"/>
    <w:rsid w:val="00B66766"/>
    <w:rsid w:val="00B66EC0"/>
    <w:rsid w:val="00B66F4E"/>
    <w:rsid w:val="00B678F5"/>
    <w:rsid w:val="00B70B2A"/>
    <w:rsid w:val="00B712A1"/>
    <w:rsid w:val="00B72124"/>
    <w:rsid w:val="00B72140"/>
    <w:rsid w:val="00B7272A"/>
    <w:rsid w:val="00B737E5"/>
    <w:rsid w:val="00B73E51"/>
    <w:rsid w:val="00B7441F"/>
    <w:rsid w:val="00B745E0"/>
    <w:rsid w:val="00B755FD"/>
    <w:rsid w:val="00B7658D"/>
    <w:rsid w:val="00B76A03"/>
    <w:rsid w:val="00B76F26"/>
    <w:rsid w:val="00B77318"/>
    <w:rsid w:val="00B774BD"/>
    <w:rsid w:val="00B778AA"/>
    <w:rsid w:val="00B806A3"/>
    <w:rsid w:val="00B81794"/>
    <w:rsid w:val="00B82F31"/>
    <w:rsid w:val="00B83E7E"/>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5C8"/>
    <w:rsid w:val="00BC56BA"/>
    <w:rsid w:val="00BC5B9A"/>
    <w:rsid w:val="00BC76A1"/>
    <w:rsid w:val="00BC7806"/>
    <w:rsid w:val="00BC7C48"/>
    <w:rsid w:val="00BC7EA8"/>
    <w:rsid w:val="00BD0AED"/>
    <w:rsid w:val="00BD0C92"/>
    <w:rsid w:val="00BD10E4"/>
    <w:rsid w:val="00BD113A"/>
    <w:rsid w:val="00BD154F"/>
    <w:rsid w:val="00BD17A0"/>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2970"/>
    <w:rsid w:val="00BE3383"/>
    <w:rsid w:val="00BE3F08"/>
    <w:rsid w:val="00BE4897"/>
    <w:rsid w:val="00BE4B1B"/>
    <w:rsid w:val="00BE4DB0"/>
    <w:rsid w:val="00BE5401"/>
    <w:rsid w:val="00BE63BD"/>
    <w:rsid w:val="00BF0A47"/>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67B5"/>
    <w:rsid w:val="00C07F60"/>
    <w:rsid w:val="00C07FC4"/>
    <w:rsid w:val="00C10BE1"/>
    <w:rsid w:val="00C11D7B"/>
    <w:rsid w:val="00C12625"/>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226D"/>
    <w:rsid w:val="00C32323"/>
    <w:rsid w:val="00C332D0"/>
    <w:rsid w:val="00C33B30"/>
    <w:rsid w:val="00C3463A"/>
    <w:rsid w:val="00C346C4"/>
    <w:rsid w:val="00C35E39"/>
    <w:rsid w:val="00C37693"/>
    <w:rsid w:val="00C3796D"/>
    <w:rsid w:val="00C40B8A"/>
    <w:rsid w:val="00C42075"/>
    <w:rsid w:val="00C42FFC"/>
    <w:rsid w:val="00C4302C"/>
    <w:rsid w:val="00C431E3"/>
    <w:rsid w:val="00C432F5"/>
    <w:rsid w:val="00C43598"/>
    <w:rsid w:val="00C47419"/>
    <w:rsid w:val="00C47D36"/>
    <w:rsid w:val="00C517EC"/>
    <w:rsid w:val="00C51897"/>
    <w:rsid w:val="00C52110"/>
    <w:rsid w:val="00C52CCA"/>
    <w:rsid w:val="00C52D08"/>
    <w:rsid w:val="00C541D2"/>
    <w:rsid w:val="00C549FE"/>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527"/>
    <w:rsid w:val="00C843D8"/>
    <w:rsid w:val="00C84CF7"/>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481"/>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B76"/>
    <w:rsid w:val="00CC4CC5"/>
    <w:rsid w:val="00CC6037"/>
    <w:rsid w:val="00CC63D5"/>
    <w:rsid w:val="00CC6A47"/>
    <w:rsid w:val="00CC6F00"/>
    <w:rsid w:val="00CC72C8"/>
    <w:rsid w:val="00CC7851"/>
    <w:rsid w:val="00CD0B68"/>
    <w:rsid w:val="00CD0BB1"/>
    <w:rsid w:val="00CD0C1B"/>
    <w:rsid w:val="00CD0EF0"/>
    <w:rsid w:val="00CD1C59"/>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C11"/>
    <w:rsid w:val="00CD7E61"/>
    <w:rsid w:val="00CE092B"/>
    <w:rsid w:val="00CE13AF"/>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80A56"/>
    <w:rsid w:val="00D80B84"/>
    <w:rsid w:val="00D80E7F"/>
    <w:rsid w:val="00D80E9D"/>
    <w:rsid w:val="00D81484"/>
    <w:rsid w:val="00D8201F"/>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35FA"/>
    <w:rsid w:val="00DC4B22"/>
    <w:rsid w:val="00DC4D9D"/>
    <w:rsid w:val="00DC5754"/>
    <w:rsid w:val="00DC6670"/>
    <w:rsid w:val="00DC6AC1"/>
    <w:rsid w:val="00DC743A"/>
    <w:rsid w:val="00DC7A22"/>
    <w:rsid w:val="00DC7A31"/>
    <w:rsid w:val="00DD0195"/>
    <w:rsid w:val="00DD0B6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1E1A"/>
    <w:rsid w:val="00E31E70"/>
    <w:rsid w:val="00E31F40"/>
    <w:rsid w:val="00E32F11"/>
    <w:rsid w:val="00E33CB9"/>
    <w:rsid w:val="00E343BD"/>
    <w:rsid w:val="00E3468C"/>
    <w:rsid w:val="00E35A26"/>
    <w:rsid w:val="00E36B2F"/>
    <w:rsid w:val="00E37192"/>
    <w:rsid w:val="00E377D8"/>
    <w:rsid w:val="00E408DB"/>
    <w:rsid w:val="00E40900"/>
    <w:rsid w:val="00E423DD"/>
    <w:rsid w:val="00E4357B"/>
    <w:rsid w:val="00E43707"/>
    <w:rsid w:val="00E44342"/>
    <w:rsid w:val="00E4441F"/>
    <w:rsid w:val="00E44674"/>
    <w:rsid w:val="00E44EE4"/>
    <w:rsid w:val="00E4542B"/>
    <w:rsid w:val="00E4694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E16"/>
    <w:rsid w:val="00E7086A"/>
    <w:rsid w:val="00E72C3C"/>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3CF6"/>
    <w:rsid w:val="00E946E8"/>
    <w:rsid w:val="00E94E5C"/>
    <w:rsid w:val="00E95093"/>
    <w:rsid w:val="00E95174"/>
    <w:rsid w:val="00E96499"/>
    <w:rsid w:val="00E96A09"/>
    <w:rsid w:val="00E974EB"/>
    <w:rsid w:val="00E978BC"/>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1E68"/>
    <w:rsid w:val="00F626E3"/>
    <w:rsid w:val="00F6273F"/>
    <w:rsid w:val="00F62B53"/>
    <w:rsid w:val="00F62CBF"/>
    <w:rsid w:val="00F632F7"/>
    <w:rsid w:val="00F65374"/>
    <w:rsid w:val="00F65E8D"/>
    <w:rsid w:val="00F66453"/>
    <w:rsid w:val="00F6680C"/>
    <w:rsid w:val="00F66838"/>
    <w:rsid w:val="00F671F0"/>
    <w:rsid w:val="00F67A91"/>
    <w:rsid w:val="00F67E43"/>
    <w:rsid w:val="00F67F1F"/>
    <w:rsid w:val="00F7012E"/>
    <w:rsid w:val="00F70485"/>
    <w:rsid w:val="00F70D7E"/>
    <w:rsid w:val="00F711A2"/>
    <w:rsid w:val="00F71F9A"/>
    <w:rsid w:val="00F7212C"/>
    <w:rsid w:val="00F73050"/>
    <w:rsid w:val="00F734A5"/>
    <w:rsid w:val="00F73948"/>
    <w:rsid w:val="00F739C8"/>
    <w:rsid w:val="00F74642"/>
    <w:rsid w:val="00F75FF6"/>
    <w:rsid w:val="00F76803"/>
    <w:rsid w:val="00F7689F"/>
    <w:rsid w:val="00F7697F"/>
    <w:rsid w:val="00F8276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41D2C-9956-4A3C-BD5C-733D284A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1682</TotalTime>
  <Pages>4</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8</cp:revision>
  <cp:lastPrinted>2016-03-25T21:53:00Z</cp:lastPrinted>
  <dcterms:created xsi:type="dcterms:W3CDTF">2019-01-23T21:34:00Z</dcterms:created>
  <dcterms:modified xsi:type="dcterms:W3CDTF">2019-02-15T20:04:00Z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