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1D30D" w14:textId="05F27046" w:rsidR="00FA2F12" w:rsidRPr="00E61854" w:rsidRDefault="00FA2F12" w:rsidP="00FA2F12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RAN4#8</w:t>
      </w:r>
      <w:r w:rsidR="0005730F">
        <w:rPr>
          <w:rFonts w:ascii="Arial" w:hAnsi="Arial" w:cs="Arial"/>
          <w:b/>
          <w:noProof/>
          <w:sz w:val="24"/>
          <w:szCs w:val="24"/>
          <w:lang w:val="en-US"/>
        </w:rPr>
        <w:t>8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</w:t>
      </w:r>
      <w:r w:rsidR="0004053E">
        <w:rPr>
          <w:rFonts w:ascii="Arial" w:hAnsi="Arial" w:cs="Arial"/>
          <w:b/>
          <w:noProof/>
          <w:sz w:val="24"/>
          <w:szCs w:val="24"/>
          <w:lang w:val="en-US"/>
        </w:rPr>
        <w:t>11</w:t>
      </w:r>
      <w:r w:rsidR="008969CE">
        <w:rPr>
          <w:rFonts w:ascii="Arial" w:hAnsi="Arial" w:cs="Arial"/>
          <w:b/>
          <w:noProof/>
          <w:sz w:val="24"/>
          <w:szCs w:val="24"/>
          <w:lang w:val="en-US"/>
        </w:rPr>
        <w:t>905</w:t>
      </w:r>
      <w:bookmarkStart w:id="6" w:name="_GoBack"/>
      <w:bookmarkEnd w:id="6"/>
    </w:p>
    <w:p w14:paraId="76FA6F83" w14:textId="5FCFEDB6" w:rsidR="00FA2F12" w:rsidRDefault="0005730F" w:rsidP="00FA2F12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Gothenburg, Sweden,</w:t>
      </w:r>
      <w:r w:rsidR="00FA2F12">
        <w:rPr>
          <w:rFonts w:eastAsia="SimSun"/>
          <w:i w:val="0"/>
          <w:sz w:val="24"/>
          <w:szCs w:val="24"/>
          <w:lang w:eastAsia="zh-CN"/>
        </w:rPr>
        <w:t xml:space="preserve"> </w:t>
      </w:r>
      <w:r>
        <w:rPr>
          <w:rFonts w:eastAsia="SimSun"/>
          <w:i w:val="0"/>
          <w:sz w:val="24"/>
          <w:szCs w:val="24"/>
          <w:lang w:eastAsia="zh-CN"/>
        </w:rPr>
        <w:t xml:space="preserve">August </w:t>
      </w:r>
      <w:r w:rsidR="00FA2F12">
        <w:rPr>
          <w:i w:val="0"/>
          <w:sz w:val="24"/>
          <w:szCs w:val="24"/>
        </w:rPr>
        <w:t>2</w:t>
      </w:r>
      <w:r>
        <w:rPr>
          <w:i w:val="0"/>
          <w:sz w:val="24"/>
          <w:szCs w:val="24"/>
        </w:rPr>
        <w:t>0</w:t>
      </w:r>
      <w:r w:rsidRPr="0005730F">
        <w:rPr>
          <w:i w:val="0"/>
          <w:sz w:val="24"/>
          <w:szCs w:val="24"/>
          <w:vertAlign w:val="superscript"/>
        </w:rPr>
        <w:t>th</w:t>
      </w:r>
      <w:r>
        <w:rPr>
          <w:i w:val="0"/>
          <w:sz w:val="24"/>
          <w:szCs w:val="24"/>
        </w:rPr>
        <w:t xml:space="preserve"> </w:t>
      </w:r>
      <w:r w:rsidR="00FA2F12">
        <w:rPr>
          <w:i w:val="0"/>
          <w:sz w:val="24"/>
          <w:szCs w:val="24"/>
        </w:rPr>
        <w:t>– 2</w:t>
      </w:r>
      <w:r>
        <w:rPr>
          <w:i w:val="0"/>
          <w:sz w:val="24"/>
          <w:szCs w:val="24"/>
        </w:rPr>
        <w:t>4</w:t>
      </w:r>
      <w:r w:rsidR="00FA2F12" w:rsidRPr="00323191">
        <w:rPr>
          <w:i w:val="0"/>
          <w:sz w:val="24"/>
          <w:szCs w:val="24"/>
          <w:vertAlign w:val="superscript"/>
        </w:rPr>
        <w:t>th</w:t>
      </w:r>
      <w:r w:rsidR="00FA2F12" w:rsidRPr="004B7E17">
        <w:rPr>
          <w:i w:val="0"/>
          <w:sz w:val="24"/>
          <w:szCs w:val="24"/>
        </w:rPr>
        <w:t>,</w:t>
      </w:r>
      <w:r w:rsidR="00FA2F12">
        <w:rPr>
          <w:i w:val="0"/>
          <w:sz w:val="24"/>
          <w:szCs w:val="24"/>
        </w:rPr>
        <w:t xml:space="preserve"> </w:t>
      </w:r>
      <w:r w:rsidR="00FA2F12" w:rsidRPr="004B7E17">
        <w:rPr>
          <w:i w:val="0"/>
          <w:sz w:val="24"/>
          <w:szCs w:val="24"/>
        </w:rPr>
        <w:t>201</w:t>
      </w:r>
      <w:r w:rsidR="00FA2F12">
        <w:rPr>
          <w:i w:val="0"/>
          <w:sz w:val="24"/>
          <w:szCs w:val="24"/>
        </w:rPr>
        <w:t>8</w:t>
      </w:r>
    </w:p>
    <w:p w14:paraId="6748267D" w14:textId="4A3E48C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="00F3337A" w:rsidRPr="00F3337A">
        <w:rPr>
          <w:rFonts w:ascii="Arial" w:hAnsi="Arial" w:cs="Arial"/>
        </w:rPr>
        <w:t>LS on RAN4 design on channel bandwidth</w:t>
      </w:r>
    </w:p>
    <w:p w14:paraId="55F97F0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F8BCFF1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10893FE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</w:t>
      </w:r>
      <w:r w:rsidR="00937802">
        <w:rPr>
          <w:rFonts w:ascii="Arial" w:hAnsi="Arial" w:cs="Arial"/>
          <w:bCs/>
        </w:rPr>
        <w:t>4</w:t>
      </w:r>
    </w:p>
    <w:p w14:paraId="4AF533D8" w14:textId="59D87CB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257A3">
        <w:rPr>
          <w:rFonts w:ascii="Arial" w:hAnsi="Arial" w:cs="Arial"/>
          <w:bCs/>
        </w:rPr>
        <w:t>RAN</w:t>
      </w:r>
      <w:r w:rsidR="009915C0">
        <w:rPr>
          <w:rFonts w:ascii="Arial" w:hAnsi="Arial" w:cs="Arial"/>
          <w:bCs/>
        </w:rPr>
        <w:t>2</w:t>
      </w:r>
    </w:p>
    <w:p w14:paraId="3BD2CDB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54A76F5D" w14:textId="1579E732" w:rsidR="00B3208C" w:rsidRPr="00B3208C" w:rsidRDefault="00B3208C" w:rsidP="00A90D7C">
      <w:pPr>
        <w:rPr>
          <w:rFonts w:eastAsia="游明朝"/>
          <w:lang w:eastAsia="ja-JP"/>
        </w:rPr>
      </w:pPr>
      <w:bookmarkStart w:id="7" w:name="_Hlk511849716"/>
      <w:r>
        <w:rPr>
          <w:rFonts w:eastAsia="游明朝" w:hint="eastAsia"/>
          <w:lang w:eastAsia="ja-JP"/>
        </w:rPr>
        <w:t xml:space="preserve">RAN4 would like to inform RAN2 about several agreements related to channel </w:t>
      </w:r>
      <w:r>
        <w:rPr>
          <w:rFonts w:eastAsia="游明朝"/>
          <w:lang w:eastAsia="ja-JP"/>
        </w:rPr>
        <w:t>bandwidth</w:t>
      </w:r>
      <w:r>
        <w:rPr>
          <w:rFonts w:eastAsia="游明朝" w:hint="eastAsia"/>
          <w:lang w:eastAsia="ja-JP"/>
        </w:rPr>
        <w:t xml:space="preserve"> </w:t>
      </w:r>
      <w:r>
        <w:rPr>
          <w:rFonts w:eastAsia="游明朝"/>
          <w:lang w:eastAsia="ja-JP"/>
        </w:rPr>
        <w:t>specifications and design.</w:t>
      </w:r>
    </w:p>
    <w:p w14:paraId="6127275C" w14:textId="3882BBA7" w:rsidR="009243CA" w:rsidRDefault="0009584E" w:rsidP="00917F13">
      <w:pPr>
        <w:rPr>
          <w:lang w:val="en-US" w:eastAsia="ja-JP"/>
        </w:rPr>
      </w:pPr>
      <w:r>
        <w:t xml:space="preserve">NR RAN4 specifications related </w:t>
      </w:r>
      <w:r w:rsidR="005C3AC7">
        <w:t xml:space="preserve">to channel bandwidth support were designed </w:t>
      </w:r>
      <w:r w:rsidR="00B3208C">
        <w:t xml:space="preserve">to enable forward compatibility such as addition of new channel bandwidths in the future. As such, RAN4 specifications </w:t>
      </w:r>
      <w:r w:rsidR="009243CA">
        <w:t xml:space="preserve">are designed such that </w:t>
      </w:r>
      <w:r w:rsidR="00B3208C">
        <w:rPr>
          <w:lang w:val="en-US" w:eastAsia="ja-JP"/>
        </w:rPr>
        <w:t xml:space="preserve">UEs </w:t>
      </w:r>
      <w:r w:rsidR="009243CA">
        <w:rPr>
          <w:lang w:val="en-US" w:eastAsia="ja-JP"/>
        </w:rPr>
        <w:t xml:space="preserve">can </w:t>
      </w:r>
      <w:r w:rsidR="00B3208C">
        <w:rPr>
          <w:lang w:val="en-US" w:eastAsia="ja-JP"/>
        </w:rPr>
        <w:t>operat</w:t>
      </w:r>
      <w:r w:rsidR="009243CA">
        <w:rPr>
          <w:lang w:val="en-US" w:eastAsia="ja-JP"/>
        </w:rPr>
        <w:t>e</w:t>
      </w:r>
      <w:r w:rsidR="00B3208C">
        <w:rPr>
          <w:lang w:val="en-US" w:eastAsia="ja-JP"/>
        </w:rPr>
        <w:t xml:space="preserve"> without knowing the </w:t>
      </w:r>
      <w:r w:rsidR="009243CA">
        <w:rPr>
          <w:lang w:val="en-US" w:eastAsia="ja-JP"/>
        </w:rPr>
        <w:t xml:space="preserve">actual </w:t>
      </w:r>
      <w:r w:rsidR="00B3208C">
        <w:rPr>
          <w:lang w:val="en-US" w:eastAsia="ja-JP"/>
        </w:rPr>
        <w:t>gNB channel bandwidth.</w:t>
      </w:r>
      <w:r w:rsidR="009243CA">
        <w:rPr>
          <w:lang w:val="en-US" w:eastAsia="ja-JP"/>
        </w:rPr>
        <w:t xml:space="preserve"> Also, UEs can be configured to operate with any channel bandwidth that is narrower than the gNB channel bandwidth.</w:t>
      </w:r>
      <w:bookmarkEnd w:id="7"/>
    </w:p>
    <w:p w14:paraId="121F7A14" w14:textId="0B4E8C4D" w:rsidR="009243CA" w:rsidRDefault="009243CA" w:rsidP="00917F13">
      <w:pPr>
        <w:rPr>
          <w:lang w:val="en-US"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UEs to be able to operate in a regulatory compliant way, a UE channel bandwidth has to be </w:t>
      </w:r>
      <w:r w:rsidR="00D23B43">
        <w:rPr>
          <w:lang w:eastAsia="ja-JP"/>
        </w:rPr>
        <w:t xml:space="preserve">explicitly configured such that UE is aware of which channel bandwidth it should operate in without ambiguity. Also, this channel bandwidth has </w:t>
      </w:r>
      <w:r>
        <w:rPr>
          <w:lang w:eastAsia="ja-JP"/>
        </w:rPr>
        <w:t xml:space="preserve">to be from the set of channel bandwidths defined </w:t>
      </w:r>
      <w:r w:rsidR="00D23B43">
        <w:rPr>
          <w:lang w:eastAsia="ja-JP"/>
        </w:rPr>
        <w:t xml:space="preserve">in 38.101-1 or 38.101-2 </w:t>
      </w:r>
      <w:r>
        <w:rPr>
          <w:lang w:eastAsia="ja-JP"/>
        </w:rPr>
        <w:t>for the band in which the UE is operating.</w:t>
      </w:r>
    </w:p>
    <w:p w14:paraId="5C0FB108" w14:textId="7008DFDF" w:rsidR="00EC3D7B" w:rsidRPr="00917F13" w:rsidRDefault="009243CA" w:rsidP="009243CA">
      <w:pPr>
        <w:jc w:val="both"/>
        <w:rPr>
          <w:b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initial system acquisition, all UEs should operate in a bandwidth that contains the initial access information (SSB, RMSI, etc). RAN4 reached some agreements in terms of minimum bandwidth support in RAN4#85 and communicated the agreements to RAN1 in </w:t>
      </w:r>
      <w:r>
        <w:t>R4-1714392</w:t>
      </w:r>
      <w:r>
        <w:rPr>
          <w:lang w:eastAsia="ja-JP"/>
        </w:rPr>
        <w:t xml:space="preserve">. To support forward compatibility, the UE could access the system in such bandwidth(which can be configured anywhere within the gNB channel bandwidth) and would be further configured with a dedicated channel bandwidth based on its capabilities. </w:t>
      </w:r>
      <w:r w:rsidR="00A90D7C">
        <w:t xml:space="preserve"> </w:t>
      </w: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42AD6E51" w:rsidR="000E3EF3" w:rsidRPr="008969CE" w:rsidRDefault="000E3EF3" w:rsidP="000E3EF3">
      <w:r w:rsidRPr="008969CE">
        <w:t>ACTION to RAN</w:t>
      </w:r>
      <w:r w:rsidR="00AA1742" w:rsidRPr="008969CE">
        <w:t xml:space="preserve"> </w:t>
      </w:r>
      <w:r w:rsidR="009243CA" w:rsidRPr="008969CE">
        <w:t>2</w:t>
      </w:r>
      <w:r w:rsidR="00937802" w:rsidRPr="008969CE">
        <w:t>:</w:t>
      </w:r>
    </w:p>
    <w:p w14:paraId="19E990F6" w14:textId="04DD9F99" w:rsidR="008022BE" w:rsidRPr="001852E7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9243CA">
        <w:t>2</w:t>
      </w:r>
      <w:r w:rsidRPr="00A90D7C">
        <w:t xml:space="preserve"> </w:t>
      </w:r>
      <w:r w:rsidR="00937802" w:rsidRPr="00A90D7C">
        <w:t>to take into consideration the above</w:t>
      </w:r>
      <w:r w:rsidR="009243CA">
        <w:t xml:space="preserve"> RAN4 agreements </w:t>
      </w:r>
      <w:r w:rsidR="00A90D7C" w:rsidRPr="00A90D7C">
        <w:t>when de</w:t>
      </w:r>
      <w:r w:rsidR="009243CA">
        <w:t>signing the signalling related to channel bandwdiths</w:t>
      </w:r>
      <w:r w:rsidR="00A90D7C" w:rsidRPr="00A90D7C">
        <w:t>.</w:t>
      </w:r>
      <w:r w:rsidR="00782497">
        <w:rPr>
          <w:b/>
        </w:rPr>
        <w:t xml:space="preserve"> 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6BAE2E1F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#8</w:t>
      </w:r>
      <w:r w:rsidR="00F2694B">
        <w:rPr>
          <w:rFonts w:ascii="Arial" w:eastAsia="PMingLiU" w:hAnsi="Arial" w:cs="Arial"/>
          <w:bCs/>
          <w:lang w:val="en-US" w:eastAsia="zh-TW"/>
        </w:rPr>
        <w:t>8</w:t>
      </w:r>
      <w:r w:rsidR="009243CA">
        <w:rPr>
          <w:rFonts w:ascii="Arial" w:eastAsia="PMingLiU" w:hAnsi="Arial" w:cs="Arial"/>
          <w:bCs/>
          <w:lang w:val="en-US" w:eastAsia="zh-TW"/>
        </w:rPr>
        <w:t>Bis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9243CA">
        <w:rPr>
          <w:rFonts w:ascii="Arial" w:hAnsi="Arial" w:cs="Arial"/>
          <w:bCs/>
          <w:lang w:val="en-US"/>
        </w:rPr>
        <w:t>8</w:t>
      </w:r>
      <w:r w:rsidR="009243CA">
        <w:rPr>
          <w:rFonts w:ascii="Arial" w:eastAsia="PMingLiU" w:hAnsi="Arial" w:cs="Arial"/>
          <w:bCs/>
          <w:lang w:val="en-US" w:eastAsia="zh-TW"/>
        </w:rPr>
        <w:t>th</w:t>
      </w:r>
      <w:r w:rsidR="009243CA" w:rsidRPr="00AD0869">
        <w:rPr>
          <w:rFonts w:ascii="Arial" w:hAnsi="Arial" w:cs="Arial"/>
          <w:bCs/>
          <w:lang w:val="en-US"/>
        </w:rPr>
        <w:t xml:space="preserve"> – </w:t>
      </w:r>
      <w:r w:rsidR="009243CA">
        <w:rPr>
          <w:rFonts w:ascii="Arial" w:hAnsi="Arial" w:cs="Arial"/>
          <w:bCs/>
          <w:lang w:val="en-US"/>
        </w:rPr>
        <w:t>1</w:t>
      </w:r>
      <w:r w:rsidR="009243CA">
        <w:rPr>
          <w:rFonts w:ascii="Arial" w:eastAsia="PMingLiU" w:hAnsi="Arial" w:cs="Arial"/>
          <w:bCs/>
          <w:lang w:val="en-US" w:eastAsia="zh-TW"/>
        </w:rPr>
        <w:t>2</w:t>
      </w:r>
      <w:r w:rsidR="009243CA" w:rsidRPr="00AD0869">
        <w:rPr>
          <w:rFonts w:ascii="Arial" w:hAnsi="Arial" w:cs="Arial"/>
          <w:bCs/>
          <w:lang w:val="en-US"/>
        </w:rPr>
        <w:t xml:space="preserve">th </w:t>
      </w:r>
      <w:r w:rsidR="009243CA">
        <w:rPr>
          <w:rFonts w:ascii="Arial" w:hAnsi="Arial" w:cs="Arial"/>
          <w:bCs/>
          <w:lang w:val="en-US"/>
        </w:rPr>
        <w:t>October</w:t>
      </w:r>
      <w:r w:rsidR="009243CA" w:rsidRPr="00AD0869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>201</w:t>
      </w:r>
      <w:r w:rsidR="009243CA">
        <w:rPr>
          <w:rFonts w:ascii="Arial" w:eastAsia="PMingLiU" w:hAnsi="Arial" w:cs="Arial"/>
          <w:bCs/>
          <w:lang w:val="en-US" w:eastAsia="zh-TW"/>
        </w:rPr>
        <w:t>8</w:t>
      </w:r>
      <w:r w:rsidR="009243CA" w:rsidRPr="00AD0869">
        <w:rPr>
          <w:rFonts w:ascii="Arial" w:hAnsi="Arial" w:cs="Arial"/>
          <w:bCs/>
          <w:lang w:val="en-US" w:eastAsia="zh-CN"/>
        </w:rPr>
        <w:t xml:space="preserve">   </w:t>
      </w:r>
      <w:r w:rsidR="009243CA">
        <w:rPr>
          <w:rFonts w:ascii="Arial" w:hAnsi="Arial" w:cs="Arial" w:hint="eastAsia"/>
          <w:bCs/>
          <w:lang w:val="en-US" w:eastAsia="zh-CN"/>
        </w:rPr>
        <w:t xml:space="preserve">  </w:t>
      </w:r>
      <w:r w:rsidR="009243CA">
        <w:rPr>
          <w:rFonts w:ascii="Arial" w:hAnsi="Arial" w:cs="Arial"/>
          <w:bCs/>
          <w:lang w:val="en-US" w:eastAsia="zh-CN"/>
        </w:rPr>
        <w:t xml:space="preserve">   Chengdu, China</w:t>
      </w:r>
      <w:r w:rsidR="009243CA">
        <w:rPr>
          <w:rFonts w:ascii="Arial" w:eastAsia="PMingLiU" w:hAnsi="Arial" w:cs="Arial"/>
          <w:bCs/>
          <w:lang w:val="en-US" w:eastAsia="zh-TW"/>
        </w:rPr>
        <w:t xml:space="preserve"> </w:t>
      </w:r>
    </w:p>
    <w:p w14:paraId="536A50B8" w14:textId="0FF4B3FB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>
        <w:rPr>
          <w:rFonts w:ascii="Arial" w:eastAsia="PMingLiU" w:hAnsi="Arial" w:cs="Arial" w:hint="eastAsia"/>
          <w:bCs/>
          <w:lang w:val="en-US" w:eastAsia="zh-TW"/>
        </w:rPr>
        <w:t>8</w:t>
      </w:r>
      <w:r w:rsidR="009243CA">
        <w:rPr>
          <w:rFonts w:ascii="Arial" w:eastAsia="PMingLiU" w:hAnsi="Arial" w:cs="Arial"/>
          <w:bCs/>
          <w:lang w:val="en-US" w:eastAsia="zh-TW"/>
        </w:rPr>
        <w:t>9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9243CA">
        <w:rPr>
          <w:rFonts w:ascii="Arial" w:hAnsi="Arial" w:cs="Arial"/>
          <w:bCs/>
          <w:lang w:val="en-US"/>
        </w:rPr>
        <w:t>12</w:t>
      </w:r>
      <w:r w:rsidR="009243CA" w:rsidRPr="009243CA">
        <w:rPr>
          <w:rFonts w:ascii="Arial" w:hAnsi="Arial" w:cs="Arial"/>
          <w:bCs/>
          <w:vertAlign w:val="superscript"/>
          <w:lang w:val="en-US"/>
        </w:rPr>
        <w:t>th</w:t>
      </w:r>
      <w:r w:rsidR="009243CA">
        <w:rPr>
          <w:rFonts w:ascii="Arial" w:hAnsi="Arial" w:cs="Arial"/>
          <w:bCs/>
          <w:lang w:val="en-US"/>
        </w:rPr>
        <w:t xml:space="preserve"> – 16</w:t>
      </w:r>
      <w:r w:rsidR="009243CA" w:rsidRPr="009243CA">
        <w:rPr>
          <w:rFonts w:ascii="Arial" w:hAnsi="Arial" w:cs="Arial"/>
          <w:bCs/>
          <w:vertAlign w:val="superscript"/>
          <w:lang w:val="en-US"/>
        </w:rPr>
        <w:t>th</w:t>
      </w:r>
      <w:r w:rsidR="009243CA">
        <w:rPr>
          <w:rFonts w:ascii="Arial" w:hAnsi="Arial" w:cs="Arial"/>
          <w:bCs/>
          <w:lang w:val="en-US"/>
        </w:rPr>
        <w:t xml:space="preserve"> November 2018    Spokane, USA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7502A" w14:textId="77777777" w:rsidR="005D3895" w:rsidRDefault="005D3895" w:rsidP="007846FF">
      <w:pPr>
        <w:spacing w:after="0" w:line="240" w:lineRule="auto"/>
      </w:pPr>
      <w:r>
        <w:separator/>
      </w:r>
    </w:p>
  </w:endnote>
  <w:endnote w:type="continuationSeparator" w:id="0">
    <w:p w14:paraId="35D857A7" w14:textId="77777777" w:rsidR="005D3895" w:rsidRDefault="005D3895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9815E" w14:textId="77777777" w:rsidR="005D3895" w:rsidRDefault="005D3895" w:rsidP="007846FF">
      <w:pPr>
        <w:spacing w:after="0" w:line="240" w:lineRule="auto"/>
      </w:pPr>
      <w:r>
        <w:separator/>
      </w:r>
    </w:p>
  </w:footnote>
  <w:footnote w:type="continuationSeparator" w:id="0">
    <w:p w14:paraId="20025953" w14:textId="77777777" w:rsidR="005D3895" w:rsidRDefault="005D3895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ＭＳ 明朝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A24DDC-D8EA-492F-9AF4-7E964838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2018-08-24T14:41:00Z</dcterms:created>
  <dcterms:modified xsi:type="dcterms:W3CDTF">2018-08-24T14:41:00Z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</Properties>
</file>