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528E663"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824BF1">
        <w:rPr>
          <w:rFonts w:eastAsia="Malgun Gothic"/>
          <w:b/>
          <w:bCs/>
          <w:sz w:val="28"/>
          <w:lang w:val="en-GB"/>
        </w:rPr>
        <w:t>88</w:t>
      </w:r>
      <w:r w:rsidRPr="00DE4417">
        <w:rPr>
          <w:rFonts w:eastAsia="Malgun Gothic"/>
          <w:b/>
          <w:bCs/>
          <w:sz w:val="28"/>
          <w:lang w:val="en-GB" w:eastAsia="ko-KR"/>
        </w:rPr>
        <w:tab/>
      </w:r>
      <w:r w:rsidR="001E4D92">
        <w:rPr>
          <w:rFonts w:eastAsia="Malgun Gothic"/>
          <w:b/>
          <w:bCs/>
          <w:sz w:val="28"/>
          <w:lang w:val="en-GB"/>
        </w:rPr>
        <w:t>R4-1810866</w:t>
      </w:r>
      <w:bookmarkStart w:id="0" w:name="_GoBack"/>
      <w:bookmarkEnd w:id="0"/>
    </w:p>
    <w:p w14:paraId="50CBE1C5" w14:textId="1D8F28BF" w:rsidR="003E1A65" w:rsidRPr="00DE4417"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Gothenburg</w:t>
      </w:r>
      <w:r w:rsidR="003E1A65" w:rsidRPr="00DE4417">
        <w:rPr>
          <w:rFonts w:eastAsia="Malgun Gothic"/>
          <w:b/>
          <w:bCs/>
          <w:sz w:val="28"/>
          <w:lang w:val="en-GB" w:eastAsia="ko-KR"/>
        </w:rPr>
        <w:t xml:space="preserve">, </w:t>
      </w:r>
      <w:r w:rsidR="00B32A3F">
        <w:rPr>
          <w:rFonts w:eastAsia="Malgun Gothic"/>
          <w:b/>
          <w:bCs/>
          <w:sz w:val="28"/>
          <w:lang w:val="en-GB" w:eastAsia="ko-KR"/>
        </w:rPr>
        <w:t>S</w:t>
      </w:r>
      <w:r>
        <w:rPr>
          <w:rFonts w:eastAsia="Malgun Gothic"/>
          <w:b/>
          <w:bCs/>
          <w:sz w:val="28"/>
          <w:lang w:val="en-GB" w:eastAsia="ko-KR"/>
        </w:rPr>
        <w:t>weden</w:t>
      </w:r>
      <w:r w:rsidR="003E1A65" w:rsidRPr="00DE4417">
        <w:rPr>
          <w:rFonts w:eastAsia="Malgun Gothic"/>
          <w:b/>
          <w:bCs/>
          <w:sz w:val="28"/>
          <w:lang w:val="en-GB" w:eastAsia="ko-KR"/>
        </w:rPr>
        <w:t xml:space="preserve">, </w:t>
      </w:r>
      <w:r>
        <w:rPr>
          <w:rFonts w:eastAsia="Malgun Gothic"/>
          <w:b/>
          <w:bCs/>
          <w:sz w:val="28"/>
          <w:lang w:val="en-GB" w:eastAsia="ko-KR"/>
        </w:rPr>
        <w:t>20 – 24</w:t>
      </w:r>
      <w:r w:rsidR="00FC5279">
        <w:rPr>
          <w:rFonts w:eastAsia="Malgun Gothic"/>
          <w:b/>
          <w:bCs/>
          <w:sz w:val="28"/>
          <w:lang w:val="en-GB" w:eastAsia="ko-KR"/>
        </w:rPr>
        <w:t xml:space="preserve"> </w:t>
      </w:r>
      <w:r>
        <w:rPr>
          <w:rFonts w:eastAsia="Malgun Gothic"/>
          <w:b/>
          <w:bCs/>
          <w:sz w:val="28"/>
          <w:lang w:val="en-GB" w:eastAsia="ko-KR"/>
        </w:rPr>
        <w:t>August</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0BBC85E" w:rsidR="00B81FC7" w:rsidRPr="00DE4417" w:rsidRDefault="00B81FC7" w:rsidP="008159B1">
      <w:pPr>
        <w:ind w:left="2160" w:hanging="2160"/>
        <w:rPr>
          <w:b/>
          <w:lang w:val="en-GB"/>
        </w:rPr>
      </w:pPr>
      <w:r w:rsidRPr="00DE4417">
        <w:rPr>
          <w:b/>
          <w:lang w:val="en-GB"/>
        </w:rPr>
        <w:t>Title:</w:t>
      </w:r>
      <w:r w:rsidRPr="00DE4417">
        <w:rPr>
          <w:b/>
          <w:lang w:val="en-GB"/>
        </w:rPr>
        <w:tab/>
      </w:r>
      <w:r w:rsidR="00824BF1">
        <w:rPr>
          <w:lang w:val="en-GB"/>
        </w:rPr>
        <w:t xml:space="preserve">Discussion on </w:t>
      </w:r>
      <w:r w:rsidR="00121773">
        <w:rPr>
          <w:lang w:val="en-GB"/>
        </w:rPr>
        <w:t>occupied bandwidth requirements</w:t>
      </w:r>
    </w:p>
    <w:p w14:paraId="75E65FB7" w14:textId="44CFDB1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C63AC">
        <w:rPr>
          <w:lang w:val="en-GB"/>
        </w:rPr>
        <w:t>7.6.11.6</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0AF79DB0" w14:textId="50BF098E" w:rsidR="00121773" w:rsidRDefault="00B81FC7" w:rsidP="00121773">
      <w:pPr>
        <w:pStyle w:val="berschrift1"/>
        <w:rPr>
          <w:rFonts w:cs="Arial"/>
        </w:rPr>
      </w:pPr>
      <w:r w:rsidRPr="00DE4417">
        <w:rPr>
          <w:rFonts w:cs="Arial"/>
        </w:rPr>
        <w:t>Introduction</w:t>
      </w:r>
    </w:p>
    <w:p w14:paraId="4BDE72CA" w14:textId="1A8AD970" w:rsidR="00121773" w:rsidRPr="00121773" w:rsidRDefault="00121773" w:rsidP="00121773">
      <w:pPr>
        <w:rPr>
          <w:lang w:val="en-GB" w:eastAsia="en-US"/>
        </w:rPr>
      </w:pPr>
      <w:r>
        <w:rPr>
          <w:lang w:val="en-GB" w:eastAsia="en-US"/>
        </w:rPr>
        <w:t>In RAN5 the discussion on measurement uncertainties for FR1 and FR2 is ongoing. When trying to analyse the values for occupied bandwidth, some issues with the test procedure and the definition of the requirements have been identified.</w:t>
      </w:r>
    </w:p>
    <w:p w14:paraId="59D92B3E" w14:textId="64196180" w:rsidR="00FC45FA" w:rsidRDefault="002A659B" w:rsidP="00FC45FA">
      <w:pPr>
        <w:pStyle w:val="berschrift1"/>
        <w:rPr>
          <w:rFonts w:cs="Arial"/>
        </w:rPr>
      </w:pPr>
      <w:bookmarkStart w:id="1" w:name="OLE_LINK10"/>
      <w:bookmarkStart w:id="2" w:name="OLE_LINK11"/>
      <w:r w:rsidRPr="00DE4417">
        <w:rPr>
          <w:rFonts w:cs="Arial"/>
        </w:rPr>
        <w:t>Discussion</w:t>
      </w:r>
    </w:p>
    <w:p w14:paraId="3CBE6961" w14:textId="52B01290" w:rsidR="003D16A8" w:rsidRDefault="003D16A8" w:rsidP="003D16A8">
      <w:pPr>
        <w:pStyle w:val="berschrift2"/>
        <w:rPr>
          <w:lang w:val="en-US"/>
        </w:rPr>
      </w:pPr>
      <w:r w:rsidRPr="00AE068E">
        <w:rPr>
          <w:lang w:val="en-US"/>
        </w:rPr>
        <w:t xml:space="preserve"> General</w:t>
      </w:r>
    </w:p>
    <w:p w14:paraId="47C50BDC" w14:textId="3EB5507D" w:rsidR="005F2427" w:rsidRDefault="00727391" w:rsidP="005F2427">
      <w:pPr>
        <w:rPr>
          <w:lang w:eastAsia="en-US"/>
        </w:rPr>
      </w:pPr>
      <w:r>
        <w:rPr>
          <w:lang w:eastAsia="en-US"/>
        </w:rPr>
        <w:t>The requirements for occupied bandwidth in clause 6.5.1 of 38.101-1 [1] are defined as follows:</w:t>
      </w:r>
    </w:p>
    <w:p w14:paraId="0CFE3D96" w14:textId="77777777" w:rsidR="00727391" w:rsidRPr="00727391" w:rsidRDefault="00727391" w:rsidP="00727391">
      <w:pPr>
        <w:rPr>
          <w:rFonts w:ascii="Times New Roman" w:hAnsi="Times New Roman" w:cs="Times New Roman"/>
          <w:i/>
        </w:rPr>
      </w:pPr>
      <w:r w:rsidRPr="00727391">
        <w:rPr>
          <w:rFonts w:ascii="Times New Roman" w:hAnsi="Times New Roman" w:cs="Times New Roman"/>
          <w:i/>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08D5E50" w14:textId="77777777" w:rsidR="00727391" w:rsidRPr="00727391" w:rsidRDefault="00727391" w:rsidP="00727391">
      <w:pPr>
        <w:pStyle w:val="TH"/>
        <w:rPr>
          <w:rFonts w:ascii="Times New Roman" w:hAnsi="Times New Roman"/>
          <w:i/>
        </w:rPr>
      </w:pPr>
      <w:r w:rsidRPr="00727391">
        <w:rPr>
          <w:rFonts w:ascii="Times New Roman" w:hAnsi="Times New Roman"/>
          <w:i/>
        </w:rPr>
        <w:t xml:space="preserve">Table 6.5.1-1: </w:t>
      </w:r>
      <w:proofErr w:type="spellStart"/>
      <w:r w:rsidRPr="00727391">
        <w:rPr>
          <w:rFonts w:ascii="Times New Roman" w:hAnsi="Times New Roman"/>
          <w:i/>
        </w:rPr>
        <w:t>Occupied</w:t>
      </w:r>
      <w:proofErr w:type="spellEnd"/>
      <w:r w:rsidRPr="00727391">
        <w:rPr>
          <w:rFonts w:ascii="Times New Roman" w:hAnsi="Times New Roman"/>
          <w:i/>
        </w:rPr>
        <w:t xml:space="preserve"> </w:t>
      </w:r>
      <w:proofErr w:type="spellStart"/>
      <w:r w:rsidRPr="00727391">
        <w:rPr>
          <w:rFonts w:ascii="Times New Roman" w:hAnsi="Times New Roman"/>
          <w:i/>
        </w:rPr>
        <w:t>channel</w:t>
      </w:r>
      <w:proofErr w:type="spellEnd"/>
      <w:r w:rsidRPr="00727391">
        <w:rPr>
          <w:rFonts w:ascii="Times New Roman" w:hAnsi="Times New Roman"/>
          <w:i/>
        </w:rPr>
        <w:t xml:space="preserve"> </w:t>
      </w:r>
      <w:proofErr w:type="spellStart"/>
      <w:r w:rsidRPr="00727391">
        <w:rPr>
          <w:rFonts w:ascii="Times New Roman" w:hAnsi="Times New Roman"/>
          <w:i/>
        </w:rPr>
        <w:t>bandwidth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33"/>
        <w:gridCol w:w="331"/>
        <w:gridCol w:w="331"/>
        <w:gridCol w:w="662"/>
        <w:gridCol w:w="662"/>
        <w:gridCol w:w="662"/>
        <w:gridCol w:w="662"/>
        <w:gridCol w:w="662"/>
        <w:gridCol w:w="662"/>
        <w:gridCol w:w="662"/>
        <w:gridCol w:w="662"/>
        <w:gridCol w:w="662"/>
        <w:gridCol w:w="692"/>
      </w:tblGrid>
      <w:tr w:rsidR="00727391" w:rsidRPr="00727391" w14:paraId="26488954" w14:textId="77777777" w:rsidTr="00E67D9F">
        <w:tc>
          <w:tcPr>
            <w:tcW w:w="0" w:type="auto"/>
            <w:vMerge w:val="restart"/>
            <w:shd w:val="clear" w:color="auto" w:fill="auto"/>
          </w:tcPr>
          <w:p w14:paraId="1A67ED18" w14:textId="77777777" w:rsidR="00727391" w:rsidRPr="00727391" w:rsidRDefault="00727391" w:rsidP="00E67D9F">
            <w:pPr>
              <w:rPr>
                <w:rFonts w:ascii="Times New Roman" w:hAnsi="Times New Roman" w:cs="Times New Roman"/>
                <w:i/>
              </w:rPr>
            </w:pPr>
          </w:p>
        </w:tc>
        <w:tc>
          <w:tcPr>
            <w:tcW w:w="0" w:type="auto"/>
            <w:gridSpan w:val="2"/>
          </w:tcPr>
          <w:p w14:paraId="1FFF76E1" w14:textId="77777777" w:rsidR="00727391" w:rsidRPr="00727391" w:rsidRDefault="00727391" w:rsidP="00E67D9F">
            <w:pPr>
              <w:pStyle w:val="TAH"/>
              <w:rPr>
                <w:rFonts w:ascii="Times New Roman" w:hAnsi="Times New Roman"/>
                <w:i/>
              </w:rPr>
            </w:pPr>
          </w:p>
        </w:tc>
        <w:tc>
          <w:tcPr>
            <w:tcW w:w="0" w:type="auto"/>
            <w:gridSpan w:val="11"/>
          </w:tcPr>
          <w:p w14:paraId="26806251" w14:textId="77777777" w:rsidR="00727391" w:rsidRPr="00727391" w:rsidRDefault="00727391" w:rsidP="00E67D9F">
            <w:pPr>
              <w:pStyle w:val="TAH"/>
              <w:rPr>
                <w:rFonts w:ascii="Times New Roman" w:hAnsi="Times New Roman"/>
                <w:i/>
              </w:rPr>
            </w:pPr>
            <w:proofErr w:type="spellStart"/>
            <w:r w:rsidRPr="00727391">
              <w:rPr>
                <w:rFonts w:ascii="Times New Roman" w:hAnsi="Times New Roman"/>
                <w:i/>
              </w:rPr>
              <w:t>Occupied</w:t>
            </w:r>
            <w:proofErr w:type="spellEnd"/>
            <w:r w:rsidRPr="00727391">
              <w:rPr>
                <w:rFonts w:ascii="Times New Roman" w:hAnsi="Times New Roman"/>
                <w:i/>
              </w:rPr>
              <w:t xml:space="preserve"> </w:t>
            </w:r>
            <w:proofErr w:type="spellStart"/>
            <w:r w:rsidRPr="00727391">
              <w:rPr>
                <w:rFonts w:ascii="Times New Roman" w:hAnsi="Times New Roman"/>
                <w:i/>
              </w:rPr>
              <w:t>channel</w:t>
            </w:r>
            <w:proofErr w:type="spellEnd"/>
            <w:r w:rsidRPr="00727391">
              <w:rPr>
                <w:rFonts w:ascii="Times New Roman" w:hAnsi="Times New Roman"/>
                <w:i/>
              </w:rPr>
              <w:t xml:space="preserve"> </w:t>
            </w:r>
            <w:proofErr w:type="spellStart"/>
            <w:r w:rsidRPr="00727391">
              <w:rPr>
                <w:rFonts w:ascii="Times New Roman" w:hAnsi="Times New Roman"/>
                <w:i/>
              </w:rPr>
              <w:t>bandwidth</w:t>
            </w:r>
            <w:proofErr w:type="spellEnd"/>
            <w:r w:rsidRPr="00727391">
              <w:rPr>
                <w:rFonts w:ascii="Times New Roman" w:hAnsi="Times New Roman"/>
                <w:i/>
              </w:rPr>
              <w:t xml:space="preserve"> / NR Channel </w:t>
            </w:r>
            <w:proofErr w:type="spellStart"/>
            <w:r w:rsidRPr="00727391">
              <w:rPr>
                <w:rFonts w:ascii="Times New Roman" w:hAnsi="Times New Roman"/>
                <w:i/>
              </w:rPr>
              <w:t>bandwidth</w:t>
            </w:r>
            <w:proofErr w:type="spellEnd"/>
          </w:p>
        </w:tc>
      </w:tr>
      <w:tr w:rsidR="00727391" w:rsidRPr="00727391" w14:paraId="54CBAD8E" w14:textId="77777777" w:rsidTr="00E67D9F">
        <w:tc>
          <w:tcPr>
            <w:tcW w:w="0" w:type="auto"/>
            <w:vMerge/>
            <w:shd w:val="clear" w:color="auto" w:fill="auto"/>
          </w:tcPr>
          <w:p w14:paraId="47C9356E" w14:textId="77777777" w:rsidR="00727391" w:rsidRPr="00727391" w:rsidRDefault="00727391" w:rsidP="00E67D9F">
            <w:pPr>
              <w:rPr>
                <w:rFonts w:ascii="Times New Roman" w:hAnsi="Times New Roman" w:cs="Times New Roman"/>
                <w:i/>
              </w:rPr>
            </w:pPr>
          </w:p>
        </w:tc>
        <w:tc>
          <w:tcPr>
            <w:tcW w:w="0" w:type="auto"/>
            <w:shd w:val="clear" w:color="auto" w:fill="auto"/>
          </w:tcPr>
          <w:p w14:paraId="0D13959B" w14:textId="77777777" w:rsidR="00727391" w:rsidRPr="00727391" w:rsidRDefault="00727391" w:rsidP="00E67D9F">
            <w:pPr>
              <w:pStyle w:val="TAH"/>
              <w:rPr>
                <w:rFonts w:ascii="Times New Roman" w:hAnsi="Times New Roman"/>
                <w:i/>
              </w:rPr>
            </w:pPr>
            <w:r w:rsidRPr="00727391">
              <w:rPr>
                <w:rFonts w:ascii="Times New Roman" w:hAnsi="Times New Roman"/>
                <w:i/>
              </w:rPr>
              <w:t>5 MHz</w:t>
            </w:r>
          </w:p>
        </w:tc>
        <w:tc>
          <w:tcPr>
            <w:tcW w:w="0" w:type="auto"/>
            <w:gridSpan w:val="2"/>
            <w:shd w:val="clear" w:color="auto" w:fill="auto"/>
          </w:tcPr>
          <w:p w14:paraId="435F0A37" w14:textId="77777777" w:rsidR="00727391" w:rsidRPr="00727391" w:rsidRDefault="00727391" w:rsidP="00E67D9F">
            <w:pPr>
              <w:pStyle w:val="TAH"/>
              <w:rPr>
                <w:rFonts w:ascii="Times New Roman" w:hAnsi="Times New Roman"/>
                <w:i/>
              </w:rPr>
            </w:pPr>
            <w:r w:rsidRPr="00727391">
              <w:rPr>
                <w:rFonts w:ascii="Times New Roman" w:hAnsi="Times New Roman"/>
                <w:i/>
              </w:rPr>
              <w:t>10 MHz</w:t>
            </w:r>
          </w:p>
        </w:tc>
        <w:tc>
          <w:tcPr>
            <w:tcW w:w="0" w:type="auto"/>
            <w:shd w:val="clear" w:color="auto" w:fill="auto"/>
          </w:tcPr>
          <w:p w14:paraId="3017AE95" w14:textId="77777777" w:rsidR="00727391" w:rsidRPr="00727391" w:rsidRDefault="00727391" w:rsidP="00E67D9F">
            <w:pPr>
              <w:pStyle w:val="TAH"/>
              <w:rPr>
                <w:rFonts w:ascii="Times New Roman" w:hAnsi="Times New Roman"/>
                <w:i/>
              </w:rPr>
            </w:pPr>
            <w:r w:rsidRPr="00727391">
              <w:rPr>
                <w:rFonts w:ascii="Times New Roman" w:hAnsi="Times New Roman"/>
                <w:i/>
              </w:rPr>
              <w:t>15 MHz</w:t>
            </w:r>
          </w:p>
        </w:tc>
        <w:tc>
          <w:tcPr>
            <w:tcW w:w="0" w:type="auto"/>
            <w:shd w:val="clear" w:color="auto" w:fill="auto"/>
          </w:tcPr>
          <w:p w14:paraId="1791525D" w14:textId="77777777" w:rsidR="00727391" w:rsidRPr="00727391" w:rsidRDefault="00727391" w:rsidP="00E67D9F">
            <w:pPr>
              <w:pStyle w:val="TAH"/>
              <w:rPr>
                <w:rFonts w:ascii="Times New Roman" w:hAnsi="Times New Roman"/>
                <w:i/>
              </w:rPr>
            </w:pPr>
            <w:r w:rsidRPr="00727391">
              <w:rPr>
                <w:rFonts w:ascii="Times New Roman" w:hAnsi="Times New Roman"/>
                <w:i/>
              </w:rPr>
              <w:t>20 MHz</w:t>
            </w:r>
          </w:p>
        </w:tc>
        <w:tc>
          <w:tcPr>
            <w:tcW w:w="0" w:type="auto"/>
            <w:shd w:val="clear" w:color="auto" w:fill="auto"/>
          </w:tcPr>
          <w:p w14:paraId="3D117128" w14:textId="77777777" w:rsidR="00727391" w:rsidRPr="00727391" w:rsidRDefault="00727391" w:rsidP="00E67D9F">
            <w:pPr>
              <w:pStyle w:val="TAH"/>
              <w:rPr>
                <w:rFonts w:ascii="Times New Roman" w:hAnsi="Times New Roman"/>
                <w:i/>
              </w:rPr>
            </w:pPr>
            <w:r w:rsidRPr="00727391">
              <w:rPr>
                <w:rFonts w:ascii="Times New Roman" w:hAnsi="Times New Roman"/>
                <w:i/>
              </w:rPr>
              <w:t>25 MHz</w:t>
            </w:r>
          </w:p>
        </w:tc>
        <w:tc>
          <w:tcPr>
            <w:tcW w:w="0" w:type="auto"/>
          </w:tcPr>
          <w:p w14:paraId="612EEE49" w14:textId="77777777" w:rsidR="00727391" w:rsidRPr="00727391" w:rsidRDefault="00727391" w:rsidP="00E67D9F">
            <w:pPr>
              <w:pStyle w:val="TAH"/>
              <w:rPr>
                <w:rFonts w:ascii="Times New Roman" w:hAnsi="Times New Roman"/>
                <w:i/>
              </w:rPr>
            </w:pPr>
            <w:r w:rsidRPr="00727391">
              <w:rPr>
                <w:rFonts w:ascii="Times New Roman" w:hAnsi="Times New Roman"/>
                <w:i/>
              </w:rPr>
              <w:t>30 MHz</w:t>
            </w:r>
          </w:p>
        </w:tc>
        <w:tc>
          <w:tcPr>
            <w:tcW w:w="0" w:type="auto"/>
            <w:shd w:val="clear" w:color="auto" w:fill="auto"/>
          </w:tcPr>
          <w:p w14:paraId="60784FCB" w14:textId="77777777" w:rsidR="00727391" w:rsidRPr="00727391" w:rsidRDefault="00727391" w:rsidP="00E67D9F">
            <w:pPr>
              <w:pStyle w:val="TAH"/>
              <w:rPr>
                <w:rFonts w:ascii="Times New Roman" w:hAnsi="Times New Roman"/>
                <w:i/>
              </w:rPr>
            </w:pPr>
            <w:r w:rsidRPr="00727391">
              <w:rPr>
                <w:rFonts w:ascii="Times New Roman" w:hAnsi="Times New Roman"/>
                <w:i/>
              </w:rPr>
              <w:t>40 MHz</w:t>
            </w:r>
          </w:p>
        </w:tc>
        <w:tc>
          <w:tcPr>
            <w:tcW w:w="0" w:type="auto"/>
            <w:shd w:val="clear" w:color="auto" w:fill="auto"/>
          </w:tcPr>
          <w:p w14:paraId="029A0075" w14:textId="77777777" w:rsidR="00727391" w:rsidRPr="00727391" w:rsidRDefault="00727391" w:rsidP="00E67D9F">
            <w:pPr>
              <w:pStyle w:val="TAH"/>
              <w:rPr>
                <w:rFonts w:ascii="Times New Roman" w:hAnsi="Times New Roman"/>
                <w:i/>
              </w:rPr>
            </w:pPr>
            <w:r w:rsidRPr="00727391">
              <w:rPr>
                <w:rFonts w:ascii="Times New Roman" w:hAnsi="Times New Roman"/>
                <w:i/>
              </w:rPr>
              <w:t>50 MHz</w:t>
            </w:r>
          </w:p>
        </w:tc>
        <w:tc>
          <w:tcPr>
            <w:tcW w:w="0" w:type="auto"/>
            <w:shd w:val="clear" w:color="auto" w:fill="auto"/>
          </w:tcPr>
          <w:p w14:paraId="69103695" w14:textId="77777777" w:rsidR="00727391" w:rsidRPr="00727391" w:rsidRDefault="00727391" w:rsidP="00E67D9F">
            <w:pPr>
              <w:pStyle w:val="TAH"/>
              <w:rPr>
                <w:rFonts w:ascii="Times New Roman" w:hAnsi="Times New Roman"/>
                <w:i/>
              </w:rPr>
            </w:pPr>
            <w:r w:rsidRPr="00727391">
              <w:rPr>
                <w:rFonts w:ascii="Times New Roman" w:hAnsi="Times New Roman"/>
                <w:i/>
              </w:rPr>
              <w:t>60 MHz</w:t>
            </w:r>
          </w:p>
        </w:tc>
        <w:tc>
          <w:tcPr>
            <w:tcW w:w="0" w:type="auto"/>
            <w:shd w:val="clear" w:color="auto" w:fill="auto"/>
          </w:tcPr>
          <w:p w14:paraId="2E0AE72C" w14:textId="77777777" w:rsidR="00727391" w:rsidRPr="00727391" w:rsidRDefault="00727391" w:rsidP="00E67D9F">
            <w:pPr>
              <w:pStyle w:val="TAH"/>
              <w:rPr>
                <w:rFonts w:ascii="Times New Roman" w:hAnsi="Times New Roman"/>
                <w:i/>
              </w:rPr>
            </w:pPr>
            <w:r w:rsidRPr="00727391">
              <w:rPr>
                <w:rFonts w:ascii="Times New Roman" w:hAnsi="Times New Roman"/>
                <w:i/>
              </w:rPr>
              <w:t>80 MHz</w:t>
            </w:r>
          </w:p>
        </w:tc>
        <w:tc>
          <w:tcPr>
            <w:tcW w:w="0" w:type="auto"/>
          </w:tcPr>
          <w:p w14:paraId="735342D2" w14:textId="77777777" w:rsidR="00727391" w:rsidRPr="00727391" w:rsidRDefault="00727391" w:rsidP="00E67D9F">
            <w:pPr>
              <w:pStyle w:val="TAH"/>
              <w:rPr>
                <w:rFonts w:ascii="Times New Roman" w:hAnsi="Times New Roman"/>
                <w:i/>
              </w:rPr>
            </w:pPr>
            <w:r w:rsidRPr="00727391">
              <w:rPr>
                <w:rFonts w:ascii="Times New Roman" w:hAnsi="Times New Roman"/>
                <w:i/>
              </w:rPr>
              <w:t>90 MHz</w:t>
            </w:r>
          </w:p>
        </w:tc>
        <w:tc>
          <w:tcPr>
            <w:tcW w:w="0" w:type="auto"/>
            <w:shd w:val="clear" w:color="auto" w:fill="auto"/>
          </w:tcPr>
          <w:p w14:paraId="5C376933" w14:textId="77777777" w:rsidR="00727391" w:rsidRPr="00727391" w:rsidRDefault="00727391" w:rsidP="00E67D9F">
            <w:pPr>
              <w:pStyle w:val="TAH"/>
              <w:rPr>
                <w:rFonts w:ascii="Times New Roman" w:hAnsi="Times New Roman"/>
                <w:i/>
              </w:rPr>
            </w:pPr>
            <w:r w:rsidRPr="00727391">
              <w:rPr>
                <w:rFonts w:ascii="Times New Roman" w:hAnsi="Times New Roman"/>
                <w:i/>
              </w:rPr>
              <w:t>100 MHz</w:t>
            </w:r>
          </w:p>
        </w:tc>
      </w:tr>
      <w:tr w:rsidR="00727391" w:rsidRPr="00727391" w14:paraId="71C686EB" w14:textId="77777777" w:rsidTr="00E67D9F">
        <w:trPr>
          <w:trHeight w:val="493"/>
        </w:trPr>
        <w:tc>
          <w:tcPr>
            <w:tcW w:w="0" w:type="auto"/>
            <w:shd w:val="clear" w:color="auto" w:fill="auto"/>
            <w:vAlign w:val="center"/>
          </w:tcPr>
          <w:p w14:paraId="24CE0D3C" w14:textId="77777777" w:rsidR="00727391" w:rsidRPr="00727391" w:rsidRDefault="00727391" w:rsidP="00E67D9F">
            <w:pPr>
              <w:pStyle w:val="TAH"/>
              <w:rPr>
                <w:rFonts w:ascii="Times New Roman" w:hAnsi="Times New Roman"/>
                <w:i/>
              </w:rPr>
            </w:pPr>
            <w:r w:rsidRPr="00727391">
              <w:rPr>
                <w:rFonts w:ascii="Times New Roman" w:hAnsi="Times New Roman"/>
                <w:i/>
              </w:rPr>
              <w:t xml:space="preserve">Channel </w:t>
            </w:r>
            <w:proofErr w:type="spellStart"/>
            <w:r w:rsidRPr="00727391">
              <w:rPr>
                <w:rFonts w:ascii="Times New Roman" w:hAnsi="Times New Roman"/>
                <w:i/>
              </w:rPr>
              <w:t>bandwidth</w:t>
            </w:r>
            <w:proofErr w:type="spellEnd"/>
            <w:r w:rsidRPr="00727391">
              <w:rPr>
                <w:rFonts w:ascii="Times New Roman" w:hAnsi="Times New Roman"/>
                <w:i/>
              </w:rPr>
              <w:t xml:space="preserve"> (MHz)</w:t>
            </w:r>
          </w:p>
        </w:tc>
        <w:tc>
          <w:tcPr>
            <w:tcW w:w="0" w:type="auto"/>
            <w:shd w:val="clear" w:color="auto" w:fill="auto"/>
            <w:vAlign w:val="center"/>
          </w:tcPr>
          <w:p w14:paraId="0FDE78D0" w14:textId="77777777" w:rsidR="00727391" w:rsidRPr="00727391" w:rsidRDefault="00727391" w:rsidP="00E67D9F">
            <w:pPr>
              <w:pStyle w:val="TAC"/>
              <w:rPr>
                <w:rFonts w:ascii="Times New Roman" w:hAnsi="Times New Roman"/>
                <w:i/>
              </w:rPr>
            </w:pPr>
            <w:r w:rsidRPr="00727391">
              <w:rPr>
                <w:rFonts w:ascii="Times New Roman" w:hAnsi="Times New Roman"/>
                <w:i/>
              </w:rPr>
              <w:t>5</w:t>
            </w:r>
          </w:p>
        </w:tc>
        <w:tc>
          <w:tcPr>
            <w:tcW w:w="0" w:type="auto"/>
            <w:gridSpan w:val="2"/>
            <w:shd w:val="clear" w:color="auto" w:fill="auto"/>
            <w:vAlign w:val="center"/>
          </w:tcPr>
          <w:p w14:paraId="64CD7803" w14:textId="77777777" w:rsidR="00727391" w:rsidRPr="00727391" w:rsidRDefault="00727391" w:rsidP="00E67D9F">
            <w:pPr>
              <w:pStyle w:val="TAC"/>
              <w:rPr>
                <w:rFonts w:ascii="Times New Roman" w:hAnsi="Times New Roman"/>
                <w:i/>
              </w:rPr>
            </w:pPr>
            <w:r w:rsidRPr="00727391">
              <w:rPr>
                <w:rFonts w:ascii="Times New Roman" w:hAnsi="Times New Roman"/>
                <w:i/>
              </w:rPr>
              <w:t>10</w:t>
            </w:r>
          </w:p>
        </w:tc>
        <w:tc>
          <w:tcPr>
            <w:tcW w:w="0" w:type="auto"/>
            <w:shd w:val="clear" w:color="auto" w:fill="auto"/>
            <w:vAlign w:val="center"/>
          </w:tcPr>
          <w:p w14:paraId="3981EAA0" w14:textId="77777777" w:rsidR="00727391" w:rsidRPr="00727391" w:rsidRDefault="00727391" w:rsidP="00E67D9F">
            <w:pPr>
              <w:pStyle w:val="TAC"/>
              <w:rPr>
                <w:rFonts w:ascii="Times New Roman" w:hAnsi="Times New Roman"/>
                <w:i/>
              </w:rPr>
            </w:pPr>
            <w:r w:rsidRPr="00727391">
              <w:rPr>
                <w:rFonts w:ascii="Times New Roman" w:hAnsi="Times New Roman"/>
                <w:i/>
              </w:rPr>
              <w:t>15</w:t>
            </w:r>
          </w:p>
        </w:tc>
        <w:tc>
          <w:tcPr>
            <w:tcW w:w="0" w:type="auto"/>
            <w:shd w:val="clear" w:color="auto" w:fill="auto"/>
            <w:vAlign w:val="center"/>
          </w:tcPr>
          <w:p w14:paraId="4812C64E" w14:textId="77777777" w:rsidR="00727391" w:rsidRPr="00727391" w:rsidRDefault="00727391" w:rsidP="00E67D9F">
            <w:pPr>
              <w:pStyle w:val="TAC"/>
              <w:rPr>
                <w:rFonts w:ascii="Times New Roman" w:hAnsi="Times New Roman"/>
                <w:i/>
              </w:rPr>
            </w:pPr>
            <w:r w:rsidRPr="00727391">
              <w:rPr>
                <w:rFonts w:ascii="Times New Roman" w:hAnsi="Times New Roman"/>
                <w:i/>
              </w:rPr>
              <w:t>20</w:t>
            </w:r>
          </w:p>
        </w:tc>
        <w:tc>
          <w:tcPr>
            <w:tcW w:w="0" w:type="auto"/>
            <w:shd w:val="clear" w:color="auto" w:fill="auto"/>
            <w:vAlign w:val="center"/>
          </w:tcPr>
          <w:p w14:paraId="134E716F" w14:textId="77777777" w:rsidR="00727391" w:rsidRPr="00727391" w:rsidRDefault="00727391" w:rsidP="00E67D9F">
            <w:pPr>
              <w:pStyle w:val="TAC"/>
              <w:rPr>
                <w:rFonts w:ascii="Times New Roman" w:hAnsi="Times New Roman"/>
                <w:i/>
              </w:rPr>
            </w:pPr>
            <w:r w:rsidRPr="00727391">
              <w:rPr>
                <w:rFonts w:ascii="Times New Roman" w:hAnsi="Times New Roman"/>
                <w:i/>
              </w:rPr>
              <w:t>25</w:t>
            </w:r>
          </w:p>
        </w:tc>
        <w:tc>
          <w:tcPr>
            <w:tcW w:w="0" w:type="auto"/>
            <w:vAlign w:val="center"/>
          </w:tcPr>
          <w:p w14:paraId="436273A9" w14:textId="77777777" w:rsidR="00727391" w:rsidRPr="00727391" w:rsidRDefault="00727391" w:rsidP="00E67D9F">
            <w:pPr>
              <w:pStyle w:val="TAC"/>
              <w:rPr>
                <w:rFonts w:ascii="Times New Roman" w:hAnsi="Times New Roman"/>
                <w:i/>
              </w:rPr>
            </w:pPr>
            <w:r w:rsidRPr="00727391">
              <w:rPr>
                <w:rFonts w:ascii="Times New Roman" w:hAnsi="Times New Roman"/>
                <w:i/>
              </w:rPr>
              <w:t>30</w:t>
            </w:r>
          </w:p>
        </w:tc>
        <w:tc>
          <w:tcPr>
            <w:tcW w:w="0" w:type="auto"/>
            <w:shd w:val="clear" w:color="auto" w:fill="auto"/>
            <w:vAlign w:val="center"/>
          </w:tcPr>
          <w:p w14:paraId="32FBE70C" w14:textId="77777777" w:rsidR="00727391" w:rsidRPr="00727391" w:rsidRDefault="00727391" w:rsidP="00E67D9F">
            <w:pPr>
              <w:pStyle w:val="TAC"/>
              <w:rPr>
                <w:rFonts w:ascii="Times New Roman" w:hAnsi="Times New Roman"/>
                <w:i/>
              </w:rPr>
            </w:pPr>
            <w:r w:rsidRPr="00727391">
              <w:rPr>
                <w:rFonts w:ascii="Times New Roman" w:hAnsi="Times New Roman"/>
                <w:i/>
              </w:rPr>
              <w:t>40</w:t>
            </w:r>
          </w:p>
        </w:tc>
        <w:tc>
          <w:tcPr>
            <w:tcW w:w="0" w:type="auto"/>
            <w:shd w:val="clear" w:color="auto" w:fill="auto"/>
            <w:vAlign w:val="center"/>
          </w:tcPr>
          <w:p w14:paraId="04DB8A3C" w14:textId="77777777" w:rsidR="00727391" w:rsidRPr="00727391" w:rsidRDefault="00727391" w:rsidP="00E67D9F">
            <w:pPr>
              <w:pStyle w:val="TAC"/>
              <w:rPr>
                <w:rFonts w:ascii="Times New Roman" w:hAnsi="Times New Roman"/>
                <w:i/>
              </w:rPr>
            </w:pPr>
            <w:r w:rsidRPr="00727391">
              <w:rPr>
                <w:rFonts w:ascii="Times New Roman" w:hAnsi="Times New Roman"/>
                <w:i/>
              </w:rPr>
              <w:t>50</w:t>
            </w:r>
          </w:p>
        </w:tc>
        <w:tc>
          <w:tcPr>
            <w:tcW w:w="0" w:type="auto"/>
            <w:shd w:val="clear" w:color="auto" w:fill="auto"/>
            <w:vAlign w:val="center"/>
          </w:tcPr>
          <w:p w14:paraId="7552CF39" w14:textId="77777777" w:rsidR="00727391" w:rsidRPr="00727391" w:rsidRDefault="00727391" w:rsidP="00E67D9F">
            <w:pPr>
              <w:pStyle w:val="TAC"/>
              <w:rPr>
                <w:rFonts w:ascii="Times New Roman" w:hAnsi="Times New Roman"/>
                <w:i/>
              </w:rPr>
            </w:pPr>
            <w:r w:rsidRPr="00727391">
              <w:rPr>
                <w:rFonts w:ascii="Times New Roman" w:hAnsi="Times New Roman"/>
                <w:i/>
              </w:rPr>
              <w:t>60</w:t>
            </w:r>
          </w:p>
        </w:tc>
        <w:tc>
          <w:tcPr>
            <w:tcW w:w="0" w:type="auto"/>
            <w:shd w:val="clear" w:color="auto" w:fill="auto"/>
            <w:vAlign w:val="center"/>
          </w:tcPr>
          <w:p w14:paraId="04E4BD17" w14:textId="77777777" w:rsidR="00727391" w:rsidRPr="00727391" w:rsidRDefault="00727391" w:rsidP="00E67D9F">
            <w:pPr>
              <w:pStyle w:val="TAC"/>
              <w:rPr>
                <w:rFonts w:ascii="Times New Roman" w:hAnsi="Times New Roman"/>
                <w:i/>
              </w:rPr>
            </w:pPr>
            <w:r w:rsidRPr="00727391">
              <w:rPr>
                <w:rFonts w:ascii="Times New Roman" w:hAnsi="Times New Roman"/>
                <w:i/>
              </w:rPr>
              <w:t>80</w:t>
            </w:r>
          </w:p>
        </w:tc>
        <w:tc>
          <w:tcPr>
            <w:tcW w:w="0" w:type="auto"/>
            <w:vAlign w:val="center"/>
          </w:tcPr>
          <w:p w14:paraId="5636C6BD" w14:textId="77777777" w:rsidR="00727391" w:rsidRPr="00727391" w:rsidRDefault="00727391" w:rsidP="00E67D9F">
            <w:pPr>
              <w:pStyle w:val="TAC"/>
              <w:rPr>
                <w:rFonts w:ascii="Times New Roman" w:hAnsi="Times New Roman"/>
                <w:i/>
              </w:rPr>
            </w:pPr>
            <w:r w:rsidRPr="00727391">
              <w:rPr>
                <w:rFonts w:ascii="Times New Roman" w:hAnsi="Times New Roman"/>
                <w:i/>
              </w:rPr>
              <w:t>90</w:t>
            </w:r>
          </w:p>
        </w:tc>
        <w:tc>
          <w:tcPr>
            <w:tcW w:w="0" w:type="auto"/>
            <w:shd w:val="clear" w:color="auto" w:fill="auto"/>
            <w:vAlign w:val="center"/>
          </w:tcPr>
          <w:p w14:paraId="0E732105" w14:textId="77777777" w:rsidR="00727391" w:rsidRPr="00727391" w:rsidRDefault="00727391" w:rsidP="00E67D9F">
            <w:pPr>
              <w:pStyle w:val="TAC"/>
              <w:rPr>
                <w:rFonts w:ascii="Times New Roman" w:hAnsi="Times New Roman"/>
                <w:i/>
              </w:rPr>
            </w:pPr>
            <w:r w:rsidRPr="00727391">
              <w:rPr>
                <w:rFonts w:ascii="Times New Roman" w:hAnsi="Times New Roman"/>
                <w:i/>
              </w:rPr>
              <w:t>100</w:t>
            </w:r>
          </w:p>
        </w:tc>
      </w:tr>
    </w:tbl>
    <w:p w14:paraId="4CDD96DD" w14:textId="2D69E3D4" w:rsidR="00727391" w:rsidRDefault="00727391" w:rsidP="005F2427">
      <w:pPr>
        <w:rPr>
          <w:lang w:eastAsia="en-US"/>
        </w:rPr>
      </w:pPr>
    </w:p>
    <w:p w14:paraId="525610FC" w14:textId="61BAD91E" w:rsidR="00727391" w:rsidRDefault="00727391" w:rsidP="005F2427">
      <w:pPr>
        <w:rPr>
          <w:lang w:eastAsia="en-US"/>
        </w:rPr>
      </w:pPr>
      <w:r>
        <w:rPr>
          <w:lang w:eastAsia="en-US"/>
        </w:rPr>
        <w:t xml:space="preserve">RAN5 then has derived a test case for these requirements </w:t>
      </w:r>
      <w:r w:rsidR="00232282">
        <w:rPr>
          <w:lang w:eastAsia="en-US"/>
        </w:rPr>
        <w:t xml:space="preserve">and specified a test procedure in clause 6.5.1 of 38.521-1 [2] </w:t>
      </w:r>
      <w:r>
        <w:rPr>
          <w:lang w:eastAsia="en-US"/>
        </w:rPr>
        <w:t>as follows:</w:t>
      </w:r>
    </w:p>
    <w:p w14:paraId="4AFC3657" w14:textId="69EBD6B3" w:rsidR="00727391" w:rsidRPr="00727391" w:rsidRDefault="003D3700" w:rsidP="00727391">
      <w:pPr>
        <w:pStyle w:val="B1"/>
        <w:rPr>
          <w:i/>
          <w:sz w:val="22"/>
          <w:szCs w:val="22"/>
        </w:rPr>
      </w:pPr>
      <w:r>
        <w:rPr>
          <w:i/>
          <w:sz w:val="22"/>
          <w:szCs w:val="22"/>
        </w:rPr>
        <w:t>2.</w:t>
      </w:r>
      <w:r>
        <w:rPr>
          <w:i/>
          <w:sz w:val="22"/>
          <w:szCs w:val="22"/>
        </w:rPr>
        <w:tab/>
      </w:r>
      <w:r w:rsidR="00727391" w:rsidRPr="00727391">
        <w:rPr>
          <w:i/>
          <w:sz w:val="22"/>
          <w:szCs w:val="22"/>
        </w:rPr>
        <w:t>Send continuously power control “up” commands to the UE until the UE transmits at PUMAX level. Allow at least 200ms for the UE to reach PUMAX level</w:t>
      </w:r>
      <w:r w:rsidR="00727391" w:rsidRPr="00727391">
        <w:rPr>
          <w:rFonts w:hint="eastAsia"/>
          <w:i/>
          <w:sz w:val="22"/>
          <w:szCs w:val="22"/>
        </w:rPr>
        <w:t>.</w:t>
      </w:r>
    </w:p>
    <w:p w14:paraId="48BD80EB" w14:textId="77777777" w:rsidR="00727391" w:rsidRPr="00727391" w:rsidRDefault="00727391" w:rsidP="00727391">
      <w:pPr>
        <w:pStyle w:val="B1"/>
        <w:rPr>
          <w:i/>
          <w:sz w:val="22"/>
          <w:szCs w:val="22"/>
        </w:rPr>
      </w:pPr>
      <w:r w:rsidRPr="00727391">
        <w:rPr>
          <w:rFonts w:hint="eastAsia"/>
          <w:i/>
          <w:sz w:val="22"/>
          <w:szCs w:val="22"/>
        </w:rPr>
        <w:t>3.</w:t>
      </w:r>
      <w:r w:rsidRPr="00727391">
        <w:rPr>
          <w:rFonts w:hint="eastAsia"/>
          <w:i/>
          <w:sz w:val="22"/>
          <w:szCs w:val="22"/>
        </w:rPr>
        <w:tab/>
      </w:r>
      <w:r w:rsidRPr="00727391">
        <w:rPr>
          <w:i/>
          <w:sz w:val="22"/>
          <w:szCs w:val="22"/>
        </w:rPr>
        <w:t xml:space="preserve">Measure the power spectrum distribution within two times or more range over the requirement for Occupied </w:t>
      </w:r>
      <w:proofErr w:type="spellStart"/>
      <w:r w:rsidRPr="00727391">
        <w:rPr>
          <w:i/>
          <w:sz w:val="22"/>
          <w:szCs w:val="22"/>
        </w:rPr>
        <w:t>Bandwith</w:t>
      </w:r>
      <w:proofErr w:type="spellEnd"/>
      <w:r w:rsidRPr="00727391">
        <w:rPr>
          <w:i/>
          <w:sz w:val="22"/>
          <w:szCs w:val="22"/>
        </w:rPr>
        <w:t xml:space="preserve"> specification centring on the current carrier frequency. The characteristics of the filter shall be approximately </w:t>
      </w:r>
      <w:proofErr w:type="spellStart"/>
      <w:r w:rsidRPr="00727391">
        <w:rPr>
          <w:i/>
          <w:sz w:val="22"/>
          <w:szCs w:val="22"/>
        </w:rPr>
        <w:t>gaussina</w:t>
      </w:r>
      <w:proofErr w:type="spellEnd"/>
      <w:r w:rsidRPr="00727391">
        <w:rPr>
          <w:i/>
          <w:sz w:val="22"/>
          <w:szCs w:val="22"/>
        </w:rPr>
        <w:t xml:space="preserve"> (typical spectrum analyser filter). Other methods to measure the power spectrum distribution are allowed. The measuring duration is one active uplink </w:t>
      </w:r>
      <w:proofErr w:type="spellStart"/>
      <w:r w:rsidRPr="00727391">
        <w:rPr>
          <w:i/>
          <w:sz w:val="22"/>
          <w:szCs w:val="22"/>
        </w:rPr>
        <w:t>subframe</w:t>
      </w:r>
      <w:proofErr w:type="spellEnd"/>
      <w:r w:rsidRPr="00727391">
        <w:rPr>
          <w:i/>
          <w:sz w:val="22"/>
          <w:szCs w:val="22"/>
        </w:rPr>
        <w:t>.</w:t>
      </w:r>
    </w:p>
    <w:p w14:paraId="2907A4FE" w14:textId="77777777" w:rsidR="00727391" w:rsidRPr="00727391" w:rsidRDefault="00727391" w:rsidP="00727391">
      <w:pPr>
        <w:pStyle w:val="B1"/>
        <w:rPr>
          <w:i/>
          <w:sz w:val="22"/>
          <w:szCs w:val="22"/>
        </w:rPr>
      </w:pPr>
      <w:r w:rsidRPr="00727391">
        <w:rPr>
          <w:rFonts w:hint="eastAsia"/>
          <w:i/>
          <w:sz w:val="22"/>
          <w:szCs w:val="22"/>
        </w:rPr>
        <w:t>4.</w:t>
      </w:r>
      <w:r w:rsidRPr="00727391">
        <w:rPr>
          <w:rFonts w:hint="eastAsia"/>
          <w:i/>
          <w:sz w:val="22"/>
          <w:szCs w:val="22"/>
        </w:rPr>
        <w:tab/>
      </w:r>
      <w:r w:rsidRPr="00727391">
        <w:rPr>
          <w:i/>
          <w:sz w:val="22"/>
          <w:szCs w:val="22"/>
        </w:rPr>
        <w:t>Calculate the total power within the range of all frequencies measured in step 3 and save this value as “Total power”.</w:t>
      </w:r>
    </w:p>
    <w:p w14:paraId="25517426" w14:textId="77777777" w:rsidR="00727391" w:rsidRPr="00727391" w:rsidRDefault="00727391" w:rsidP="00727391">
      <w:pPr>
        <w:pStyle w:val="B1"/>
        <w:rPr>
          <w:i/>
          <w:sz w:val="22"/>
          <w:szCs w:val="22"/>
        </w:rPr>
      </w:pPr>
      <w:r w:rsidRPr="00727391">
        <w:rPr>
          <w:rFonts w:hint="eastAsia"/>
          <w:i/>
          <w:sz w:val="22"/>
          <w:szCs w:val="22"/>
        </w:rPr>
        <w:lastRenderedPageBreak/>
        <w:t>5.</w:t>
      </w:r>
      <w:r w:rsidRPr="00727391">
        <w:rPr>
          <w:rFonts w:hint="eastAsia"/>
          <w:i/>
          <w:sz w:val="22"/>
          <w:szCs w:val="22"/>
        </w:rPr>
        <w:tab/>
      </w:r>
      <w:r w:rsidRPr="00727391">
        <w:rPr>
          <w:i/>
          <w:sz w:val="22"/>
          <w:szCs w:val="22"/>
        </w:rPr>
        <w:t>Sum up the power upward from the lower boundary of the measured frequency range in step 3 and seek the limit frequency point by which this sum becomes 0.5% of “Total power” and save this point as “Lower Frequency”.</w:t>
      </w:r>
    </w:p>
    <w:p w14:paraId="40E1A168" w14:textId="77777777" w:rsidR="00727391" w:rsidRPr="00727391" w:rsidRDefault="00727391" w:rsidP="00727391">
      <w:pPr>
        <w:pStyle w:val="B1"/>
        <w:rPr>
          <w:i/>
          <w:sz w:val="22"/>
          <w:szCs w:val="22"/>
        </w:rPr>
      </w:pPr>
      <w:r w:rsidRPr="00727391">
        <w:rPr>
          <w:rFonts w:hint="eastAsia"/>
          <w:i/>
          <w:sz w:val="22"/>
          <w:szCs w:val="22"/>
        </w:rPr>
        <w:t>6.</w:t>
      </w:r>
      <w:r w:rsidRPr="00727391">
        <w:rPr>
          <w:rFonts w:hint="eastAsia"/>
          <w:i/>
          <w:sz w:val="22"/>
          <w:szCs w:val="22"/>
        </w:rPr>
        <w:tab/>
      </w:r>
      <w:r w:rsidRPr="00727391">
        <w:rPr>
          <w:i/>
          <w:sz w:val="22"/>
          <w:szCs w:val="22"/>
        </w:rPr>
        <w:t>Sum up the power downward from the upper boundary of the measured frequency range in step 3 and seek the limit frequency point by which this sum becomes 0.5% of “Total power” and save this point as “Upper Frequency”.</w:t>
      </w:r>
    </w:p>
    <w:p w14:paraId="2AF9F730" w14:textId="77777777" w:rsidR="00727391" w:rsidRPr="00727391" w:rsidRDefault="00727391" w:rsidP="00727391">
      <w:pPr>
        <w:pStyle w:val="B1"/>
        <w:rPr>
          <w:i/>
          <w:sz w:val="22"/>
          <w:szCs w:val="22"/>
        </w:rPr>
      </w:pPr>
      <w:r w:rsidRPr="00727391">
        <w:rPr>
          <w:rFonts w:hint="eastAsia"/>
          <w:i/>
          <w:sz w:val="22"/>
          <w:szCs w:val="22"/>
        </w:rPr>
        <w:t>7.</w:t>
      </w:r>
      <w:r w:rsidRPr="00727391">
        <w:rPr>
          <w:rFonts w:hint="eastAsia"/>
          <w:i/>
          <w:sz w:val="22"/>
          <w:szCs w:val="22"/>
        </w:rPr>
        <w:tab/>
      </w:r>
      <w:r w:rsidRPr="00727391">
        <w:rPr>
          <w:i/>
          <w:sz w:val="22"/>
          <w:szCs w:val="22"/>
        </w:rPr>
        <w:t>Calculate the difference “Upper Frequency” – “Lower Frequency” = “Occupied Bandwidth” between the two limit frequencies obtained in step 5 and step 6.</w:t>
      </w:r>
    </w:p>
    <w:p w14:paraId="30F14B8C" w14:textId="61BD703F" w:rsidR="00727391" w:rsidRPr="00727391" w:rsidRDefault="00727391" w:rsidP="005F2427">
      <w:pPr>
        <w:rPr>
          <w:lang w:val="en-GB" w:eastAsia="en-US"/>
        </w:rPr>
      </w:pPr>
      <w:r>
        <w:rPr>
          <w:lang w:val="en-GB" w:eastAsia="en-US"/>
        </w:rPr>
        <w:t xml:space="preserve">Both the requirement definition and the TC procedure </w:t>
      </w:r>
      <w:r w:rsidR="003D3700">
        <w:rPr>
          <w:lang w:val="en-GB" w:eastAsia="en-US"/>
        </w:rPr>
        <w:t>follow the LTE specification up until now, but this might be problematic fo</w:t>
      </w:r>
      <w:r w:rsidR="00232282">
        <w:rPr>
          <w:lang w:val="en-GB" w:eastAsia="en-US"/>
        </w:rPr>
        <w:t xml:space="preserve">r higher bandwidths than 20 </w:t>
      </w:r>
      <w:proofErr w:type="spellStart"/>
      <w:r w:rsidR="00232282">
        <w:rPr>
          <w:lang w:val="en-GB" w:eastAsia="en-US"/>
        </w:rPr>
        <w:t>MHz.</w:t>
      </w:r>
      <w:proofErr w:type="spellEnd"/>
    </w:p>
    <w:p w14:paraId="484AD1C8" w14:textId="46BAB1B7" w:rsidR="005F2427" w:rsidRPr="005F2427" w:rsidRDefault="005F2427" w:rsidP="005F2427">
      <w:pPr>
        <w:pStyle w:val="berschrift2"/>
        <w:rPr>
          <w:lang w:val="en-US"/>
        </w:rPr>
      </w:pPr>
      <w:r>
        <w:rPr>
          <w:lang w:val="en-US"/>
        </w:rPr>
        <w:t xml:space="preserve"> Simulation results</w:t>
      </w:r>
    </w:p>
    <w:p w14:paraId="78C3A599" w14:textId="4A6CD51F" w:rsidR="0055408F" w:rsidRDefault="0055408F" w:rsidP="0055408F">
      <w:pPr>
        <w:rPr>
          <w:lang w:eastAsia="en-US"/>
        </w:rPr>
      </w:pPr>
      <w:r>
        <w:rPr>
          <w:lang w:eastAsia="en-US"/>
        </w:rPr>
        <w:t xml:space="preserve">In our analysis we assumed a UE that provides 23 </w:t>
      </w:r>
      <w:proofErr w:type="spellStart"/>
      <w:r>
        <w:rPr>
          <w:lang w:eastAsia="en-US"/>
        </w:rPr>
        <w:t>dBm</w:t>
      </w:r>
      <w:proofErr w:type="spellEnd"/>
      <w:r>
        <w:rPr>
          <w:lang w:eastAsia="en-US"/>
        </w:rPr>
        <w:t xml:space="preserve"> output power inside the channel bandwidth with a constant PSD. For the out-of-band emission the assumption was made that the UE fulfills the SEM for each bandwidth, so those limits were taken to simulate the UEs emissions in the worst case. Those values were then used in </w:t>
      </w:r>
      <w:proofErr w:type="spellStart"/>
      <w:r>
        <w:rPr>
          <w:lang w:eastAsia="en-US"/>
        </w:rPr>
        <w:t>Matlab</w:t>
      </w:r>
      <w:proofErr w:type="spellEnd"/>
      <w:r>
        <w:rPr>
          <w:lang w:eastAsia="en-US"/>
        </w:rPr>
        <w:t xml:space="preserve"> and the RAN5 test procedure was applied to measure the </w:t>
      </w:r>
      <w:proofErr w:type="gramStart"/>
      <w:r>
        <w:rPr>
          <w:lang w:eastAsia="en-US"/>
        </w:rPr>
        <w:t>Occupied</w:t>
      </w:r>
      <w:proofErr w:type="gramEnd"/>
      <w:r>
        <w:rPr>
          <w:lang w:eastAsia="en-US"/>
        </w:rPr>
        <w:t xml:space="preserve"> bandwidth in multiple cases.</w:t>
      </w:r>
    </w:p>
    <w:p w14:paraId="4C38CFFE" w14:textId="3DA4A454" w:rsidR="0055408F" w:rsidRPr="0055408F" w:rsidRDefault="0055408F" w:rsidP="0055408F">
      <w:pPr>
        <w:rPr>
          <w:lang w:eastAsia="en-US"/>
        </w:rPr>
      </w:pPr>
      <w:r>
        <w:rPr>
          <w:lang w:eastAsia="en-US"/>
        </w:rPr>
        <w:t>As can be seen from figure 1, for a 20 MHz signal as was the worst case for LTE the requirements and the test procedure work quite well resulting i</w:t>
      </w:r>
      <w:r w:rsidR="005F2427">
        <w:rPr>
          <w:lang w:eastAsia="en-US"/>
        </w:rPr>
        <w:t>n a theoretical OBW of 19.8 MHz, fitting the requirement of 20 MHz OBW</w:t>
      </w:r>
      <w:r w:rsidR="00792F7D">
        <w:rPr>
          <w:lang w:eastAsia="en-US"/>
        </w:rPr>
        <w:t>.</w:t>
      </w:r>
    </w:p>
    <w:p w14:paraId="443C12B4" w14:textId="17C14B4E" w:rsidR="0055408F" w:rsidRPr="006B790A" w:rsidRDefault="001E4D92" w:rsidP="0055408F">
      <w:pPr>
        <w:keepNext/>
      </w:pPr>
      <w:r>
        <w:rPr>
          <w:noProof/>
          <w:lang w:val="de-DE" w:eastAsia="de-DE"/>
        </w:rPr>
        <w:pict w14:anchorId="50F5D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297.2pt">
            <v:imagedata r:id="rId8" o:title="OBW_LTE_20MHz"/>
          </v:shape>
        </w:pict>
      </w:r>
    </w:p>
    <w:p w14:paraId="41777E28" w14:textId="4A36C5CF" w:rsidR="0055408F" w:rsidRDefault="0055408F" w:rsidP="0055408F">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r>
        <w:t xml:space="preserve"> Occupied Channel Bandwidth for 20 MHz</w:t>
      </w:r>
    </w:p>
    <w:p w14:paraId="324F78E2" w14:textId="261EAF43" w:rsidR="0055408F" w:rsidRPr="0055408F" w:rsidRDefault="005F2427" w:rsidP="0055408F">
      <w:pPr>
        <w:rPr>
          <w:lang w:eastAsia="en-US"/>
        </w:rPr>
      </w:pPr>
      <w:r>
        <w:rPr>
          <w:lang w:eastAsia="en-US"/>
        </w:rPr>
        <w:lastRenderedPageBreak/>
        <w:t>For 5G FR1</w:t>
      </w:r>
      <w:r w:rsidR="00792F7D">
        <w:rPr>
          <w:lang w:eastAsia="en-US"/>
        </w:rPr>
        <w:t>,</w:t>
      </w:r>
      <w:r>
        <w:rPr>
          <w:lang w:eastAsia="en-US"/>
        </w:rPr>
        <w:t xml:space="preserve"> however</w:t>
      </w:r>
      <w:r w:rsidR="00792F7D">
        <w:rPr>
          <w:lang w:eastAsia="en-US"/>
        </w:rPr>
        <w:t>,</w:t>
      </w:r>
      <w:r>
        <w:rPr>
          <w:lang w:eastAsia="en-US"/>
        </w:rPr>
        <w:t xml:space="preserve"> the maximum bandwidth increases to 100 </w:t>
      </w:r>
      <w:proofErr w:type="spellStart"/>
      <w:r>
        <w:rPr>
          <w:lang w:eastAsia="en-US"/>
        </w:rPr>
        <w:t>MHz</w:t>
      </w:r>
      <w:r w:rsidR="00792F7D">
        <w:rPr>
          <w:lang w:eastAsia="en-US"/>
        </w:rPr>
        <w:t>.</w:t>
      </w:r>
      <w:proofErr w:type="spellEnd"/>
      <w:r>
        <w:rPr>
          <w:lang w:eastAsia="en-US"/>
        </w:rPr>
        <w:t xml:space="preserve"> </w:t>
      </w:r>
      <w:r w:rsidR="00792F7D">
        <w:rPr>
          <w:lang w:eastAsia="en-US"/>
        </w:rPr>
        <w:t>A</w:t>
      </w:r>
      <w:r>
        <w:rPr>
          <w:lang w:eastAsia="en-US"/>
        </w:rPr>
        <w:t>pplying the same assumptions and test procedure results in a</w:t>
      </w:r>
      <w:r w:rsidR="00792F7D">
        <w:rPr>
          <w:lang w:eastAsia="en-US"/>
        </w:rPr>
        <w:t>n</w:t>
      </w:r>
      <w:r>
        <w:rPr>
          <w:lang w:eastAsia="en-US"/>
        </w:rPr>
        <w:t xml:space="preserve"> </w:t>
      </w:r>
      <w:r w:rsidR="00792F7D">
        <w:rPr>
          <w:lang w:eastAsia="en-US"/>
        </w:rPr>
        <w:t xml:space="preserve">OBW </w:t>
      </w:r>
      <w:r>
        <w:rPr>
          <w:lang w:eastAsia="en-US"/>
        </w:rPr>
        <w:t xml:space="preserve">of 159.2 </w:t>
      </w:r>
      <w:proofErr w:type="spellStart"/>
      <w:r>
        <w:rPr>
          <w:lang w:eastAsia="en-US"/>
        </w:rPr>
        <w:t>MHz.</w:t>
      </w:r>
      <w:proofErr w:type="spellEnd"/>
      <w:r>
        <w:rPr>
          <w:lang w:eastAsia="en-US"/>
        </w:rPr>
        <w:t xml:space="preserve"> This vastly exceeds the requirement of 100 MHz OBW, even though this simulated device would pass requirements like output power and SEM.</w:t>
      </w:r>
      <w:r w:rsidR="007757B3">
        <w:rPr>
          <w:lang w:eastAsia="en-US"/>
        </w:rPr>
        <w:t xml:space="preserve"> The simulation results are shown in figure 2 below.</w:t>
      </w:r>
    </w:p>
    <w:p w14:paraId="7EBADC53" w14:textId="0C9A1418" w:rsidR="0055408F" w:rsidRDefault="006B790A" w:rsidP="0055408F">
      <w:pPr>
        <w:keepNext/>
      </w:pPr>
      <w:r w:rsidRPr="006B790A">
        <w:rPr>
          <w:noProof/>
          <w:lang w:val="de-DE" w:eastAsia="de-DE"/>
        </w:rPr>
        <w:drawing>
          <wp:inline distT="0" distB="0" distL="0" distR="0" wp14:anchorId="6EB0700D" wp14:editId="03D8C68F">
            <wp:extent cx="5943600" cy="3792406"/>
            <wp:effectExtent l="0" t="0" r="0" b="0"/>
            <wp:docPr id="1" name="Grafik 1" descr="C:\Users\petrov_n\Desktop\Matlab Occupied Bandwidth\OBW_5G_100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etrov_n\Desktop\Matlab Occupied Bandwidth\OBW_5G_100MHz.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792406"/>
                    </a:xfrm>
                    <a:prstGeom prst="rect">
                      <a:avLst/>
                    </a:prstGeom>
                    <a:noFill/>
                    <a:ln>
                      <a:noFill/>
                    </a:ln>
                  </pic:spPr>
                </pic:pic>
              </a:graphicData>
            </a:graphic>
          </wp:inline>
        </w:drawing>
      </w:r>
    </w:p>
    <w:p w14:paraId="39B341D0" w14:textId="33CACD1E" w:rsidR="0055408F" w:rsidRDefault="0055408F" w:rsidP="0055408F">
      <w:pPr>
        <w:pStyle w:val="Beschriftung"/>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5C5873">
        <w:t>O</w:t>
      </w:r>
      <w:r>
        <w:t>ccupied Channel Bandwidth for 100</w:t>
      </w:r>
      <w:r w:rsidRPr="005C5873">
        <w:t xml:space="preserve"> MHz</w:t>
      </w:r>
    </w:p>
    <w:p w14:paraId="062BB93D" w14:textId="785338FF" w:rsidR="00922FD9" w:rsidRPr="00922FD9" w:rsidRDefault="00922FD9" w:rsidP="00922FD9">
      <w:pPr>
        <w:rPr>
          <w:b/>
          <w:lang w:eastAsia="en-US"/>
        </w:rPr>
      </w:pPr>
      <w:r w:rsidRPr="00922FD9">
        <w:rPr>
          <w:b/>
          <w:lang w:eastAsia="en-US"/>
        </w:rPr>
        <w:t>Observation 1:</w:t>
      </w:r>
      <w:r>
        <w:rPr>
          <w:b/>
          <w:lang w:eastAsia="en-US"/>
        </w:rPr>
        <w:t xml:space="preserve"> A 5G UE that passes output power and SEM tests may unfairly fail the occupied bandwidth test.</w:t>
      </w:r>
    </w:p>
    <w:p w14:paraId="26E2910A" w14:textId="27156A9B" w:rsidR="005F2427" w:rsidRDefault="005F2427" w:rsidP="005F2427">
      <w:pPr>
        <w:rPr>
          <w:lang w:eastAsia="en-US"/>
        </w:rPr>
      </w:pPr>
      <w:r>
        <w:rPr>
          <w:lang w:eastAsia="en-US"/>
        </w:rPr>
        <w:t>The main reason for this behavior seems to come from the test procedure where it is currently measured from the outside towards the channel and stopped on each side when 0.5% of the total power is reached. This value largely depends on the bandwidth over which the OBW is measured.</w:t>
      </w:r>
      <w:r w:rsidR="00922FD9">
        <w:rPr>
          <w:lang w:eastAsia="en-US"/>
        </w:rPr>
        <w:t xml:space="preserve"> Since in RAN5 this is currently defined as at least twice the channel bandwidth this will lead to large errors when increasing the channel bandwidth.</w:t>
      </w:r>
    </w:p>
    <w:p w14:paraId="7BA784E9" w14:textId="041B5A35" w:rsidR="00922FD9" w:rsidRDefault="00922FD9" w:rsidP="005F2427">
      <w:pPr>
        <w:rPr>
          <w:b/>
          <w:lang w:eastAsia="en-US"/>
        </w:rPr>
      </w:pPr>
      <w:r w:rsidRPr="00922FD9">
        <w:rPr>
          <w:b/>
          <w:lang w:eastAsia="en-US"/>
        </w:rPr>
        <w:t xml:space="preserve">Observation </w:t>
      </w:r>
      <w:r>
        <w:rPr>
          <w:b/>
          <w:lang w:eastAsia="en-US"/>
        </w:rPr>
        <w:t>2</w:t>
      </w:r>
      <w:r w:rsidRPr="00922FD9">
        <w:rPr>
          <w:b/>
          <w:lang w:eastAsia="en-US"/>
        </w:rPr>
        <w:t>:</w:t>
      </w:r>
      <w:r>
        <w:rPr>
          <w:b/>
          <w:lang w:eastAsia="en-US"/>
        </w:rPr>
        <w:t xml:space="preserve"> The failure of </w:t>
      </w:r>
      <w:r w:rsidR="0004192C">
        <w:rPr>
          <w:b/>
          <w:lang w:eastAsia="en-US"/>
        </w:rPr>
        <w:t>OBW for</w:t>
      </w:r>
      <w:r>
        <w:rPr>
          <w:b/>
          <w:lang w:eastAsia="en-US"/>
        </w:rPr>
        <w:t xml:space="preserve"> 5G seems to be largely related to the measured frequency range.</w:t>
      </w:r>
    </w:p>
    <w:p w14:paraId="75FB4271" w14:textId="68B24323" w:rsidR="00607E76" w:rsidRPr="00607E76" w:rsidRDefault="00607E76" w:rsidP="005F2427">
      <w:pPr>
        <w:rPr>
          <w:lang w:eastAsia="en-US"/>
        </w:rPr>
      </w:pPr>
      <w:r>
        <w:rPr>
          <w:lang w:eastAsia="en-US"/>
        </w:rPr>
        <w:t>For UEs having much lower emissions in the SEM region the effect will be smaller or the occupied bandwidth may even match the requirements. This will depend on the performance of the individual UE.</w:t>
      </w:r>
    </w:p>
    <w:p w14:paraId="1BD19F75" w14:textId="7BB137F2" w:rsidR="005F2427" w:rsidRPr="005F2427" w:rsidRDefault="00232282" w:rsidP="005F2427">
      <w:pPr>
        <w:pStyle w:val="berschrift2"/>
        <w:rPr>
          <w:lang w:val="en-US"/>
        </w:rPr>
      </w:pPr>
      <w:r>
        <w:rPr>
          <w:lang w:val="en-US"/>
        </w:rPr>
        <w:lastRenderedPageBreak/>
        <w:t xml:space="preserve"> </w:t>
      </w:r>
      <w:r w:rsidR="005F2427">
        <w:rPr>
          <w:lang w:val="en-US"/>
        </w:rPr>
        <w:t>Open questions</w:t>
      </w:r>
    </w:p>
    <w:p w14:paraId="19B193E6" w14:textId="5C32907E" w:rsidR="005F2427" w:rsidRDefault="005F2427" w:rsidP="005F2427">
      <w:pPr>
        <w:rPr>
          <w:lang w:eastAsia="en-US"/>
        </w:rPr>
      </w:pPr>
      <w:r>
        <w:rPr>
          <w:lang w:eastAsia="en-US"/>
        </w:rPr>
        <w:t>From this issue se</w:t>
      </w:r>
      <w:r w:rsidR="00727391">
        <w:rPr>
          <w:lang w:eastAsia="en-US"/>
        </w:rPr>
        <w:t>veral points with regards to the requir</w:t>
      </w:r>
      <w:r w:rsidR="003D3700">
        <w:rPr>
          <w:lang w:eastAsia="en-US"/>
        </w:rPr>
        <w:t>e</w:t>
      </w:r>
      <w:r w:rsidR="00727391">
        <w:rPr>
          <w:lang w:eastAsia="en-US"/>
        </w:rPr>
        <w:t>ments and subsequently how to measure these requirements need to be discussed.</w:t>
      </w:r>
    </w:p>
    <w:p w14:paraId="31B1B10F" w14:textId="77777777" w:rsidR="00922FD9" w:rsidRDefault="00922FD9" w:rsidP="005F2427">
      <w:pPr>
        <w:rPr>
          <w:lang w:eastAsia="en-US"/>
        </w:rPr>
      </w:pPr>
      <w:r>
        <w:rPr>
          <w:lang w:eastAsia="en-US"/>
        </w:rPr>
        <w:t>The requirements currently states:</w:t>
      </w:r>
    </w:p>
    <w:p w14:paraId="502405C1" w14:textId="76D8DFC7" w:rsidR="00922FD9" w:rsidRDefault="00922FD9" w:rsidP="005F2427">
      <w:pPr>
        <w:rPr>
          <w:rFonts w:ascii="Times New Roman" w:hAnsi="Times New Roman" w:cs="Times New Roman"/>
        </w:rPr>
      </w:pPr>
      <w:r>
        <w:rPr>
          <w:lang w:eastAsia="en-US"/>
        </w:rPr>
        <w:t xml:space="preserve"> </w:t>
      </w:r>
      <w:proofErr w:type="gramStart"/>
      <w:r>
        <w:rPr>
          <w:lang w:eastAsia="en-US"/>
        </w:rPr>
        <w:t xml:space="preserve">“ </w:t>
      </w:r>
      <w:r w:rsidRPr="00727391">
        <w:rPr>
          <w:rFonts w:ascii="Times New Roman" w:hAnsi="Times New Roman" w:cs="Times New Roman"/>
          <w:i/>
        </w:rPr>
        <w:t>Occupied</w:t>
      </w:r>
      <w:proofErr w:type="gramEnd"/>
      <w:r w:rsidRPr="00727391">
        <w:rPr>
          <w:rFonts w:ascii="Times New Roman" w:hAnsi="Times New Roman" w:cs="Times New Roman"/>
          <w:i/>
        </w:rPr>
        <w:t xml:space="preserve"> bandwidth is defined as the bandwidth containing 99 % of the total integrated mean power of the transmitted spectrum on the assigned channel</w:t>
      </w:r>
      <w:r>
        <w:rPr>
          <w:rFonts w:ascii="Times New Roman" w:hAnsi="Times New Roman" w:cs="Times New Roman"/>
          <w:i/>
        </w:rPr>
        <w:t>”.</w:t>
      </w:r>
    </w:p>
    <w:p w14:paraId="790DC9A7" w14:textId="1F120A21" w:rsidR="00922FD9" w:rsidRDefault="00922FD9" w:rsidP="005F2427">
      <w:r>
        <w:t>It seems it is not clear what is meant by “transmitted spectrum on the assigned channel”. From the test procedure it seems RAN5 is interpreting this in a way that there is a need to measure a certain frequency range outside the channel bandwidth to conclude that 99% of the power is inside the channel.</w:t>
      </w:r>
    </w:p>
    <w:p w14:paraId="121B68F6" w14:textId="7698CB7C" w:rsidR="00922FD9" w:rsidRDefault="00922FD9" w:rsidP="005F2427">
      <w:r>
        <w:t>As shown above the pass/fail decision on the TC will then largely depend on what is seen as this “transmitted spectrum”.</w:t>
      </w:r>
    </w:p>
    <w:p w14:paraId="5EC33ED1" w14:textId="21635DE6" w:rsidR="00922FD9" w:rsidRDefault="00922FD9" w:rsidP="005F2427">
      <w:pPr>
        <w:rPr>
          <w:b/>
        </w:rPr>
      </w:pPr>
      <w:r w:rsidRPr="00922FD9">
        <w:rPr>
          <w:b/>
        </w:rPr>
        <w:t>Observation</w:t>
      </w:r>
      <w:r>
        <w:rPr>
          <w:b/>
        </w:rPr>
        <w:t xml:space="preserve"> 3</w:t>
      </w:r>
      <w:r w:rsidRPr="00922FD9">
        <w:rPr>
          <w:b/>
        </w:rPr>
        <w:t>:</w:t>
      </w:r>
      <w:r>
        <w:rPr>
          <w:b/>
        </w:rPr>
        <w:t xml:space="preserve"> From the TC definition it seems to be unclear</w:t>
      </w:r>
      <w:r w:rsidR="00232282">
        <w:rPr>
          <w:b/>
        </w:rPr>
        <w:t>,</w:t>
      </w:r>
      <w:r>
        <w:rPr>
          <w:b/>
        </w:rPr>
        <w:t xml:space="preserve"> what is the correct interpretation of the UE </w:t>
      </w:r>
      <w:proofErr w:type="gramStart"/>
      <w:r>
        <w:rPr>
          <w:b/>
        </w:rPr>
        <w:t>requirement.</w:t>
      </w:r>
      <w:proofErr w:type="gramEnd"/>
    </w:p>
    <w:p w14:paraId="6C4BBBCF" w14:textId="45185C2E" w:rsidR="00922FD9" w:rsidRDefault="00922FD9" w:rsidP="005F2427">
      <w:r w:rsidRPr="00922FD9">
        <w:t>Therefor</w:t>
      </w:r>
      <w:r w:rsidR="0004192C">
        <w:t>e</w:t>
      </w:r>
      <w:r w:rsidRPr="00922FD9">
        <w:t xml:space="preserve"> </w:t>
      </w:r>
      <w:r>
        <w:t>the requirement should be clarified</w:t>
      </w:r>
      <w:r w:rsidR="00607E76">
        <w:t xml:space="preserve"> whether this effect is intended that a conformant UE with regards to the SEM fails the occupied bandwidth test. If no, the OBW requirement needs to</w:t>
      </w:r>
      <w:r>
        <w:t xml:space="preserve"> be defined more precisely with regard</w:t>
      </w:r>
      <w:r w:rsidR="0004192C">
        <w:t>s</w:t>
      </w:r>
      <w:r>
        <w:t xml:space="preserve"> to the frequency range that needs to be taken into account when testing the occupied bandwidth requirement.</w:t>
      </w:r>
    </w:p>
    <w:bookmarkEnd w:id="1"/>
    <w:bookmarkEnd w:id="2"/>
    <w:p w14:paraId="263C6B8D" w14:textId="1B23C3CF" w:rsidR="00232282" w:rsidRPr="00922FD9" w:rsidRDefault="00232282" w:rsidP="00232282">
      <w:pPr>
        <w:rPr>
          <w:b/>
          <w:lang w:eastAsia="en-US"/>
        </w:rPr>
      </w:pPr>
      <w:r w:rsidRPr="00922FD9">
        <w:rPr>
          <w:b/>
        </w:rPr>
        <w:t>Proposal:</w:t>
      </w:r>
      <w:r>
        <w:rPr>
          <w:b/>
        </w:rPr>
        <w:t xml:space="preserve"> RAN4 reviews the occupied bandwidth requirements and further clarifies the frequency ranges that need to be taken into account</w:t>
      </w:r>
      <w:r w:rsidR="00607E76">
        <w:rPr>
          <w:b/>
        </w:rPr>
        <w:t>.</w:t>
      </w:r>
    </w:p>
    <w:p w14:paraId="6A30F3C3" w14:textId="764048E1" w:rsidR="00EE0AC3" w:rsidRPr="00DE4417" w:rsidRDefault="00232282" w:rsidP="00EE0AC3">
      <w:pPr>
        <w:pStyle w:val="berschrift1"/>
        <w:rPr>
          <w:rFonts w:cs="Arial"/>
        </w:rPr>
      </w:pPr>
      <w:r>
        <w:rPr>
          <w:rFonts w:cs="Arial"/>
        </w:rPr>
        <w:t>Summary</w:t>
      </w:r>
    </w:p>
    <w:p w14:paraId="69851985" w14:textId="705FE70E" w:rsidR="00824BF1" w:rsidRDefault="00232282" w:rsidP="00232282">
      <w:pPr>
        <w:pStyle w:val="berschrift1"/>
        <w:numPr>
          <w:ilvl w:val="0"/>
          <w:numId w:val="0"/>
        </w:numPr>
        <w:rPr>
          <w:rFonts w:cs="Arial"/>
          <w:b w:val="0"/>
          <w:sz w:val="22"/>
          <w:szCs w:val="22"/>
        </w:rPr>
      </w:pPr>
      <w:bookmarkStart w:id="3" w:name="_Ref473660868"/>
      <w:bookmarkStart w:id="4" w:name="_Ref473660708"/>
      <w:bookmarkStart w:id="5" w:name="OLE_LINK6"/>
      <w:bookmarkStart w:id="6" w:name="OLE_LINK7"/>
      <w:r>
        <w:rPr>
          <w:rFonts w:cs="Arial"/>
          <w:b w:val="0"/>
          <w:sz w:val="22"/>
          <w:szCs w:val="22"/>
        </w:rPr>
        <w:t>In this paper we reviewed the occupied bandwidth requirement for UEs and come to the conclusion that a UE may unfairly fail the TC corresponding to the requirement. Therefor RAN4 should discuss whether the requirement needs to be redefined or further clarifications are needed.</w:t>
      </w:r>
    </w:p>
    <w:p w14:paraId="153CF776" w14:textId="77777777" w:rsidR="00232282" w:rsidRPr="00922FD9" w:rsidRDefault="00232282" w:rsidP="00232282">
      <w:pPr>
        <w:rPr>
          <w:b/>
          <w:lang w:eastAsia="en-US"/>
        </w:rPr>
      </w:pPr>
      <w:r w:rsidRPr="00922FD9">
        <w:rPr>
          <w:b/>
          <w:lang w:eastAsia="en-US"/>
        </w:rPr>
        <w:t>Observation 1:</w:t>
      </w:r>
      <w:r>
        <w:rPr>
          <w:b/>
          <w:lang w:eastAsia="en-US"/>
        </w:rPr>
        <w:t xml:space="preserve"> A 5G UE that passes output power and SEM tests may unfairly fail the occupied bandwidth test.</w:t>
      </w:r>
    </w:p>
    <w:p w14:paraId="225AC718" w14:textId="5D523E50" w:rsidR="00232282" w:rsidRPr="00922FD9" w:rsidRDefault="00232282" w:rsidP="00232282">
      <w:pPr>
        <w:rPr>
          <w:b/>
          <w:lang w:eastAsia="en-US"/>
        </w:rPr>
      </w:pPr>
      <w:r w:rsidRPr="00922FD9">
        <w:rPr>
          <w:b/>
          <w:lang w:eastAsia="en-US"/>
        </w:rPr>
        <w:t xml:space="preserve">Observation </w:t>
      </w:r>
      <w:r>
        <w:rPr>
          <w:b/>
          <w:lang w:eastAsia="en-US"/>
        </w:rPr>
        <w:t>2</w:t>
      </w:r>
      <w:r w:rsidRPr="00922FD9">
        <w:rPr>
          <w:b/>
          <w:lang w:eastAsia="en-US"/>
        </w:rPr>
        <w:t>:</w:t>
      </w:r>
      <w:r>
        <w:rPr>
          <w:b/>
          <w:lang w:eastAsia="en-US"/>
        </w:rPr>
        <w:t xml:space="preserve"> The failure of the</w:t>
      </w:r>
      <w:r w:rsidR="00F4577D">
        <w:rPr>
          <w:b/>
          <w:lang w:eastAsia="en-US"/>
        </w:rPr>
        <w:t xml:space="preserve"> OBW for</w:t>
      </w:r>
      <w:r>
        <w:rPr>
          <w:b/>
          <w:lang w:eastAsia="en-US"/>
        </w:rPr>
        <w:t xml:space="preserve"> 5G seems to be largely related to the measured </w:t>
      </w:r>
      <w:proofErr w:type="gramStart"/>
      <w:r>
        <w:rPr>
          <w:b/>
          <w:lang w:eastAsia="en-US"/>
        </w:rPr>
        <w:t>frequency</w:t>
      </w:r>
      <w:proofErr w:type="gramEnd"/>
      <w:r>
        <w:rPr>
          <w:b/>
          <w:lang w:eastAsia="en-US"/>
        </w:rPr>
        <w:t xml:space="preserve"> range.</w:t>
      </w:r>
    </w:p>
    <w:p w14:paraId="50559D70" w14:textId="77777777" w:rsidR="00232282" w:rsidRDefault="00232282" w:rsidP="00232282">
      <w:pPr>
        <w:rPr>
          <w:b/>
        </w:rPr>
      </w:pPr>
      <w:r w:rsidRPr="00922FD9">
        <w:rPr>
          <w:b/>
        </w:rPr>
        <w:t>Observation</w:t>
      </w:r>
      <w:r>
        <w:rPr>
          <w:b/>
        </w:rPr>
        <w:t xml:space="preserve"> 3</w:t>
      </w:r>
      <w:r w:rsidRPr="00922FD9">
        <w:rPr>
          <w:b/>
        </w:rPr>
        <w:t>:</w:t>
      </w:r>
      <w:r>
        <w:rPr>
          <w:b/>
        </w:rPr>
        <w:t xml:space="preserve"> From the TC definition it seems to be unclear, what is the correct interpretation of the UE </w:t>
      </w:r>
      <w:proofErr w:type="gramStart"/>
      <w:r>
        <w:rPr>
          <w:b/>
        </w:rPr>
        <w:t>requirement.</w:t>
      </w:r>
      <w:proofErr w:type="gramEnd"/>
    </w:p>
    <w:p w14:paraId="1BF0E911" w14:textId="2EC8EF71" w:rsidR="00824BF1" w:rsidRPr="00232282" w:rsidRDefault="00232282" w:rsidP="00824BF1">
      <w:pPr>
        <w:rPr>
          <w:b/>
          <w:lang w:eastAsia="en-US"/>
        </w:rPr>
      </w:pPr>
      <w:r w:rsidRPr="00922FD9">
        <w:rPr>
          <w:b/>
        </w:rPr>
        <w:t>Proposal:</w:t>
      </w:r>
      <w:r>
        <w:rPr>
          <w:b/>
        </w:rPr>
        <w:t xml:space="preserve"> RAN4 reviews the occupied bandwidth requirements and further clarifies the frequency ranges that need to be taken into account</w:t>
      </w:r>
      <w:r w:rsidR="00607E76">
        <w:rPr>
          <w:b/>
        </w:rPr>
        <w:t>.</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lastRenderedPageBreak/>
        <w:t>References</w:t>
      </w:r>
    </w:p>
    <w:bookmarkEnd w:id="3"/>
    <w:bookmarkEnd w:id="4"/>
    <w:bookmarkEnd w:id="5"/>
    <w:bookmarkEnd w:id="6"/>
    <w:p w14:paraId="296212CC" w14:textId="24B9B620" w:rsidR="00824BF1" w:rsidRPr="00257FD8" w:rsidRDefault="00232282" w:rsidP="00824BF1">
      <w:pPr>
        <w:pStyle w:val="Listenabsatz"/>
        <w:numPr>
          <w:ilvl w:val="0"/>
          <w:numId w:val="46"/>
        </w:numPr>
        <w:spacing w:after="0" w:line="240" w:lineRule="auto"/>
        <w:rPr>
          <w:lang w:val="en-GB"/>
        </w:rPr>
      </w:pPr>
      <w:r>
        <w:rPr>
          <w:lang w:val="en-GB"/>
        </w:rPr>
        <w:t>TS 38.101-1 v.15.2.0</w:t>
      </w:r>
    </w:p>
    <w:p w14:paraId="3F053A66" w14:textId="33885B22" w:rsidR="001B137F" w:rsidRPr="00257FD8" w:rsidRDefault="00232282" w:rsidP="00257FD8">
      <w:pPr>
        <w:pStyle w:val="Listenabsatz"/>
        <w:numPr>
          <w:ilvl w:val="0"/>
          <w:numId w:val="46"/>
        </w:numPr>
        <w:spacing w:after="0" w:line="240" w:lineRule="auto"/>
        <w:rPr>
          <w:lang w:val="en-GB"/>
        </w:rPr>
      </w:pPr>
      <w:r>
        <w:rPr>
          <w:lang w:val="en-GB"/>
        </w:rPr>
        <w:t>TS 38.521-1 v.0.5.1</w:t>
      </w:r>
    </w:p>
    <w:sectPr w:rsidR="001B137F" w:rsidRPr="00257FD8"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9D25E" w14:textId="77777777" w:rsidR="007D77D4" w:rsidRDefault="007D77D4" w:rsidP="00371D7D">
      <w:r>
        <w:separator/>
      </w:r>
    </w:p>
  </w:endnote>
  <w:endnote w:type="continuationSeparator" w:id="0">
    <w:p w14:paraId="7A924417" w14:textId="77777777" w:rsidR="007D77D4" w:rsidRDefault="007D77D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3B99FAD"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E4D92">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43C1E" w14:textId="77777777" w:rsidR="007D77D4" w:rsidRDefault="007D77D4" w:rsidP="00371D7D">
      <w:r>
        <w:separator/>
      </w:r>
    </w:p>
  </w:footnote>
  <w:footnote w:type="continuationSeparator" w:id="0">
    <w:p w14:paraId="2F96BE06" w14:textId="77777777" w:rsidR="007D77D4" w:rsidRDefault="007D77D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92C"/>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1773"/>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4D92"/>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2282"/>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08F"/>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427"/>
    <w:rsid w:val="005F2CC8"/>
    <w:rsid w:val="005F2E71"/>
    <w:rsid w:val="005F2EDB"/>
    <w:rsid w:val="005F37CF"/>
    <w:rsid w:val="0060326E"/>
    <w:rsid w:val="00606D88"/>
    <w:rsid w:val="00607A72"/>
    <w:rsid w:val="00607E76"/>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B790A"/>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391"/>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7B3"/>
    <w:rsid w:val="00776D6B"/>
    <w:rsid w:val="007827F7"/>
    <w:rsid w:val="007842C7"/>
    <w:rsid w:val="007927C1"/>
    <w:rsid w:val="00792F7D"/>
    <w:rsid w:val="00793486"/>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77D4"/>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2FD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332"/>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577D"/>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C63AC"/>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Standard"/>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B7D1-372B-4FF7-AEBB-1F810758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937</Words>
  <Characters>5908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5</cp:revision>
  <dcterms:created xsi:type="dcterms:W3CDTF">2018-08-10T09:18:00Z</dcterms:created>
  <dcterms:modified xsi:type="dcterms:W3CDTF">2018-08-10T14:03:00Z</dcterms:modified>
  <cp:category/>
</cp:coreProperties>
</file>