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AE0" w:rsidRPr="00895AE0" w:rsidRDefault="00895AE0" w:rsidP="00895AE0">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bookmarkStart w:id="0" w:name="OLE_LINK5"/>
      <w:bookmarkStart w:id="1" w:name="OLE_LINK6"/>
      <w:r w:rsidRPr="00895AE0">
        <w:rPr>
          <w:rFonts w:ascii="Arial" w:eastAsia="宋体" w:hAnsi="Arial" w:cs="Times New Roman"/>
          <w:b/>
          <w:bCs/>
          <w:sz w:val="24"/>
          <w:szCs w:val="20"/>
          <w:lang w:val="en-GB"/>
        </w:rPr>
        <w:t xml:space="preserve">3GPP TSG-RAN WG4 Meeting #88              </w:t>
      </w:r>
      <w:r w:rsidRPr="00895AE0">
        <w:rPr>
          <w:rFonts w:ascii="Arial" w:eastAsia="宋体" w:hAnsi="Arial" w:cs="Times New Roman"/>
          <w:b/>
          <w:bCs/>
          <w:sz w:val="24"/>
          <w:szCs w:val="20"/>
          <w:lang w:val="en-GB"/>
        </w:rPr>
        <w:tab/>
      </w:r>
      <w:r w:rsidR="00686034" w:rsidRPr="00686034">
        <w:rPr>
          <w:rFonts w:ascii="Arial" w:eastAsia="宋体" w:hAnsi="Arial" w:cs="Times New Roman"/>
          <w:b/>
          <w:bCs/>
          <w:sz w:val="24"/>
          <w:szCs w:val="20"/>
          <w:lang w:val="en-GB"/>
        </w:rPr>
        <w:t>R4-1810595</w:t>
      </w:r>
    </w:p>
    <w:p w:rsidR="00841BCD" w:rsidRPr="00841BCD" w:rsidRDefault="00895AE0" w:rsidP="00895AE0">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sidRPr="00895AE0">
        <w:rPr>
          <w:rFonts w:ascii="Arial" w:eastAsia="宋体" w:hAnsi="Arial" w:cs="Times New Roman"/>
          <w:b/>
          <w:bCs/>
          <w:sz w:val="24"/>
          <w:szCs w:val="20"/>
          <w:lang w:val="en-GB"/>
        </w:rPr>
        <w:t>Gothenburg, Sweden, August 20 – 24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75C3E">
        <w:rPr>
          <w:rFonts w:ascii="Arial" w:eastAsia="Calibri" w:hAnsi="Arial" w:cs="Arial"/>
          <w:b/>
          <w:bCs/>
          <w:sz w:val="24"/>
          <w:lang w:val="en-GB"/>
        </w:rPr>
        <w:t xml:space="preserve">Applicability of DRX cycle for DRX requirements under EN-DC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95AE0">
        <w:rPr>
          <w:rFonts w:ascii="Arial" w:eastAsia="MS Mincho" w:hAnsi="Arial" w:cs="Arial"/>
          <w:b/>
          <w:bCs/>
          <w:sz w:val="24"/>
          <w:szCs w:val="20"/>
          <w:lang w:val="en-GB"/>
        </w:rPr>
        <w:t>7.11.4.1.</w:t>
      </w:r>
      <w:r w:rsidR="00C75C3E">
        <w:rPr>
          <w:rFonts w:ascii="Arial" w:eastAsia="MS Mincho" w:hAnsi="Arial" w:cs="Arial"/>
          <w:b/>
          <w:bCs/>
          <w:sz w:val="24"/>
          <w:szCs w:val="20"/>
          <w:lang w:val="en-GB"/>
        </w:rPr>
        <w:t>5</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bookmarkStart w:id="2" w:name="_Ref521668829"/>
      <w:r w:rsidRPr="00AE56B1">
        <w:t>Intro</w:t>
      </w:r>
      <w:r w:rsidRPr="00AE56B1">
        <w:rPr>
          <w:rStyle w:val="RAN4H1Char"/>
        </w:rPr>
        <w:t>ductio</w:t>
      </w:r>
      <w:r w:rsidRPr="00AE56B1">
        <w:t>n</w:t>
      </w:r>
      <w:bookmarkEnd w:id="2"/>
    </w:p>
    <w:p w:rsidR="00F33E59" w:rsidRDefault="007A6422" w:rsidP="00F33E59">
      <w:pPr>
        <w:ind w:right="-23"/>
        <w:rPr>
          <w:rFonts w:cs="Times New Roman"/>
          <w:szCs w:val="20"/>
          <w:lang w:eastAsia="zh-CN"/>
        </w:rPr>
      </w:pPr>
      <w:r>
        <w:rPr>
          <w:rFonts w:eastAsia="Calibri" w:cs="Times New Roman"/>
          <w:szCs w:val="20"/>
        </w:rPr>
        <w:t xml:space="preserve">RAN4 is discussing the </w:t>
      </w:r>
      <w:bookmarkStart w:id="3" w:name="_Hlk513205245"/>
      <w:r w:rsidR="00F03CC9">
        <w:rPr>
          <w:rFonts w:eastAsia="Calibri" w:cs="Times New Roman"/>
          <w:szCs w:val="20"/>
        </w:rPr>
        <w:t>intra-frequency measurement requirements for NR</w:t>
      </w:r>
      <w:r w:rsidR="00895AE0">
        <w:rPr>
          <w:rFonts w:eastAsia="Calibri" w:cs="Times New Roman"/>
          <w:szCs w:val="20"/>
        </w:rPr>
        <w:t xml:space="preserve">. One open issue for intra-frequency requirements is </w:t>
      </w:r>
      <w:r w:rsidR="00C75C3E">
        <w:rPr>
          <w:rFonts w:eastAsia="Calibri" w:cs="Times New Roman"/>
          <w:szCs w:val="20"/>
        </w:rPr>
        <w:t>the a</w:t>
      </w:r>
      <w:r w:rsidR="00C75C3E" w:rsidRPr="00C75C3E">
        <w:rPr>
          <w:rFonts w:eastAsia="Calibri" w:cs="Times New Roman"/>
          <w:szCs w:val="20"/>
        </w:rPr>
        <w:t>pplicability of DRX cycle for DRX requirements under EN-DC</w:t>
      </w:r>
      <w:r w:rsidR="00895AE0">
        <w:rPr>
          <w:rFonts w:eastAsia="Calibri" w:cs="Times New Roman"/>
          <w:szCs w:val="20"/>
        </w:rPr>
        <w:t xml:space="preserve">. </w:t>
      </w:r>
      <w:r w:rsidR="00E6027A">
        <w:rPr>
          <w:rFonts w:eastAsia="Calibri" w:cs="Times New Roman"/>
          <w:szCs w:val="20"/>
        </w:rPr>
        <w:t xml:space="preserve">In RAN4-AH-1807, </w:t>
      </w:r>
      <w:r w:rsidR="00C75C3E">
        <w:rPr>
          <w:rFonts w:eastAsia="Calibri" w:cs="Times New Roman"/>
          <w:szCs w:val="20"/>
        </w:rPr>
        <w:t>there were two different views proposed on this issue</w:t>
      </w:r>
      <w:r w:rsidR="00E6027A">
        <w:rPr>
          <w:rFonts w:eastAsia="Calibri" w:cs="Times New Roman"/>
          <w:szCs w:val="20"/>
        </w:rPr>
        <w:t xml:space="preserve"> </w:t>
      </w:r>
      <w:r w:rsidR="00E52560">
        <w:rPr>
          <w:rFonts w:eastAsia="Calibri" w:cs="Times New Roman"/>
          <w:szCs w:val="20"/>
        </w:rPr>
        <w:fldChar w:fldCharType="begin"/>
      </w:r>
      <w:r w:rsidR="00E52560">
        <w:rPr>
          <w:rFonts w:eastAsia="Calibri" w:cs="Times New Roman"/>
          <w:szCs w:val="20"/>
        </w:rPr>
        <w:instrText xml:space="preserve"> REF _Ref517446342 \r \h </w:instrText>
      </w:r>
      <w:r w:rsidR="00E52560">
        <w:rPr>
          <w:rFonts w:eastAsia="Calibri" w:cs="Times New Roman"/>
          <w:szCs w:val="20"/>
        </w:rPr>
      </w:r>
      <w:r w:rsidR="00E52560">
        <w:rPr>
          <w:rFonts w:eastAsia="Calibri" w:cs="Times New Roman"/>
          <w:szCs w:val="20"/>
        </w:rPr>
        <w:fldChar w:fldCharType="separate"/>
      </w:r>
      <w:r w:rsidR="00E52560">
        <w:rPr>
          <w:rFonts w:eastAsia="Calibri" w:cs="Times New Roman"/>
          <w:szCs w:val="20"/>
        </w:rPr>
        <w:t>[1]</w:t>
      </w:r>
      <w:r w:rsidR="00E52560">
        <w:rPr>
          <w:rFonts w:eastAsia="Calibri" w:cs="Times New Roman"/>
          <w:szCs w:val="20"/>
        </w:rPr>
        <w:fldChar w:fldCharType="end"/>
      </w:r>
      <w:r w:rsidR="00C75C3E">
        <w:rPr>
          <w:rFonts w:eastAsia="Calibri" w:cs="Times New Roman"/>
          <w:szCs w:val="20"/>
        </w:rPr>
        <w:fldChar w:fldCharType="begin"/>
      </w:r>
      <w:r w:rsidR="00C75C3E">
        <w:rPr>
          <w:rFonts w:eastAsia="Calibri" w:cs="Times New Roman"/>
          <w:szCs w:val="20"/>
        </w:rPr>
        <w:instrText xml:space="preserve"> REF _Ref521663432 \r \h </w:instrText>
      </w:r>
      <w:r w:rsidR="00C75C3E">
        <w:rPr>
          <w:rFonts w:eastAsia="Calibri" w:cs="Times New Roman"/>
          <w:szCs w:val="20"/>
        </w:rPr>
      </w:r>
      <w:r w:rsidR="00C75C3E">
        <w:rPr>
          <w:rFonts w:eastAsia="Calibri" w:cs="Times New Roman"/>
          <w:szCs w:val="20"/>
        </w:rPr>
        <w:fldChar w:fldCharType="separate"/>
      </w:r>
      <w:r w:rsidR="00C75C3E">
        <w:rPr>
          <w:rFonts w:eastAsia="Calibri" w:cs="Times New Roman"/>
          <w:szCs w:val="20"/>
        </w:rPr>
        <w:t>[2]</w:t>
      </w:r>
      <w:r w:rsidR="00C75C3E">
        <w:rPr>
          <w:rFonts w:eastAsia="Calibri" w:cs="Times New Roman"/>
          <w:szCs w:val="20"/>
        </w:rPr>
        <w:fldChar w:fldCharType="end"/>
      </w:r>
      <w:r w:rsidR="00C75C3E">
        <w:rPr>
          <w:rFonts w:cs="Times New Roman" w:hint="eastAsia"/>
          <w:szCs w:val="20"/>
          <w:lang w:eastAsia="zh-CN"/>
        </w:rPr>
        <w:t>,</w:t>
      </w:r>
      <w:r w:rsidR="00C75C3E">
        <w:rPr>
          <w:rFonts w:cs="Times New Roman"/>
          <w:szCs w:val="20"/>
          <w:lang w:eastAsia="zh-CN"/>
        </w:rPr>
        <w:t xml:space="preserve"> but there was no conclusion.</w:t>
      </w:r>
    </w:p>
    <w:p w:rsidR="00126990" w:rsidRPr="00126990" w:rsidRDefault="00C42DCE" w:rsidP="00C74935">
      <w:pPr>
        <w:ind w:right="-23"/>
        <w:rPr>
          <w:rFonts w:eastAsia="Calibri" w:cs="Times New Roman"/>
          <w:szCs w:val="20"/>
        </w:rPr>
      </w:pPr>
      <w:r>
        <w:rPr>
          <w:rFonts w:eastAsia="Calibri" w:cs="Times New Roman"/>
          <w:szCs w:val="20"/>
        </w:rPr>
        <w:t xml:space="preserve">In this paper, we will </w:t>
      </w:r>
      <w:bookmarkStart w:id="4" w:name="_Hlk513205847"/>
      <w:bookmarkEnd w:id="3"/>
      <w:r w:rsidR="00C26CD1">
        <w:rPr>
          <w:rFonts w:eastAsia="Calibri" w:cs="Times New Roman"/>
          <w:szCs w:val="20"/>
        </w:rPr>
        <w:t xml:space="preserve">provide our views on the </w:t>
      </w:r>
      <w:r w:rsidR="00C75C3E" w:rsidRPr="00C75C3E">
        <w:rPr>
          <w:rFonts w:eastAsia="Calibri" w:cs="Times New Roman"/>
          <w:szCs w:val="20"/>
        </w:rPr>
        <w:t>applicability of DRX cycle for DRX requirements under EN-DC</w:t>
      </w:r>
      <w:r w:rsidR="00EB47E3">
        <w:rPr>
          <w:rFonts w:eastAsia="Calibri" w:cs="Times New Roman"/>
          <w:szCs w:val="20"/>
        </w:rPr>
        <w:t>.</w:t>
      </w:r>
    </w:p>
    <w:bookmarkEnd w:id="4"/>
    <w:p w:rsidR="003B659E" w:rsidRDefault="003B659E" w:rsidP="00AE56B1">
      <w:pPr>
        <w:pStyle w:val="RAN4H1"/>
      </w:pPr>
      <w:r w:rsidRPr="00AE56B1">
        <w:t>Discussion</w:t>
      </w:r>
    </w:p>
    <w:p w:rsidR="00C75C3E" w:rsidRDefault="00C75C3E" w:rsidP="00C75C3E">
      <w:r>
        <w:t xml:space="preserve">So far, the requirements for DRX is defined based on a single DRX cycle, so it remains open how to handle possible different DRX configuration in MN and SN in EN-DC, where MN and SN can independently configure measurement and DRX for MCG and SCG, respectively. It is possible that DRX is configured in MN but not in SN, DRX is configured in SN but not in MN, or DRX is configured in both MN and SN but with different DRX cycles. Some companies have proposed </w:t>
      </w:r>
      <w:r>
        <w:fldChar w:fldCharType="begin"/>
      </w:r>
      <w:r>
        <w:instrText xml:space="preserve"> REF _Ref521669055 \r \h </w:instrText>
      </w:r>
      <w:r>
        <w:fldChar w:fldCharType="separate"/>
      </w:r>
      <w:r>
        <w:t>[2]</w:t>
      </w:r>
      <w:r>
        <w:fldChar w:fldCharType="end"/>
      </w:r>
      <w:r>
        <w:t xml:space="preserve"> to use the maximum of DRX cycle from MN and SN to determine the UE requirements. </w:t>
      </w:r>
    </w:p>
    <w:p w:rsidR="00C75C3E" w:rsidRDefault="00C75C3E" w:rsidP="00C75C3E">
      <w:r>
        <w:t xml:space="preserve">In our view, however, this approach may be problematic. When there is no EN-DC, when an LTE eNB or NR gNB configures a measurement, it will expect the measurement performance to be according to its DRX configuration (if DRX is used and the DRX cycle). Following the proposal, the measurement performance will be dependent also on the DRX configuration in another node. It should be note that even the current RAN2 and RAN3 specification supports MN and SN to exchange the DRX configuration, MN and SN may configure the DRX independently based on different considerations, so basing the measurement performance of one MO configured by MN on the DRX configuration of SN (or vice versa) is not reasonable. </w:t>
      </w:r>
    </w:p>
    <w:p w:rsidR="00C75C3E" w:rsidRDefault="00C75C3E" w:rsidP="00C75C3E">
      <w:r>
        <w:t>The same issue has been discussed in LTE DC and the corresponding requirements are defined in section 8.8.2 to 8.8.4 of 36.133. PCell requirements are based on DRX configuration in MCG, PSCell requirements are based on DRX configuration in SCG, and inter-frequency and inter-RAT requirements are based on DRX configuration in MCG. In short, the requirements are determined by the DRX configuration in the configuring node. We suggest to re-use the same principle in NR.</w:t>
      </w:r>
    </w:p>
    <w:p w:rsidR="00C75C3E" w:rsidRDefault="00C75C3E" w:rsidP="00C75C3E">
      <w:pPr>
        <w:pStyle w:val="RAN4proposal"/>
      </w:pPr>
      <w:bookmarkStart w:id="5" w:name="_Ref521669128"/>
      <w:r>
        <w:t>In EN-DC, the DRX requirements are determined by the DRX configuration in the configuring node.</w:t>
      </w:r>
      <w:bookmarkEnd w:id="5"/>
    </w:p>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410C1C" w:rsidRPr="00410C1C">
        <w:rPr>
          <w:lang w:val="en-GB"/>
        </w:rPr>
        <w:t xml:space="preserve">on </w:t>
      </w:r>
      <w:r w:rsidR="00C75C3E">
        <w:rPr>
          <w:lang w:val="en-GB"/>
        </w:rPr>
        <w:t xml:space="preserve">the </w:t>
      </w:r>
      <w:r w:rsidR="00C75C3E" w:rsidRPr="00C75C3E">
        <w:rPr>
          <w:lang w:val="en-GB"/>
        </w:rPr>
        <w:t>applicability of DRX cycle for DRX requirements under EN-DC</w:t>
      </w:r>
      <w:r w:rsidRPr="00B8606D">
        <w:rPr>
          <w:lang w:val="en-GB"/>
        </w:rPr>
        <w:t>.</w:t>
      </w:r>
    </w:p>
    <w:p w:rsidR="00C75C3E" w:rsidRPr="00C75C3E" w:rsidRDefault="00C75C3E" w:rsidP="004F3D3B">
      <w:pPr>
        <w:rPr>
          <w:b/>
          <w:lang w:val="en-GB"/>
        </w:rPr>
      </w:pPr>
      <w:r w:rsidRPr="00C75C3E">
        <w:rPr>
          <w:b/>
          <w:lang w:val="en-GB"/>
        </w:rPr>
        <w:fldChar w:fldCharType="begin"/>
      </w:r>
      <w:r w:rsidRPr="00C75C3E">
        <w:rPr>
          <w:b/>
          <w:lang w:val="en-GB"/>
        </w:rPr>
        <w:instrText xml:space="preserve"> REF _Ref521669128 \r \h </w:instrText>
      </w:r>
      <w:r>
        <w:rPr>
          <w:b/>
          <w:lang w:val="en-GB"/>
        </w:rPr>
        <w:instrText xml:space="preserve"> \* MERGEFORMAT </w:instrText>
      </w:r>
      <w:r w:rsidRPr="00C75C3E">
        <w:rPr>
          <w:b/>
          <w:lang w:val="en-GB"/>
        </w:rPr>
      </w:r>
      <w:r w:rsidRPr="00C75C3E">
        <w:rPr>
          <w:b/>
          <w:lang w:val="en-GB"/>
        </w:rPr>
        <w:fldChar w:fldCharType="separate"/>
      </w:r>
      <w:r w:rsidRPr="00C75C3E">
        <w:rPr>
          <w:b/>
          <w:lang w:val="en-GB"/>
        </w:rPr>
        <w:t>Proposal 1:</w:t>
      </w:r>
      <w:r w:rsidRPr="00C75C3E">
        <w:rPr>
          <w:b/>
          <w:lang w:val="en-GB"/>
        </w:rPr>
        <w:fldChar w:fldCharType="end"/>
      </w:r>
      <w:r w:rsidRPr="00C75C3E">
        <w:rPr>
          <w:b/>
          <w:lang w:val="en-GB"/>
        </w:rPr>
        <w:t xml:space="preserve"> </w:t>
      </w:r>
      <w:r w:rsidRPr="00C75C3E">
        <w:rPr>
          <w:b/>
          <w:lang w:val="en-GB"/>
        </w:rPr>
        <w:fldChar w:fldCharType="begin"/>
      </w:r>
      <w:r w:rsidRPr="00C75C3E">
        <w:rPr>
          <w:b/>
          <w:lang w:val="en-GB"/>
        </w:rPr>
        <w:instrText xml:space="preserve"> REF _Ref521669128 \h </w:instrText>
      </w:r>
      <w:r>
        <w:rPr>
          <w:b/>
          <w:lang w:val="en-GB"/>
        </w:rPr>
        <w:instrText xml:space="preserve"> \* MERGEFORMAT </w:instrText>
      </w:r>
      <w:r w:rsidRPr="00C75C3E">
        <w:rPr>
          <w:b/>
          <w:lang w:val="en-GB"/>
        </w:rPr>
      </w:r>
      <w:r w:rsidRPr="00C75C3E">
        <w:rPr>
          <w:b/>
          <w:lang w:val="en-GB"/>
        </w:rPr>
        <w:fldChar w:fldCharType="separate"/>
      </w:r>
      <w:r w:rsidRPr="00C75C3E">
        <w:rPr>
          <w:b/>
        </w:rPr>
        <w:t>In EN-DC, the DRX requirements are determined by the DRX configuration in the configuring node.</w:t>
      </w:r>
      <w:r w:rsidRPr="00C75C3E">
        <w:rPr>
          <w:b/>
          <w:lang w:val="en-GB"/>
        </w:rPr>
        <w:fldChar w:fldCharType="end"/>
      </w:r>
    </w:p>
    <w:p w:rsidR="003B659E" w:rsidRPr="0095295C" w:rsidRDefault="003B659E" w:rsidP="0008612A">
      <w:pPr>
        <w:pStyle w:val="RAN4H1"/>
      </w:pPr>
      <w:r w:rsidRPr="0095295C">
        <w:t>References</w:t>
      </w:r>
    </w:p>
    <w:p w:rsidR="00D824D2" w:rsidRPr="00D824D2" w:rsidRDefault="00FC7B92" w:rsidP="00C75C3E">
      <w:pPr>
        <w:pStyle w:val="ListParagraph"/>
        <w:numPr>
          <w:ilvl w:val="0"/>
          <w:numId w:val="1"/>
        </w:numPr>
        <w:rPr>
          <w:szCs w:val="20"/>
        </w:rPr>
      </w:pPr>
      <w:bookmarkStart w:id="6" w:name="_Ref517446342"/>
      <w:bookmarkStart w:id="7" w:name="_Ref431017336"/>
      <w:bookmarkStart w:id="8" w:name="_Ref513196612"/>
      <w:bookmarkStart w:id="9" w:name="_Ref513710934"/>
      <w:bookmarkStart w:id="10" w:name="_Ref513723949"/>
      <w:bookmarkStart w:id="11" w:name="_Ref513728762"/>
      <w:r w:rsidRPr="00FC7B92">
        <w:rPr>
          <w:szCs w:val="20"/>
        </w:rPr>
        <w:t>R4-180</w:t>
      </w:r>
      <w:r w:rsidR="00C75C3E">
        <w:rPr>
          <w:szCs w:val="20"/>
        </w:rPr>
        <w:t>8780</w:t>
      </w:r>
      <w:r w:rsidRPr="00FC7B92">
        <w:rPr>
          <w:szCs w:val="20"/>
        </w:rPr>
        <w:t xml:space="preserve">, </w:t>
      </w:r>
      <w:r w:rsidR="00C75C3E" w:rsidRPr="00C75C3E">
        <w:rPr>
          <w:szCs w:val="20"/>
        </w:rPr>
        <w:t>Remaining issues for intra-frequency measurement without gap</w:t>
      </w:r>
      <w:r w:rsidRPr="00FC7B92">
        <w:rPr>
          <w:szCs w:val="20"/>
        </w:rPr>
        <w:t xml:space="preserve">, </w:t>
      </w:r>
      <w:bookmarkEnd w:id="6"/>
      <w:r w:rsidR="00C75C3E">
        <w:rPr>
          <w:szCs w:val="20"/>
        </w:rPr>
        <w:t>Nokia, Nokia Shanghai Bell</w:t>
      </w:r>
    </w:p>
    <w:p w:rsidR="00E20ED2" w:rsidRPr="00686034" w:rsidRDefault="00D824D2" w:rsidP="008F44BF">
      <w:pPr>
        <w:numPr>
          <w:ilvl w:val="0"/>
          <w:numId w:val="1"/>
        </w:numPr>
        <w:overflowPunct w:val="0"/>
        <w:autoSpaceDE w:val="0"/>
        <w:autoSpaceDN w:val="0"/>
        <w:adjustRightInd w:val="0"/>
        <w:ind w:right="-22"/>
        <w:jc w:val="both"/>
        <w:textAlignment w:val="baseline"/>
        <w:rPr>
          <w:szCs w:val="20"/>
        </w:rPr>
      </w:pPr>
      <w:bookmarkStart w:id="12" w:name="_Ref521663432"/>
      <w:bookmarkStart w:id="13" w:name="_Ref521669055"/>
      <w:bookmarkStart w:id="14" w:name="_Ref513728799"/>
      <w:bookmarkEnd w:id="7"/>
      <w:bookmarkEnd w:id="8"/>
      <w:bookmarkEnd w:id="9"/>
      <w:bookmarkEnd w:id="10"/>
      <w:bookmarkEnd w:id="11"/>
      <w:r w:rsidRPr="00686034">
        <w:rPr>
          <w:szCs w:val="20"/>
        </w:rPr>
        <w:t>R4-18</w:t>
      </w:r>
      <w:r w:rsidR="00C75C3E" w:rsidRPr="00686034">
        <w:rPr>
          <w:szCs w:val="20"/>
        </w:rPr>
        <w:t>08926</w:t>
      </w:r>
      <w:r w:rsidRPr="00686034">
        <w:rPr>
          <w:szCs w:val="20"/>
        </w:rPr>
        <w:t xml:space="preserve">, </w:t>
      </w:r>
      <w:r w:rsidR="00C75C3E" w:rsidRPr="00686034">
        <w:rPr>
          <w:szCs w:val="20"/>
        </w:rPr>
        <w:t>Discussion on requirements of inter-frequency measurement</w:t>
      </w:r>
      <w:r w:rsidRPr="00686034">
        <w:rPr>
          <w:szCs w:val="20"/>
        </w:rPr>
        <w:t xml:space="preserve">, </w:t>
      </w:r>
      <w:bookmarkEnd w:id="12"/>
      <w:r w:rsidR="00C75C3E" w:rsidRPr="00686034">
        <w:rPr>
          <w:rFonts w:eastAsia="Times New Roman"/>
          <w:bCs/>
          <w:szCs w:val="20"/>
        </w:rPr>
        <w:t>Mediatek</w:t>
      </w:r>
      <w:bookmarkStart w:id="15" w:name="_GoBack"/>
      <w:bookmarkEnd w:id="13"/>
      <w:bookmarkEnd w:id="14"/>
      <w:bookmarkEnd w:id="15"/>
    </w:p>
    <w:sectPr w:rsidR="00E20ED2" w:rsidRPr="0068603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D4B" w:rsidRDefault="00E36D4B" w:rsidP="00001C9B">
      <w:pPr>
        <w:spacing w:after="0" w:line="240" w:lineRule="auto"/>
      </w:pPr>
      <w:r>
        <w:separator/>
      </w:r>
    </w:p>
  </w:endnote>
  <w:endnote w:type="continuationSeparator" w:id="0">
    <w:p w:rsidR="00E36D4B" w:rsidRDefault="00E36D4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D4B" w:rsidRDefault="00E36D4B" w:rsidP="00001C9B">
      <w:pPr>
        <w:spacing w:after="0" w:line="240" w:lineRule="auto"/>
      </w:pPr>
      <w:r>
        <w:separator/>
      </w:r>
    </w:p>
  </w:footnote>
  <w:footnote w:type="continuationSeparator" w:id="0">
    <w:p w:rsidR="00E36D4B" w:rsidRDefault="00E36D4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21C0"/>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542E8"/>
    <w:multiLevelType w:val="hybridMultilevel"/>
    <w:tmpl w:val="0FBC2122"/>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97AA2"/>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C120E"/>
    <w:multiLevelType w:val="hybridMultilevel"/>
    <w:tmpl w:val="2918C6A2"/>
    <w:lvl w:ilvl="0" w:tplc="04090001">
      <w:start w:val="1"/>
      <w:numFmt w:val="bullet"/>
      <w:lvlText w:val=""/>
      <w:lvlJc w:val="left"/>
      <w:pPr>
        <w:ind w:left="704" w:hanging="420"/>
      </w:pPr>
      <w:rPr>
        <w:rFonts w:ascii="Symbol" w:hAnsi="Symbol" w:hint="default"/>
      </w:rPr>
    </w:lvl>
    <w:lvl w:ilvl="1" w:tplc="9C1A3C9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923C5"/>
    <w:multiLevelType w:val="hybridMultilevel"/>
    <w:tmpl w:val="0ECE5E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CD67FE"/>
    <w:multiLevelType w:val="hybridMultilevel"/>
    <w:tmpl w:val="A0CAFB9C"/>
    <w:lvl w:ilvl="0" w:tplc="33686614">
      <w:start w:val="1"/>
      <w:numFmt w:val="bullet"/>
      <w:lvlText w:val="•"/>
      <w:lvlJc w:val="left"/>
      <w:pPr>
        <w:tabs>
          <w:tab w:val="num" w:pos="720"/>
        </w:tabs>
        <w:ind w:left="720" w:hanging="360"/>
      </w:pPr>
      <w:rPr>
        <w:rFonts w:ascii="Arial" w:hAnsi="Arial" w:hint="default"/>
      </w:rPr>
    </w:lvl>
    <w:lvl w:ilvl="1" w:tplc="76483A16">
      <w:start w:val="1"/>
      <w:numFmt w:val="bullet"/>
      <w:lvlText w:val="•"/>
      <w:lvlJc w:val="left"/>
      <w:pPr>
        <w:tabs>
          <w:tab w:val="num" w:pos="1440"/>
        </w:tabs>
        <w:ind w:left="1440" w:hanging="360"/>
      </w:pPr>
      <w:rPr>
        <w:rFonts w:ascii="Arial" w:hAnsi="Arial" w:hint="default"/>
      </w:rPr>
    </w:lvl>
    <w:lvl w:ilvl="2" w:tplc="AFC21FFA">
      <w:numFmt w:val="bullet"/>
      <w:lvlText w:val="•"/>
      <w:lvlJc w:val="left"/>
      <w:pPr>
        <w:tabs>
          <w:tab w:val="num" w:pos="2160"/>
        </w:tabs>
        <w:ind w:left="2160" w:hanging="360"/>
      </w:pPr>
      <w:rPr>
        <w:rFonts w:ascii="Arial" w:hAnsi="Arial" w:hint="default"/>
      </w:rPr>
    </w:lvl>
    <w:lvl w:ilvl="3" w:tplc="FF3E7E16">
      <w:numFmt w:val="bullet"/>
      <w:lvlText w:val="•"/>
      <w:lvlJc w:val="left"/>
      <w:pPr>
        <w:tabs>
          <w:tab w:val="num" w:pos="2880"/>
        </w:tabs>
        <w:ind w:left="2880" w:hanging="360"/>
      </w:pPr>
      <w:rPr>
        <w:rFonts w:ascii="Arial" w:hAnsi="Arial" w:hint="default"/>
      </w:rPr>
    </w:lvl>
    <w:lvl w:ilvl="4" w:tplc="7072542A" w:tentative="1">
      <w:start w:val="1"/>
      <w:numFmt w:val="bullet"/>
      <w:lvlText w:val="•"/>
      <w:lvlJc w:val="left"/>
      <w:pPr>
        <w:tabs>
          <w:tab w:val="num" w:pos="3600"/>
        </w:tabs>
        <w:ind w:left="3600" w:hanging="360"/>
      </w:pPr>
      <w:rPr>
        <w:rFonts w:ascii="Arial" w:hAnsi="Arial" w:hint="default"/>
      </w:rPr>
    </w:lvl>
    <w:lvl w:ilvl="5" w:tplc="59F69F60" w:tentative="1">
      <w:start w:val="1"/>
      <w:numFmt w:val="bullet"/>
      <w:lvlText w:val="•"/>
      <w:lvlJc w:val="left"/>
      <w:pPr>
        <w:tabs>
          <w:tab w:val="num" w:pos="4320"/>
        </w:tabs>
        <w:ind w:left="4320" w:hanging="360"/>
      </w:pPr>
      <w:rPr>
        <w:rFonts w:ascii="Arial" w:hAnsi="Arial" w:hint="default"/>
      </w:rPr>
    </w:lvl>
    <w:lvl w:ilvl="6" w:tplc="D4C05DE4" w:tentative="1">
      <w:start w:val="1"/>
      <w:numFmt w:val="bullet"/>
      <w:lvlText w:val="•"/>
      <w:lvlJc w:val="left"/>
      <w:pPr>
        <w:tabs>
          <w:tab w:val="num" w:pos="5040"/>
        </w:tabs>
        <w:ind w:left="5040" w:hanging="360"/>
      </w:pPr>
      <w:rPr>
        <w:rFonts w:ascii="Arial" w:hAnsi="Arial" w:hint="default"/>
      </w:rPr>
    </w:lvl>
    <w:lvl w:ilvl="7" w:tplc="7D3867D4" w:tentative="1">
      <w:start w:val="1"/>
      <w:numFmt w:val="bullet"/>
      <w:lvlText w:val="•"/>
      <w:lvlJc w:val="left"/>
      <w:pPr>
        <w:tabs>
          <w:tab w:val="num" w:pos="5760"/>
        </w:tabs>
        <w:ind w:left="5760" w:hanging="360"/>
      </w:pPr>
      <w:rPr>
        <w:rFonts w:ascii="Arial" w:hAnsi="Arial" w:hint="default"/>
      </w:rPr>
    </w:lvl>
    <w:lvl w:ilvl="8" w:tplc="B440B1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5369D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A718A0"/>
    <w:multiLevelType w:val="hybridMultilevel"/>
    <w:tmpl w:val="F412DB3C"/>
    <w:lvl w:ilvl="0" w:tplc="3716D262">
      <w:start w:val="1"/>
      <w:numFmt w:val="bullet"/>
      <w:lvlText w:val="•"/>
      <w:lvlJc w:val="left"/>
      <w:pPr>
        <w:tabs>
          <w:tab w:val="num" w:pos="720"/>
        </w:tabs>
        <w:ind w:left="720" w:hanging="360"/>
      </w:pPr>
      <w:rPr>
        <w:rFonts w:ascii="Arial" w:hAnsi="Arial" w:hint="default"/>
      </w:rPr>
    </w:lvl>
    <w:lvl w:ilvl="1" w:tplc="8B28F5F6">
      <w:start w:val="1"/>
      <w:numFmt w:val="bullet"/>
      <w:lvlText w:val="•"/>
      <w:lvlJc w:val="left"/>
      <w:pPr>
        <w:tabs>
          <w:tab w:val="num" w:pos="1440"/>
        </w:tabs>
        <w:ind w:left="1440" w:hanging="360"/>
      </w:pPr>
      <w:rPr>
        <w:rFonts w:ascii="Arial" w:hAnsi="Arial" w:hint="default"/>
      </w:rPr>
    </w:lvl>
    <w:lvl w:ilvl="2" w:tplc="73F26882">
      <w:numFmt w:val="bullet"/>
      <w:lvlText w:val="•"/>
      <w:lvlJc w:val="left"/>
      <w:pPr>
        <w:tabs>
          <w:tab w:val="num" w:pos="2160"/>
        </w:tabs>
        <w:ind w:left="2160" w:hanging="360"/>
      </w:pPr>
      <w:rPr>
        <w:rFonts w:ascii="Arial" w:hAnsi="Arial" w:hint="default"/>
      </w:rPr>
    </w:lvl>
    <w:lvl w:ilvl="3" w:tplc="AFD872C2">
      <w:start w:val="1"/>
      <w:numFmt w:val="bullet"/>
      <w:lvlText w:val="•"/>
      <w:lvlJc w:val="left"/>
      <w:pPr>
        <w:tabs>
          <w:tab w:val="num" w:pos="2880"/>
        </w:tabs>
        <w:ind w:left="2880" w:hanging="360"/>
      </w:pPr>
      <w:rPr>
        <w:rFonts w:ascii="Arial" w:hAnsi="Arial" w:hint="default"/>
      </w:rPr>
    </w:lvl>
    <w:lvl w:ilvl="4" w:tplc="0338B6CC" w:tentative="1">
      <w:start w:val="1"/>
      <w:numFmt w:val="bullet"/>
      <w:lvlText w:val="•"/>
      <w:lvlJc w:val="left"/>
      <w:pPr>
        <w:tabs>
          <w:tab w:val="num" w:pos="3600"/>
        </w:tabs>
        <w:ind w:left="3600" w:hanging="360"/>
      </w:pPr>
      <w:rPr>
        <w:rFonts w:ascii="Arial" w:hAnsi="Arial" w:hint="default"/>
      </w:rPr>
    </w:lvl>
    <w:lvl w:ilvl="5" w:tplc="6450AB2A" w:tentative="1">
      <w:start w:val="1"/>
      <w:numFmt w:val="bullet"/>
      <w:lvlText w:val="•"/>
      <w:lvlJc w:val="left"/>
      <w:pPr>
        <w:tabs>
          <w:tab w:val="num" w:pos="4320"/>
        </w:tabs>
        <w:ind w:left="4320" w:hanging="360"/>
      </w:pPr>
      <w:rPr>
        <w:rFonts w:ascii="Arial" w:hAnsi="Arial" w:hint="default"/>
      </w:rPr>
    </w:lvl>
    <w:lvl w:ilvl="6" w:tplc="FB0E0922" w:tentative="1">
      <w:start w:val="1"/>
      <w:numFmt w:val="bullet"/>
      <w:lvlText w:val="•"/>
      <w:lvlJc w:val="left"/>
      <w:pPr>
        <w:tabs>
          <w:tab w:val="num" w:pos="5040"/>
        </w:tabs>
        <w:ind w:left="5040" w:hanging="360"/>
      </w:pPr>
      <w:rPr>
        <w:rFonts w:ascii="Arial" w:hAnsi="Arial" w:hint="default"/>
      </w:rPr>
    </w:lvl>
    <w:lvl w:ilvl="7" w:tplc="9F8AEB72" w:tentative="1">
      <w:start w:val="1"/>
      <w:numFmt w:val="bullet"/>
      <w:lvlText w:val="•"/>
      <w:lvlJc w:val="left"/>
      <w:pPr>
        <w:tabs>
          <w:tab w:val="num" w:pos="5760"/>
        </w:tabs>
        <w:ind w:left="5760" w:hanging="360"/>
      </w:pPr>
      <w:rPr>
        <w:rFonts w:ascii="Arial" w:hAnsi="Arial" w:hint="default"/>
      </w:rPr>
    </w:lvl>
    <w:lvl w:ilvl="8" w:tplc="1ACC64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D24A8E"/>
    <w:multiLevelType w:val="hybridMultilevel"/>
    <w:tmpl w:val="298AFE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D136A7"/>
    <w:multiLevelType w:val="hybridMultilevel"/>
    <w:tmpl w:val="DC7ABF8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9A81F80"/>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E427EA"/>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CD2971"/>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A0E20"/>
    <w:multiLevelType w:val="hybridMultilevel"/>
    <w:tmpl w:val="23303774"/>
    <w:lvl w:ilvl="0" w:tplc="E76CE1B6">
      <w:start w:val="1"/>
      <w:numFmt w:val="bullet"/>
      <w:lvlText w:val="•"/>
      <w:lvlJc w:val="left"/>
      <w:pPr>
        <w:tabs>
          <w:tab w:val="num" w:pos="360"/>
        </w:tabs>
        <w:ind w:left="360" w:hanging="360"/>
      </w:pPr>
      <w:rPr>
        <w:rFonts w:ascii="Arial" w:hAnsi="Arial" w:hint="default"/>
      </w:rPr>
    </w:lvl>
    <w:lvl w:ilvl="1" w:tplc="9892B0C2">
      <w:start w:val="1"/>
      <w:numFmt w:val="bullet"/>
      <w:lvlText w:val="•"/>
      <w:lvlJc w:val="left"/>
      <w:pPr>
        <w:tabs>
          <w:tab w:val="num" w:pos="1080"/>
        </w:tabs>
        <w:ind w:left="1080" w:hanging="360"/>
      </w:pPr>
      <w:rPr>
        <w:rFonts w:ascii="Arial" w:hAnsi="Arial" w:hint="default"/>
      </w:rPr>
    </w:lvl>
    <w:lvl w:ilvl="2" w:tplc="B6B830E0">
      <w:numFmt w:val="bullet"/>
      <w:lvlText w:val="•"/>
      <w:lvlJc w:val="left"/>
      <w:pPr>
        <w:tabs>
          <w:tab w:val="num" w:pos="1800"/>
        </w:tabs>
        <w:ind w:left="1800" w:hanging="360"/>
      </w:pPr>
      <w:rPr>
        <w:rFonts w:ascii="Arial" w:hAnsi="Arial" w:hint="default"/>
      </w:rPr>
    </w:lvl>
    <w:lvl w:ilvl="3" w:tplc="9008F49E">
      <w:numFmt w:val="bullet"/>
      <w:lvlText w:val="•"/>
      <w:lvlJc w:val="left"/>
      <w:pPr>
        <w:tabs>
          <w:tab w:val="num" w:pos="2520"/>
        </w:tabs>
        <w:ind w:left="2520" w:hanging="360"/>
      </w:pPr>
      <w:rPr>
        <w:rFonts w:ascii="Arial" w:hAnsi="Arial" w:hint="default"/>
      </w:rPr>
    </w:lvl>
    <w:lvl w:ilvl="4" w:tplc="D3701D7C" w:tentative="1">
      <w:start w:val="1"/>
      <w:numFmt w:val="bullet"/>
      <w:lvlText w:val="•"/>
      <w:lvlJc w:val="left"/>
      <w:pPr>
        <w:tabs>
          <w:tab w:val="num" w:pos="3240"/>
        </w:tabs>
        <w:ind w:left="3240" w:hanging="360"/>
      </w:pPr>
      <w:rPr>
        <w:rFonts w:ascii="Arial" w:hAnsi="Arial" w:hint="default"/>
      </w:rPr>
    </w:lvl>
    <w:lvl w:ilvl="5" w:tplc="96FEF514" w:tentative="1">
      <w:start w:val="1"/>
      <w:numFmt w:val="bullet"/>
      <w:lvlText w:val="•"/>
      <w:lvlJc w:val="left"/>
      <w:pPr>
        <w:tabs>
          <w:tab w:val="num" w:pos="3960"/>
        </w:tabs>
        <w:ind w:left="3960" w:hanging="360"/>
      </w:pPr>
      <w:rPr>
        <w:rFonts w:ascii="Arial" w:hAnsi="Arial" w:hint="default"/>
      </w:rPr>
    </w:lvl>
    <w:lvl w:ilvl="6" w:tplc="85187EB8" w:tentative="1">
      <w:start w:val="1"/>
      <w:numFmt w:val="bullet"/>
      <w:lvlText w:val="•"/>
      <w:lvlJc w:val="left"/>
      <w:pPr>
        <w:tabs>
          <w:tab w:val="num" w:pos="4680"/>
        </w:tabs>
        <w:ind w:left="4680" w:hanging="360"/>
      </w:pPr>
      <w:rPr>
        <w:rFonts w:ascii="Arial" w:hAnsi="Arial" w:hint="default"/>
      </w:rPr>
    </w:lvl>
    <w:lvl w:ilvl="7" w:tplc="B52A95D2" w:tentative="1">
      <w:start w:val="1"/>
      <w:numFmt w:val="bullet"/>
      <w:lvlText w:val="•"/>
      <w:lvlJc w:val="left"/>
      <w:pPr>
        <w:tabs>
          <w:tab w:val="num" w:pos="5400"/>
        </w:tabs>
        <w:ind w:left="5400" w:hanging="360"/>
      </w:pPr>
      <w:rPr>
        <w:rFonts w:ascii="Arial" w:hAnsi="Arial" w:hint="default"/>
      </w:rPr>
    </w:lvl>
    <w:lvl w:ilvl="8" w:tplc="0C18395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19"/>
  </w:num>
  <w:num w:numId="4">
    <w:abstractNumId w:val="10"/>
  </w:num>
  <w:num w:numId="5">
    <w:abstractNumId w:val="25"/>
  </w:num>
  <w:num w:numId="6">
    <w:abstractNumId w:val="16"/>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6"/>
    <w:lvlOverride w:ilvl="0">
      <w:startOverride w:val="1"/>
    </w:lvlOverride>
  </w:num>
  <w:num w:numId="12">
    <w:abstractNumId w:val="18"/>
    <w:lvlOverride w:ilvl="0">
      <w:startOverride w:val="1"/>
    </w:lvlOverride>
  </w:num>
  <w:num w:numId="13">
    <w:abstractNumId w:val="16"/>
    <w:lvlOverride w:ilvl="0">
      <w:startOverride w:val="1"/>
    </w:lvlOverride>
  </w:num>
  <w:num w:numId="14">
    <w:abstractNumId w:val="18"/>
    <w:lvlOverride w:ilvl="0">
      <w:startOverride w:val="1"/>
    </w:lvlOverride>
  </w:num>
  <w:num w:numId="15">
    <w:abstractNumId w:val="33"/>
  </w:num>
  <w:num w:numId="16">
    <w:abstractNumId w:val="7"/>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0"/>
  </w:num>
  <w:num w:numId="22">
    <w:abstractNumId w:val="30"/>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2"/>
  </w:num>
  <w:num w:numId="27">
    <w:abstractNumId w:val="12"/>
  </w:num>
  <w:num w:numId="28">
    <w:abstractNumId w:val="1"/>
  </w:num>
  <w:num w:numId="29">
    <w:abstractNumId w:val="2"/>
  </w:num>
  <w:num w:numId="30">
    <w:abstractNumId w:val="31"/>
  </w:num>
  <w:num w:numId="31">
    <w:abstractNumId w:val="29"/>
  </w:num>
  <w:num w:numId="32">
    <w:abstractNumId w:val="14"/>
  </w:num>
  <w:num w:numId="33">
    <w:abstractNumId w:val="17"/>
  </w:num>
  <w:num w:numId="34">
    <w:abstractNumId w:val="13"/>
  </w:num>
  <w:num w:numId="35">
    <w:abstractNumId w:val="5"/>
  </w:num>
  <w:num w:numId="36">
    <w:abstractNumId w:val="26"/>
  </w:num>
  <w:num w:numId="37">
    <w:abstractNumId w:val="4"/>
  </w:num>
  <w:num w:numId="38">
    <w:abstractNumId w:val="8"/>
  </w:num>
  <w:num w:numId="39">
    <w:abstractNumId w:val="28"/>
  </w:num>
  <w:num w:numId="40">
    <w:abstractNumId w:val="24"/>
  </w:num>
  <w:num w:numId="41">
    <w:abstractNumId w:val="21"/>
  </w:num>
  <w:num w:numId="42">
    <w:abstractNumId w:val="3"/>
  </w:num>
  <w:num w:numId="43">
    <w:abstractNumId w:val="6"/>
  </w:num>
  <w:num w:numId="44">
    <w:abstractNumId w:val="9"/>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B53"/>
    <w:rsid w:val="00050E96"/>
    <w:rsid w:val="0007101A"/>
    <w:rsid w:val="00074FED"/>
    <w:rsid w:val="0008612A"/>
    <w:rsid w:val="000B0056"/>
    <w:rsid w:val="000B005F"/>
    <w:rsid w:val="000D4E89"/>
    <w:rsid w:val="000E0505"/>
    <w:rsid w:val="00100DF1"/>
    <w:rsid w:val="00107708"/>
    <w:rsid w:val="00121336"/>
    <w:rsid w:val="00126990"/>
    <w:rsid w:val="001625F8"/>
    <w:rsid w:val="001745F8"/>
    <w:rsid w:val="001754B4"/>
    <w:rsid w:val="00176671"/>
    <w:rsid w:val="001838CF"/>
    <w:rsid w:val="001841C4"/>
    <w:rsid w:val="0019443D"/>
    <w:rsid w:val="001B0034"/>
    <w:rsid w:val="001C5304"/>
    <w:rsid w:val="001E30F6"/>
    <w:rsid w:val="00220ED5"/>
    <w:rsid w:val="002316D0"/>
    <w:rsid w:val="00235F5C"/>
    <w:rsid w:val="00256EAB"/>
    <w:rsid w:val="00274FE4"/>
    <w:rsid w:val="002A37E4"/>
    <w:rsid w:val="002A71D5"/>
    <w:rsid w:val="002B020D"/>
    <w:rsid w:val="002B4922"/>
    <w:rsid w:val="002C2D19"/>
    <w:rsid w:val="002D10FA"/>
    <w:rsid w:val="002D4C55"/>
    <w:rsid w:val="0032623A"/>
    <w:rsid w:val="00370383"/>
    <w:rsid w:val="003710AE"/>
    <w:rsid w:val="0038214C"/>
    <w:rsid w:val="003B659E"/>
    <w:rsid w:val="003F5269"/>
    <w:rsid w:val="00410C1C"/>
    <w:rsid w:val="00417AA0"/>
    <w:rsid w:val="00430286"/>
    <w:rsid w:val="0043750A"/>
    <w:rsid w:val="00443559"/>
    <w:rsid w:val="00450F5D"/>
    <w:rsid w:val="00463825"/>
    <w:rsid w:val="004B7B4A"/>
    <w:rsid w:val="004C1EB4"/>
    <w:rsid w:val="004D7F9F"/>
    <w:rsid w:val="004E27A4"/>
    <w:rsid w:val="004E5E66"/>
    <w:rsid w:val="004F3D3B"/>
    <w:rsid w:val="00503B4D"/>
    <w:rsid w:val="00504EE9"/>
    <w:rsid w:val="005240B7"/>
    <w:rsid w:val="0054442C"/>
    <w:rsid w:val="00550285"/>
    <w:rsid w:val="005836F8"/>
    <w:rsid w:val="005918FA"/>
    <w:rsid w:val="005D0338"/>
    <w:rsid w:val="005E61A8"/>
    <w:rsid w:val="005F6419"/>
    <w:rsid w:val="00614105"/>
    <w:rsid w:val="00617400"/>
    <w:rsid w:val="0064018C"/>
    <w:rsid w:val="00660DC2"/>
    <w:rsid w:val="00664950"/>
    <w:rsid w:val="006764BB"/>
    <w:rsid w:val="00683220"/>
    <w:rsid w:val="00686034"/>
    <w:rsid w:val="00687FA0"/>
    <w:rsid w:val="006B2AF8"/>
    <w:rsid w:val="006B7010"/>
    <w:rsid w:val="006F4187"/>
    <w:rsid w:val="00702B7D"/>
    <w:rsid w:val="007145FF"/>
    <w:rsid w:val="00751515"/>
    <w:rsid w:val="00754AAA"/>
    <w:rsid w:val="00785232"/>
    <w:rsid w:val="007A6422"/>
    <w:rsid w:val="007C33D9"/>
    <w:rsid w:val="007C3ED0"/>
    <w:rsid w:val="007C4C53"/>
    <w:rsid w:val="007F6B81"/>
    <w:rsid w:val="00806A76"/>
    <w:rsid w:val="00811C9D"/>
    <w:rsid w:val="00816C80"/>
    <w:rsid w:val="00820C48"/>
    <w:rsid w:val="00835C66"/>
    <w:rsid w:val="00841BCD"/>
    <w:rsid w:val="008826C1"/>
    <w:rsid w:val="00895AE0"/>
    <w:rsid w:val="008A23C5"/>
    <w:rsid w:val="008A686F"/>
    <w:rsid w:val="008C37E4"/>
    <w:rsid w:val="008C6F57"/>
    <w:rsid w:val="009042BD"/>
    <w:rsid w:val="009153D4"/>
    <w:rsid w:val="00921C13"/>
    <w:rsid w:val="009249B4"/>
    <w:rsid w:val="00977E1D"/>
    <w:rsid w:val="009830D1"/>
    <w:rsid w:val="00985EAF"/>
    <w:rsid w:val="0099686D"/>
    <w:rsid w:val="009B2113"/>
    <w:rsid w:val="009C0262"/>
    <w:rsid w:val="009C3226"/>
    <w:rsid w:val="009C4527"/>
    <w:rsid w:val="009E3C11"/>
    <w:rsid w:val="00A0203F"/>
    <w:rsid w:val="00A02AF0"/>
    <w:rsid w:val="00A077CE"/>
    <w:rsid w:val="00A15A9F"/>
    <w:rsid w:val="00A22B78"/>
    <w:rsid w:val="00A25AE5"/>
    <w:rsid w:val="00A37002"/>
    <w:rsid w:val="00A506FD"/>
    <w:rsid w:val="00A7492F"/>
    <w:rsid w:val="00A86E66"/>
    <w:rsid w:val="00A95C98"/>
    <w:rsid w:val="00AA1B0E"/>
    <w:rsid w:val="00AA1C57"/>
    <w:rsid w:val="00AA1E5C"/>
    <w:rsid w:val="00AC1214"/>
    <w:rsid w:val="00AC2B38"/>
    <w:rsid w:val="00AC5CA7"/>
    <w:rsid w:val="00AE56B1"/>
    <w:rsid w:val="00AE6451"/>
    <w:rsid w:val="00B16397"/>
    <w:rsid w:val="00B53D00"/>
    <w:rsid w:val="00B5454D"/>
    <w:rsid w:val="00B73862"/>
    <w:rsid w:val="00B74C1F"/>
    <w:rsid w:val="00B8606D"/>
    <w:rsid w:val="00BA6E48"/>
    <w:rsid w:val="00BF2218"/>
    <w:rsid w:val="00C04855"/>
    <w:rsid w:val="00C0541A"/>
    <w:rsid w:val="00C073BD"/>
    <w:rsid w:val="00C203DD"/>
    <w:rsid w:val="00C26CD1"/>
    <w:rsid w:val="00C42272"/>
    <w:rsid w:val="00C42DCE"/>
    <w:rsid w:val="00C74935"/>
    <w:rsid w:val="00C75C3E"/>
    <w:rsid w:val="00C83C46"/>
    <w:rsid w:val="00CB5915"/>
    <w:rsid w:val="00CD7492"/>
    <w:rsid w:val="00CE1EBA"/>
    <w:rsid w:val="00CE3A6B"/>
    <w:rsid w:val="00D00211"/>
    <w:rsid w:val="00D03FC6"/>
    <w:rsid w:val="00D06309"/>
    <w:rsid w:val="00D351EA"/>
    <w:rsid w:val="00D43403"/>
    <w:rsid w:val="00D62E71"/>
    <w:rsid w:val="00D718F1"/>
    <w:rsid w:val="00D740CA"/>
    <w:rsid w:val="00D762F2"/>
    <w:rsid w:val="00D824D2"/>
    <w:rsid w:val="00D82C09"/>
    <w:rsid w:val="00D85728"/>
    <w:rsid w:val="00DA7616"/>
    <w:rsid w:val="00DD7E8A"/>
    <w:rsid w:val="00DF2997"/>
    <w:rsid w:val="00E20ED2"/>
    <w:rsid w:val="00E246CE"/>
    <w:rsid w:val="00E31948"/>
    <w:rsid w:val="00E36D4B"/>
    <w:rsid w:val="00E52560"/>
    <w:rsid w:val="00E53F93"/>
    <w:rsid w:val="00E6027A"/>
    <w:rsid w:val="00E6410D"/>
    <w:rsid w:val="00E80E17"/>
    <w:rsid w:val="00E8297E"/>
    <w:rsid w:val="00E93772"/>
    <w:rsid w:val="00EA1732"/>
    <w:rsid w:val="00EB41AB"/>
    <w:rsid w:val="00EB47E3"/>
    <w:rsid w:val="00EB55EA"/>
    <w:rsid w:val="00EC7BC3"/>
    <w:rsid w:val="00ED7600"/>
    <w:rsid w:val="00EE15DB"/>
    <w:rsid w:val="00EE7CB7"/>
    <w:rsid w:val="00EF236A"/>
    <w:rsid w:val="00F03CC9"/>
    <w:rsid w:val="00F1362C"/>
    <w:rsid w:val="00F33E59"/>
    <w:rsid w:val="00F34499"/>
    <w:rsid w:val="00F44843"/>
    <w:rsid w:val="00F45713"/>
    <w:rsid w:val="00F52735"/>
    <w:rsid w:val="00F64F6E"/>
    <w:rsid w:val="00F824F5"/>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5240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5240B7"/>
    <w:rPr>
      <w:rFonts w:asciiTheme="majorHAnsi" w:eastAsiaTheme="majorEastAsia" w:hAnsiTheme="majorHAnsi" w:cstheme="majorBidi"/>
      <w:i/>
      <w:iCs/>
      <w:color w:val="2F5496" w:themeColor="accent1" w:themeShade="BF"/>
      <w:sz w:val="20"/>
    </w:rPr>
  </w:style>
  <w:style w:type="paragraph" w:customStyle="1" w:styleId="B1">
    <w:name w:val="B1"/>
    <w:basedOn w:val="Normal"/>
    <w:link w:val="B1Char"/>
    <w:rsid w:val="00F64F6E"/>
    <w:pPr>
      <w:spacing w:before="0" w:after="180" w:line="240" w:lineRule="auto"/>
      <w:ind w:left="568" w:hanging="284"/>
    </w:pPr>
    <w:rPr>
      <w:rFonts w:eastAsia="宋体" w:cs="Times New Roman"/>
      <w:szCs w:val="20"/>
      <w:lang w:val="en-GB"/>
    </w:rPr>
  </w:style>
  <w:style w:type="character" w:customStyle="1" w:styleId="B1Char">
    <w:name w:val="B1 Char"/>
    <w:link w:val="B1"/>
    <w:rsid w:val="00F64F6E"/>
    <w:rPr>
      <w:rFonts w:ascii="Times New Roman" w:eastAsia="宋体" w:hAnsi="Times New Roman" w:cs="Times New Roman"/>
      <w:sz w:val="20"/>
      <w:szCs w:val="20"/>
      <w:lang w:val="en-GB"/>
    </w:rPr>
  </w:style>
  <w:style w:type="table" w:customStyle="1" w:styleId="TableGrid2">
    <w:name w:val="Table Grid2"/>
    <w:basedOn w:val="TableNormal"/>
    <w:next w:val="TableGrid"/>
    <w:uiPriority w:val="39"/>
    <w:rsid w:val="00C26CD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A4EDD-A834-4769-B5E9-1B66A1F7F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1</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39</cp:revision>
  <dcterms:created xsi:type="dcterms:W3CDTF">2018-05-01T11:51:00Z</dcterms:created>
  <dcterms:modified xsi:type="dcterms:W3CDTF">2018-08-10T15:41:00Z</dcterms:modified>
</cp:coreProperties>
</file>