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83C99" w14:textId="638BE4E6" w:rsidR="003114E0" w:rsidRPr="00B61EF5" w:rsidRDefault="003114E0" w:rsidP="003114E0">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1008B4" w:rsidRPr="001008B4">
        <w:rPr>
          <w:rFonts w:ascii="Arial" w:eastAsia="MS Mincho" w:hAnsi="Arial" w:cs="Arial"/>
          <w:b/>
          <w:sz w:val="24"/>
          <w:szCs w:val="24"/>
          <w:lang w:val="en-US"/>
        </w:rPr>
        <w:t>R4-1807748</w:t>
      </w:r>
    </w:p>
    <w:p w14:paraId="47E9BA3C" w14:textId="77777777" w:rsidR="003114E0" w:rsidRPr="00B61EF5" w:rsidRDefault="003114E0" w:rsidP="003114E0">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bookmarkStart w:id="0" w:name="_GoBack"/>
      <w:bookmarkEnd w:id="0"/>
    </w:p>
    <w:p w14:paraId="59C6F8F4" w14:textId="5CCC78FE" w:rsidR="009451FB" w:rsidRPr="000760AB"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912FD0" w:rsidRPr="00912FD0">
        <w:rPr>
          <w:rFonts w:ascii="Arial" w:hAnsi="Arial" w:cs="Arial"/>
          <w:sz w:val="22"/>
          <w:szCs w:val="22"/>
        </w:rPr>
        <w:t>Discussion on necessity of the MSR EMC specification</w:t>
      </w:r>
    </w:p>
    <w:p w14:paraId="414984A7" w14:textId="663942C2" w:rsidR="009451FB" w:rsidRPr="005C4666" w:rsidRDefault="009451FB" w:rsidP="009451FB">
      <w:pPr>
        <w:tabs>
          <w:tab w:val="left" w:pos="1985"/>
        </w:tabs>
        <w:jc w:val="both"/>
        <w:rPr>
          <w:rFonts w:ascii="Arial" w:hAnsi="Arial" w:cs="Arial"/>
          <w:b/>
          <w:color w:val="000000" w:themeColor="text1"/>
          <w:sz w:val="22"/>
          <w:szCs w:val="22"/>
          <w:lang w:eastAsia="zh-CN"/>
        </w:rPr>
      </w:pPr>
      <w:r w:rsidRPr="000760AB">
        <w:rPr>
          <w:rFonts w:ascii="Arial" w:hAnsi="Arial" w:cs="Arial"/>
          <w:b/>
          <w:color w:val="000000" w:themeColor="text1"/>
          <w:sz w:val="22"/>
          <w:szCs w:val="22"/>
        </w:rPr>
        <w:t>Agenda Item:</w:t>
      </w:r>
      <w:r w:rsidRPr="000760AB">
        <w:rPr>
          <w:rFonts w:ascii="Arial" w:hAnsi="Arial" w:cs="Arial"/>
          <w:b/>
          <w:color w:val="000000" w:themeColor="text1"/>
          <w:sz w:val="22"/>
          <w:szCs w:val="22"/>
        </w:rPr>
        <w:tab/>
      </w:r>
      <w:r w:rsidR="00912FD0">
        <w:rPr>
          <w:rFonts w:ascii="Arial" w:hAnsi="Arial" w:cs="Arial"/>
          <w:color w:val="000000" w:themeColor="text1"/>
          <w:sz w:val="22"/>
          <w:szCs w:val="22"/>
        </w:rPr>
        <w:t>7.9</w:t>
      </w:r>
      <w:r w:rsidR="003114E0" w:rsidRPr="000760AB">
        <w:rPr>
          <w:rFonts w:ascii="Arial" w:hAnsi="Arial" w:cs="Arial"/>
          <w:color w:val="000000" w:themeColor="text1"/>
          <w:sz w:val="22"/>
          <w:szCs w:val="22"/>
        </w:rPr>
        <w:t xml:space="preserve"> </w:t>
      </w:r>
      <w:r w:rsidR="006E1A5F" w:rsidRPr="000760AB">
        <w:rPr>
          <w:rFonts w:ascii="Arial" w:hAnsi="Arial" w:cs="Arial"/>
          <w:color w:val="000000" w:themeColor="text1"/>
          <w:sz w:val="22"/>
          <w:szCs w:val="22"/>
        </w:rPr>
        <w:t>(</w:t>
      </w:r>
      <w:r w:rsidR="00912FD0">
        <w:rPr>
          <w:rFonts w:ascii="Arial" w:hAnsi="Arial" w:cs="Arial"/>
          <w:color w:val="000000" w:themeColor="text1"/>
          <w:sz w:val="22"/>
          <w:szCs w:val="22"/>
        </w:rPr>
        <w:t>NR BS EMC</w:t>
      </w:r>
      <w:r w:rsidR="006E1A5F" w:rsidRPr="000760AB">
        <w:rPr>
          <w:rFonts w:ascii="Arial" w:hAnsi="Arial" w:cs="Arial"/>
          <w:color w:val="000000" w:themeColor="text1"/>
          <w:sz w:val="22"/>
          <w:szCs w:val="22"/>
        </w:rPr>
        <w:t>)</w:t>
      </w:r>
    </w:p>
    <w:p w14:paraId="3C72D69B" w14:textId="3591E6AB" w:rsidR="009451FB" w:rsidRPr="002650D2" w:rsidRDefault="009451FB" w:rsidP="009451FB">
      <w:pPr>
        <w:tabs>
          <w:tab w:val="left" w:pos="1985"/>
        </w:tabs>
        <w:jc w:val="both"/>
        <w:rPr>
          <w:rFonts w:ascii="Arial" w:hAnsi="Arial" w:cs="Arial"/>
          <w:b/>
          <w:sz w:val="22"/>
          <w:szCs w:val="22"/>
          <w:lang w:eastAsia="zh-CN"/>
        </w:rPr>
      </w:pPr>
      <w:r w:rsidRPr="005C4666">
        <w:rPr>
          <w:rFonts w:ascii="Arial" w:hAnsi="Arial" w:cs="Arial"/>
          <w:b/>
          <w:sz w:val="22"/>
          <w:szCs w:val="22"/>
        </w:rPr>
        <w:t>Document for:</w:t>
      </w:r>
      <w:r w:rsidRPr="005C4666">
        <w:rPr>
          <w:rFonts w:ascii="Arial" w:hAnsi="Arial" w:cs="Arial"/>
          <w:b/>
          <w:sz w:val="22"/>
          <w:szCs w:val="22"/>
        </w:rPr>
        <w:tab/>
      </w:r>
      <w:r w:rsidR="00BE630B" w:rsidRPr="005C4666">
        <w:rPr>
          <w:rFonts w:ascii="Arial" w:hAnsi="Arial" w:cs="Arial"/>
          <w:color w:val="000000" w:themeColor="text1"/>
          <w:sz w:val="22"/>
          <w:szCs w:val="22"/>
        </w:rPr>
        <w:t>Discussion</w:t>
      </w:r>
      <w:r w:rsidR="00BE75FE">
        <w:rPr>
          <w:rFonts w:ascii="Arial" w:hAnsi="Arial" w:cs="Arial"/>
          <w:color w:val="000000" w:themeColor="text1"/>
          <w:sz w:val="22"/>
          <w:szCs w:val="22"/>
        </w:rPr>
        <w:t xml:space="preserve"> </w:t>
      </w:r>
    </w:p>
    <w:p w14:paraId="1C9FCD48" w14:textId="77777777" w:rsidR="00CA5E15" w:rsidRDefault="00D6118C" w:rsidP="00CD0C91">
      <w:pPr>
        <w:pStyle w:val="Heading1"/>
      </w:pPr>
      <w:r w:rsidRPr="00A26046">
        <w:t>Introduction</w:t>
      </w:r>
    </w:p>
    <w:p w14:paraId="4208F796" w14:textId="2100EA8B" w:rsidR="00E200E0" w:rsidRPr="00E200E0" w:rsidRDefault="00912FD0" w:rsidP="00912FD0">
      <w:r w:rsidRPr="00E200E0">
        <w:t xml:space="preserve">During </w:t>
      </w:r>
      <w:r w:rsidR="00E200E0" w:rsidRPr="00E200E0">
        <w:t xml:space="preserve">RAN4#86bis meeting, discussion was held on the NR inclusion into the MSR EMC and AAS EMC specifications, as this is required by the NR WID [1]. During offline discussion, some companies shared the view on the necessity of the MSR EMC specification. </w:t>
      </w:r>
    </w:p>
    <w:p w14:paraId="53586344" w14:textId="14714DDC" w:rsidR="001E1CB0" w:rsidRPr="00F034EA" w:rsidRDefault="002F4BBD" w:rsidP="001E1CB0">
      <w:r w:rsidRPr="00E200E0">
        <w:t>In this contribution</w:t>
      </w:r>
      <w:r w:rsidR="00E200E0" w:rsidRPr="00E200E0">
        <w:t xml:space="preserve"> we are </w:t>
      </w:r>
      <w:r w:rsidR="000A1124">
        <w:t>briefly evaluating</w:t>
      </w:r>
      <w:r w:rsidR="00E200E0" w:rsidRPr="00E200E0">
        <w:t xml:space="preserve"> the need for the MSR EMC specification </w:t>
      </w:r>
      <w:r w:rsidR="000A1124">
        <w:t>TS 37.113, based on the comparison of its content with the single RAT E-UTRA EMC specification in TS 36.113</w:t>
      </w:r>
      <w:r w:rsidR="00E200E0" w:rsidRPr="00E200E0">
        <w:t>.</w:t>
      </w:r>
      <w:r w:rsidR="000A1124">
        <w:t xml:space="preserve"> We also refer to the structure of the AAS EMC and provide the suggested way forward.</w:t>
      </w:r>
    </w:p>
    <w:p w14:paraId="53B179CB" w14:textId="77777777" w:rsidR="00993B4F" w:rsidRDefault="00EB076D" w:rsidP="002F4BBD">
      <w:pPr>
        <w:pStyle w:val="Heading1"/>
      </w:pPr>
      <w:r w:rsidRPr="00F034EA">
        <w:t>Discussion</w:t>
      </w:r>
    </w:p>
    <w:p w14:paraId="2D13D9E3" w14:textId="238822E6" w:rsidR="00FB0CF6" w:rsidRPr="00562F14" w:rsidRDefault="00FB0CF6" w:rsidP="00562F14">
      <w:pPr>
        <w:rPr>
          <w:rFonts w:cs="v4.2.0"/>
        </w:rPr>
      </w:pPr>
      <w:r w:rsidRPr="00FB0CF6">
        <w:rPr>
          <w:rFonts w:cs="v4.2.0"/>
        </w:rPr>
        <w:t xml:space="preserve">The MSR EMC specification in TS 37.113 </w:t>
      </w:r>
      <w:r w:rsidR="00562F14">
        <w:rPr>
          <w:rFonts w:cs="v4.2.0"/>
        </w:rPr>
        <w:t xml:space="preserve">[2] </w:t>
      </w:r>
      <w:r w:rsidRPr="00FB0CF6">
        <w:rPr>
          <w:rFonts w:cs="v4.2.0"/>
        </w:rPr>
        <w:t xml:space="preserve">covers the </w:t>
      </w:r>
      <w:r w:rsidRPr="00E62E2A">
        <w:rPr>
          <w:rFonts w:cs="v4.2.0"/>
        </w:rPr>
        <w:t xml:space="preserve">assessment of </w:t>
      </w:r>
      <w:r w:rsidRPr="00E62E2A">
        <w:rPr>
          <w:rFonts w:cs="v5.0.0"/>
        </w:rPr>
        <w:t>E-UTRA, UTRA, GSM/EDGE and NB-IoT Multi-Standard Radio (MSR) Base Stations</w:t>
      </w:r>
      <w:r w:rsidRPr="00E62E2A">
        <w:rPr>
          <w:rFonts w:cs="v4.2.0"/>
        </w:rPr>
        <w:t xml:space="preserve"> and associated ancillary</w:t>
      </w:r>
      <w:r w:rsidRPr="00562F14">
        <w:rPr>
          <w:rFonts w:cs="v4.2.0"/>
        </w:rPr>
        <w:t xml:space="preserve"> equipment in respect of Electromagnetic Compatibility (EMC). </w:t>
      </w:r>
      <w:r w:rsidR="00562F14" w:rsidRPr="00562F14">
        <w:rPr>
          <w:rFonts w:cs="v4.2.0"/>
        </w:rPr>
        <w:t xml:space="preserve">TS 37.113 </w:t>
      </w:r>
      <w:r w:rsidRPr="00562F14">
        <w:rPr>
          <w:rFonts w:cs="v4.2.0"/>
        </w:rPr>
        <w:t xml:space="preserve">specifies the applicable test conditions, performance assessment and performance criteria for </w:t>
      </w:r>
      <w:r w:rsidRPr="00562F14">
        <w:rPr>
          <w:rFonts w:cs="v5.0.0"/>
        </w:rPr>
        <w:t>E-UTRA, UTRA, GSM/EDGE and NB-IoT Base Stations</w:t>
      </w:r>
      <w:r w:rsidRPr="00562F14">
        <w:rPr>
          <w:rFonts w:cs="v4.2.0"/>
        </w:rPr>
        <w:t xml:space="preserve"> and associated ancillary equipment in one of the following categories:</w:t>
      </w:r>
    </w:p>
    <w:p w14:paraId="6D9AA6F0" w14:textId="77777777" w:rsidR="00FB0CF6" w:rsidRPr="00E62E2A" w:rsidRDefault="00FB0CF6" w:rsidP="00FB0CF6">
      <w:pPr>
        <w:pStyle w:val="B1"/>
        <w:rPr>
          <w:rFonts w:cs="v4.2.0"/>
          <w:color w:val="000000" w:themeColor="text1"/>
        </w:rPr>
      </w:pPr>
      <w:r w:rsidRPr="00562F14">
        <w:rPr>
          <w:rFonts w:cs="v4.2.0"/>
        </w:rPr>
        <w:t>-</w:t>
      </w:r>
      <w:r w:rsidRPr="00562F14">
        <w:rPr>
          <w:rFonts w:cs="v4.2.0"/>
        </w:rPr>
        <w:tab/>
      </w:r>
      <w:r w:rsidRPr="00562F14">
        <w:rPr>
          <w:rFonts w:cs="v5.0.0"/>
        </w:rPr>
        <w:t>Multi-Standard Radio (</w:t>
      </w:r>
      <w:r w:rsidRPr="00562F14">
        <w:rPr>
          <w:rFonts w:cs="v4.2.0"/>
        </w:rPr>
        <w:t xml:space="preserve">MSR) </w:t>
      </w:r>
      <w:r w:rsidRPr="00E62E2A">
        <w:rPr>
          <w:rFonts w:cs="v4.2.0"/>
          <w:color w:val="000000" w:themeColor="text1"/>
        </w:rPr>
        <w:t>Base Stations for E-UTRA, UTRA and GSM/EDGE meeting the requirements of TS 37.104 [6], with conformance demonstrated by compliance to TS 37.141 [11].</w:t>
      </w:r>
    </w:p>
    <w:p w14:paraId="61033E58" w14:textId="77777777" w:rsidR="00FB0CF6" w:rsidRPr="00E62E2A" w:rsidRDefault="00FB0CF6" w:rsidP="00FB0CF6">
      <w:pPr>
        <w:pStyle w:val="B1"/>
        <w:rPr>
          <w:rFonts w:cs="v4.2.0"/>
          <w:color w:val="000000" w:themeColor="text1"/>
        </w:rPr>
      </w:pPr>
      <w:r w:rsidRPr="00E62E2A">
        <w:rPr>
          <w:rFonts w:cs="v4.2.0"/>
          <w:color w:val="000000" w:themeColor="text1"/>
        </w:rPr>
        <w:t>-</w:t>
      </w:r>
      <w:r w:rsidRPr="00E62E2A">
        <w:rPr>
          <w:rFonts w:cs="v4.2.0"/>
          <w:color w:val="000000" w:themeColor="text1"/>
        </w:rPr>
        <w:tab/>
        <w:t>Base Stations for E-UTRA meeting the requirements of TS 36.104 [4], with conformance demonstrated by compliance to TS 36.141 [9].</w:t>
      </w:r>
    </w:p>
    <w:p w14:paraId="547BAB3B" w14:textId="77777777" w:rsidR="00FB0CF6" w:rsidRPr="00E62E2A" w:rsidRDefault="00FB0CF6" w:rsidP="00FB0CF6">
      <w:pPr>
        <w:pStyle w:val="B1"/>
        <w:rPr>
          <w:rFonts w:cs="v4.2.0"/>
          <w:color w:val="000000" w:themeColor="text1"/>
        </w:rPr>
      </w:pPr>
      <w:r w:rsidRPr="00E62E2A">
        <w:rPr>
          <w:rFonts w:cs="v4.2.0"/>
          <w:color w:val="000000" w:themeColor="text1"/>
        </w:rPr>
        <w:t>-</w:t>
      </w:r>
      <w:r w:rsidRPr="00E62E2A">
        <w:rPr>
          <w:rFonts w:cs="v4.2.0"/>
          <w:color w:val="000000" w:themeColor="text1"/>
        </w:rPr>
        <w:tab/>
        <w:t>Base Stations for UTRA FDD meeting the requirements of TS 25.104 [2], with conformance demonstrated by compliance to TS 25.141 [7].</w:t>
      </w:r>
    </w:p>
    <w:p w14:paraId="2764DA8A" w14:textId="77777777" w:rsidR="00FB0CF6" w:rsidRPr="00E62E2A" w:rsidRDefault="00FB0CF6" w:rsidP="00FB0CF6">
      <w:pPr>
        <w:pStyle w:val="B1"/>
        <w:rPr>
          <w:rFonts w:cs="v4.2.0"/>
          <w:color w:val="000000" w:themeColor="text1"/>
        </w:rPr>
      </w:pPr>
      <w:r w:rsidRPr="00E62E2A">
        <w:rPr>
          <w:rFonts w:cs="v4.2.0"/>
          <w:color w:val="000000" w:themeColor="text1"/>
        </w:rPr>
        <w:t>-</w:t>
      </w:r>
      <w:r w:rsidRPr="00E62E2A">
        <w:rPr>
          <w:rFonts w:cs="v4.2.0"/>
          <w:color w:val="000000" w:themeColor="text1"/>
        </w:rPr>
        <w:tab/>
        <w:t>Base Stations for UTRA TDD meeting the requirements of TS 25.105 [3], with conformance demonstrated by compliance to TS 25.142 [8].</w:t>
      </w:r>
    </w:p>
    <w:p w14:paraId="6320AD62" w14:textId="77777777" w:rsidR="00FB0CF6" w:rsidRPr="00E62E2A" w:rsidRDefault="00FB0CF6" w:rsidP="00FB0CF6">
      <w:pPr>
        <w:pStyle w:val="B1"/>
        <w:rPr>
          <w:rFonts w:cs="v4.2.0"/>
          <w:color w:val="000000" w:themeColor="text1"/>
        </w:rPr>
      </w:pPr>
      <w:r w:rsidRPr="00E62E2A">
        <w:rPr>
          <w:rFonts w:cs="v4.2.0"/>
          <w:color w:val="000000" w:themeColor="text1"/>
        </w:rPr>
        <w:t>-</w:t>
      </w:r>
      <w:r w:rsidRPr="00E62E2A">
        <w:rPr>
          <w:rFonts w:cs="v4.2.0"/>
          <w:color w:val="000000" w:themeColor="text1"/>
        </w:rPr>
        <w:tab/>
        <w:t>Base Stations for GSM/EDGE meeting the requirements of TS 45.005 [5], with conformance demonstrated by compliance to TS 51.021 [10].</w:t>
      </w:r>
    </w:p>
    <w:p w14:paraId="77A86CDA" w14:textId="77777777" w:rsidR="00FB0CF6" w:rsidRPr="00E62E2A" w:rsidRDefault="00FB0CF6" w:rsidP="00FB0CF6">
      <w:pPr>
        <w:pStyle w:val="B1"/>
        <w:rPr>
          <w:rFonts w:cs="v4.2.0"/>
          <w:color w:val="000000" w:themeColor="text1"/>
        </w:rPr>
      </w:pPr>
      <w:r w:rsidRPr="00E62E2A">
        <w:rPr>
          <w:rFonts w:cs="v4.2.0"/>
          <w:color w:val="000000" w:themeColor="text1"/>
        </w:rPr>
        <w:t xml:space="preserve">- </w:t>
      </w:r>
      <w:r w:rsidRPr="00E62E2A">
        <w:rPr>
          <w:rFonts w:cs="v4.2.0"/>
          <w:color w:val="000000" w:themeColor="text1"/>
        </w:rPr>
        <w:tab/>
        <w:t>Base Stations for NB-IoT meeting the requirements of TS 36.104 [4], with conformance demonstrated by compliance to TS 36.141 [9].</w:t>
      </w:r>
    </w:p>
    <w:p w14:paraId="4654769F" w14:textId="77777777" w:rsidR="004E6021" w:rsidRPr="00FE38D9" w:rsidRDefault="004E6021" w:rsidP="004E6021">
      <w:pPr>
        <w:rPr>
          <w:rFonts w:cs="v4.2.0"/>
        </w:rPr>
      </w:pPr>
      <w:r w:rsidRPr="00FE38D9">
        <w:rPr>
          <w:rFonts w:cs="v4.2.0"/>
        </w:rPr>
        <w:t>In addition to MSR base stations, the present document covers other BS supporting more than one RAT.</w:t>
      </w:r>
    </w:p>
    <w:p w14:paraId="37F87348" w14:textId="4A8D79A3" w:rsidR="00A355F8" w:rsidRPr="00A355F8" w:rsidRDefault="00A355F8" w:rsidP="00A355F8">
      <w:pPr>
        <w:pStyle w:val="Heading2"/>
      </w:pPr>
      <w:r w:rsidRPr="00A355F8">
        <w:t>Comparison of the MSR EMC and E-UTRA BS EMC specifications</w:t>
      </w:r>
    </w:p>
    <w:p w14:paraId="192FB80C" w14:textId="309B3E2A" w:rsidR="00FB0CF6" w:rsidRPr="00A355F8" w:rsidRDefault="00A355F8" w:rsidP="00E200E0">
      <w:r w:rsidRPr="00A355F8">
        <w:t xml:space="preserve">Based on the analysis of the MSR EMC TS 37.113 and E-UTRA BS EMC TS 36.113 [3] specifications, the following observations were made: </w:t>
      </w:r>
    </w:p>
    <w:p w14:paraId="0C0ED8AE" w14:textId="408FBD4B" w:rsidR="00A355F8" w:rsidRDefault="00A355F8" w:rsidP="00A355F8">
      <w:pPr>
        <w:pStyle w:val="ListParagraph"/>
        <w:numPr>
          <w:ilvl w:val="0"/>
          <w:numId w:val="15"/>
        </w:numPr>
        <w:ind w:firstLineChars="0"/>
      </w:pPr>
      <w:r w:rsidRPr="00A355F8">
        <w:t>Clause 4</w:t>
      </w:r>
      <w:r>
        <w:t xml:space="preserve"> (Test conditions)</w:t>
      </w:r>
      <w:r w:rsidRPr="00A355F8">
        <w:t>:</w:t>
      </w:r>
      <w:r>
        <w:t xml:space="preserve"> The MSR specification provides </w:t>
      </w:r>
      <w:r w:rsidR="00861628">
        <w:t>additional (over the SRAT EMC spec</w:t>
      </w:r>
      <w:r w:rsidR="00D54F9C">
        <w:t>ifications</w:t>
      </w:r>
      <w:r w:rsidR="00861628">
        <w:t xml:space="preserve">) </w:t>
      </w:r>
      <w:r>
        <w:t xml:space="preserve">information </w:t>
      </w:r>
      <w:r w:rsidR="00861628">
        <w:t xml:space="preserve">on </w:t>
      </w:r>
      <w:r w:rsidR="00D54F9C">
        <w:t xml:space="preserve">test coverage, e.g. </w:t>
      </w:r>
    </w:p>
    <w:p w14:paraId="02CC3D16" w14:textId="28C5AD61" w:rsidR="00D54F9C" w:rsidRPr="00751EB4" w:rsidRDefault="00D54F9C" w:rsidP="00D54F9C">
      <w:pPr>
        <w:pStyle w:val="ListParagraph"/>
        <w:numPr>
          <w:ilvl w:val="1"/>
          <w:numId w:val="15"/>
        </w:numPr>
        <w:ind w:firstLineChars="0"/>
      </w:pPr>
      <w:r>
        <w:t>“</w:t>
      </w:r>
      <w:r w:rsidRPr="00D54F9C">
        <w:rPr>
          <w:rFonts w:cs="v4.2.0"/>
          <w:i/>
          <w:lang w:eastAsia="en-GB"/>
        </w:rPr>
        <w:t>Tests shall be performed relating to each type of port, and need not be repeated for each RAT if operating RATs are assessed simultaneously during the test</w:t>
      </w:r>
      <w:r w:rsidRPr="00D54F9C">
        <w:rPr>
          <w:rFonts w:cs="v4.2.0"/>
          <w:lang w:eastAsia="en-GB"/>
        </w:rPr>
        <w:t>.</w:t>
      </w:r>
      <w:r>
        <w:rPr>
          <w:rFonts w:cs="v4.2.0"/>
          <w:lang w:eastAsia="en-GB"/>
        </w:rPr>
        <w:t xml:space="preserve">” This information saves testing effort. This type of information can be only kept in the MSR EMC specification and does not belong to the SRAT EMC specifications. </w:t>
      </w:r>
    </w:p>
    <w:p w14:paraId="7DAA5EC5" w14:textId="7790D150" w:rsidR="00A23B1F" w:rsidRDefault="00A23B1F" w:rsidP="00A23B1F">
      <w:pPr>
        <w:pStyle w:val="ListParagraph"/>
        <w:numPr>
          <w:ilvl w:val="0"/>
          <w:numId w:val="15"/>
        </w:numPr>
        <w:ind w:firstLineChars="0"/>
      </w:pPr>
      <w:r>
        <w:t>Subclause 4.2 (</w:t>
      </w:r>
      <w:r w:rsidRPr="00FE38D9">
        <w:rPr>
          <w:lang w:eastAsia="en-GB"/>
        </w:rPr>
        <w:t>Arrangements for establishing a communication link</w:t>
      </w:r>
      <w:r>
        <w:t xml:space="preserve">): </w:t>
      </w:r>
      <w:r w:rsidR="007A43A2">
        <w:t>even though RAT-specific aspects were captured in this subclause, which can be seen as redundant</w:t>
      </w:r>
      <w:r w:rsidR="00FD6D0F">
        <w:t xml:space="preserve"> from SRAT EMC point of view</w:t>
      </w:r>
      <w:r w:rsidR="007A43A2">
        <w:t xml:space="preserve">, it is observed that information on GSM/EDGE </w:t>
      </w:r>
      <w:r w:rsidR="00FD6D0F">
        <w:t>is not provided elsewhere,</w:t>
      </w:r>
      <w:r w:rsidR="007A43A2">
        <w:t xml:space="preserve"> </w:t>
      </w:r>
    </w:p>
    <w:p w14:paraId="7820D657" w14:textId="453DF2B8" w:rsidR="005C5902" w:rsidRDefault="00B63E95" w:rsidP="005C5902">
      <w:pPr>
        <w:pStyle w:val="ListParagraph"/>
        <w:numPr>
          <w:ilvl w:val="0"/>
          <w:numId w:val="15"/>
        </w:numPr>
        <w:ind w:firstLineChars="0"/>
      </w:pPr>
      <w:r>
        <w:lastRenderedPageBreak/>
        <w:t>Subclause 4.5 (</w:t>
      </w:r>
      <w:r w:rsidRPr="00FE38D9">
        <w:t>BS test configurations</w:t>
      </w:r>
      <w:r>
        <w:t>)</w:t>
      </w:r>
      <w:r w:rsidR="005C5902">
        <w:t xml:space="preserve">: </w:t>
      </w:r>
      <w:r w:rsidR="005022E7" w:rsidRPr="00FE38D9">
        <w:t>defines the BS test configurations that shall be used for demonstrating conformance</w:t>
      </w:r>
      <w:r w:rsidR="005022E7">
        <w:t xml:space="preserve"> depending on the MSR capability sets declared for the BS. This information is specific to the MSR specifications and not available in SRAT EMC specs. </w:t>
      </w:r>
    </w:p>
    <w:p w14:paraId="2EC369C0" w14:textId="2283EAA7" w:rsidR="00A355F8" w:rsidRPr="00A355F8" w:rsidRDefault="00A355F8" w:rsidP="00A355F8">
      <w:pPr>
        <w:pStyle w:val="ListParagraph"/>
        <w:numPr>
          <w:ilvl w:val="0"/>
          <w:numId w:val="15"/>
        </w:numPr>
        <w:ind w:firstLineChars="0"/>
      </w:pPr>
      <w:r>
        <w:t>Clause 5 (</w:t>
      </w:r>
      <w:r w:rsidR="005022E7">
        <w:t>Performance assessment</w:t>
      </w:r>
      <w:r>
        <w:t>)</w:t>
      </w:r>
      <w:r w:rsidRPr="00A355F8">
        <w:t>:</w:t>
      </w:r>
      <w:r>
        <w:t xml:space="preserve"> </w:t>
      </w:r>
      <w:r w:rsidR="005022E7">
        <w:t xml:space="preserve">despite consideration of multiple RATs and their specific Performance criteria, a lot of text of this clause is shared with the legacy specifications. </w:t>
      </w:r>
    </w:p>
    <w:p w14:paraId="2E8E93A8" w14:textId="0B1C2B08" w:rsidR="00A355F8" w:rsidRDefault="006D700E" w:rsidP="00A355F8">
      <w:pPr>
        <w:pStyle w:val="ListParagraph"/>
        <w:numPr>
          <w:ilvl w:val="0"/>
          <w:numId w:val="15"/>
        </w:numPr>
        <w:ind w:firstLineChars="0"/>
      </w:pPr>
      <w:r>
        <w:t xml:space="preserve">Clause 7 (Applicability): those clauses in MSR EMC and EUTRA EMC specs are almost the same. </w:t>
      </w:r>
    </w:p>
    <w:p w14:paraId="3F967BE7" w14:textId="22CE0CFD" w:rsidR="006D700E" w:rsidRDefault="000A1124" w:rsidP="00A355F8">
      <w:pPr>
        <w:pStyle w:val="ListParagraph"/>
        <w:numPr>
          <w:ilvl w:val="0"/>
          <w:numId w:val="15"/>
        </w:numPr>
        <w:ind w:firstLineChars="0"/>
      </w:pPr>
      <w:r>
        <w:t xml:space="preserve">Clause 8 (Emission requirements): great parts of those sections in MSR EMC and EUTRA EMC are the same. </w:t>
      </w:r>
    </w:p>
    <w:p w14:paraId="4DABEC4F" w14:textId="5BAD436F" w:rsidR="000A1124" w:rsidRPr="00A355F8" w:rsidRDefault="000A1124" w:rsidP="00A355F8">
      <w:pPr>
        <w:pStyle w:val="ListParagraph"/>
        <w:numPr>
          <w:ilvl w:val="0"/>
          <w:numId w:val="15"/>
        </w:numPr>
        <w:ind w:firstLineChars="0"/>
      </w:pPr>
      <w:r>
        <w:t>Clause 9 (Immunity requirements): great parts of those sections in MSR EMC and EUTRA EMC are the same.</w:t>
      </w:r>
    </w:p>
    <w:p w14:paraId="78500FC2" w14:textId="7A7E551B" w:rsidR="00971A3B" w:rsidRPr="00971A3B" w:rsidRDefault="00971A3B" w:rsidP="00E200E0">
      <w:r>
        <w:t xml:space="preserve">Considering the above list, it is seen that EMR EMC specification shall not be considered as the redundant specification, comparing to the single RAT EMC specifications. </w:t>
      </w:r>
    </w:p>
    <w:p w14:paraId="342782E5" w14:textId="371A05DC" w:rsidR="00562F14" w:rsidRPr="00B63E95" w:rsidRDefault="00B63E95" w:rsidP="00E200E0">
      <w:r w:rsidRPr="00B63E95">
        <w:rPr>
          <w:b/>
        </w:rPr>
        <w:t>Observation 1</w:t>
      </w:r>
      <w:r w:rsidRPr="00B63E95">
        <w:t>: there were multiple items identified in the TS 37.113, which provide valid and important information for the MSR product</w:t>
      </w:r>
      <w:r w:rsidR="00592E52">
        <w:t xml:space="preserve"> conformance</w:t>
      </w:r>
      <w:r w:rsidRPr="00B63E95">
        <w:t xml:space="preserve"> testing, e.g. the BS test configurations selection depending on the MSR Capability Set. </w:t>
      </w:r>
    </w:p>
    <w:p w14:paraId="51496D4B" w14:textId="74776A00" w:rsidR="00B63E95" w:rsidRDefault="00B63E95" w:rsidP="00E200E0">
      <w:r w:rsidRPr="00B63E95">
        <w:rPr>
          <w:b/>
        </w:rPr>
        <w:t>Proposal 1</w:t>
      </w:r>
      <w:r w:rsidRPr="00B63E95">
        <w:t>: keep maintaining the MSR EMC specification in RAN4</w:t>
      </w:r>
      <w:r w:rsidR="0066691F">
        <w:t>, due to value added information available in the general sections, e.g. BS test conditions</w:t>
      </w:r>
      <w:r w:rsidRPr="00B63E95">
        <w:t xml:space="preserve">. </w:t>
      </w:r>
    </w:p>
    <w:p w14:paraId="7C5F9F50" w14:textId="6FCB6353" w:rsidR="00592E52" w:rsidRPr="00B63E95" w:rsidRDefault="00592E52" w:rsidP="00E200E0">
      <w:r>
        <w:t xml:space="preserve">Still, referring to the above bullets, multiple clauses share great amount of the repeated text, e.g. clauses 7, 8, 9. From the maintenance point of view, there is room for improvements. </w:t>
      </w:r>
    </w:p>
    <w:p w14:paraId="02A0C3C3" w14:textId="41D5A1C1" w:rsidR="00592E52" w:rsidRDefault="00B63E95" w:rsidP="00E200E0">
      <w:r w:rsidRPr="00B63E95">
        <w:rPr>
          <w:b/>
        </w:rPr>
        <w:t>Proposal 2</w:t>
      </w:r>
      <w:r w:rsidRPr="00B63E95">
        <w:t>: in order to reduce the work overlaps, refer from the</w:t>
      </w:r>
      <w:r w:rsidR="00082FD0">
        <w:t xml:space="preserve"> MSR</w:t>
      </w:r>
      <w:r w:rsidRPr="00B63E95">
        <w:t xml:space="preserve"> EMC specification to the SRAT EMC specifications, where possible. </w:t>
      </w:r>
    </w:p>
    <w:p w14:paraId="72E845AF" w14:textId="2D6D8468" w:rsidR="00B63E95" w:rsidRPr="00B63E95" w:rsidRDefault="00592E52" w:rsidP="00E200E0">
      <w:r>
        <w:t xml:space="preserve">Details of potential inter-spec optimisations are out of scope of this specification and are FFS. </w:t>
      </w:r>
    </w:p>
    <w:p w14:paraId="18CBD751" w14:textId="031BCCF2" w:rsidR="00E3575A" w:rsidRDefault="00E3575A" w:rsidP="00751EB4">
      <w:pPr>
        <w:pStyle w:val="Heading2"/>
      </w:pPr>
      <w:r>
        <w:t>AAS EMC specification</w:t>
      </w:r>
    </w:p>
    <w:p w14:paraId="0363FCDB" w14:textId="66F7FCE2" w:rsidR="00CD1B8A" w:rsidRDefault="00CD1B8A" w:rsidP="00E3575A">
      <w:pPr>
        <w:rPr>
          <w:lang w:val="en-US" w:eastAsia="zh-CN"/>
        </w:rPr>
      </w:pPr>
      <w:r>
        <w:rPr>
          <w:lang w:val="en-US" w:eastAsia="zh-CN"/>
        </w:rPr>
        <w:t xml:space="preserve">The AAS BS EMC specification covers the UTRA, EUTRA and MSR. </w:t>
      </w:r>
    </w:p>
    <w:p w14:paraId="0261739F" w14:textId="7B4FC9A7" w:rsidR="00CD1B8A" w:rsidRDefault="00E3575A" w:rsidP="00E3575A">
      <w:pPr>
        <w:rPr>
          <w:lang w:val="en-US" w:eastAsia="zh-CN"/>
        </w:rPr>
      </w:pPr>
      <w:r>
        <w:rPr>
          <w:lang w:val="en-US" w:eastAsia="zh-CN"/>
        </w:rPr>
        <w:t xml:space="preserve">Referring to the </w:t>
      </w:r>
      <w:r w:rsidR="00CD1B8A">
        <w:rPr>
          <w:lang w:val="en-US" w:eastAsia="zh-CN"/>
        </w:rPr>
        <w:t xml:space="preserve">AAS BS EMC specification in </w:t>
      </w:r>
      <w:r>
        <w:rPr>
          <w:lang w:val="en-US" w:eastAsia="zh-CN"/>
        </w:rPr>
        <w:t xml:space="preserve">TS 37.114, one can notice that there are multiple references to the MSR EMC specification TS 37.113, in order to reuse its content. </w:t>
      </w:r>
      <w:r w:rsidR="00CD1B8A">
        <w:rPr>
          <w:lang w:val="en-US" w:eastAsia="zh-CN"/>
        </w:rPr>
        <w:t>Please note that that first release f the AAS EMC specification in TS 37.114 was basically purely based on cross-references to other RAN4 EMC specifications in TS25.113, TS36.113 and TS37.113.</w:t>
      </w:r>
    </w:p>
    <w:p w14:paraId="5F0FFAF7" w14:textId="6F9D3FD9" w:rsidR="00E3575A" w:rsidRDefault="00E3575A" w:rsidP="00E3575A">
      <w:pPr>
        <w:rPr>
          <w:lang w:val="en-US" w:eastAsia="zh-CN"/>
        </w:rPr>
      </w:pPr>
      <w:r>
        <w:rPr>
          <w:lang w:val="en-US" w:eastAsia="zh-CN"/>
        </w:rPr>
        <w:t xml:space="preserve">Potential withdrawal of TS 37.113 would require to first fix the other RAN4 EMC specifications and check for potential cross-referencing. </w:t>
      </w:r>
    </w:p>
    <w:p w14:paraId="42151DB2" w14:textId="3BAB4D68" w:rsidR="00E3575A" w:rsidRPr="00E3575A" w:rsidRDefault="00E3575A" w:rsidP="00E3575A">
      <w:pPr>
        <w:rPr>
          <w:lang w:val="en-US" w:eastAsia="zh-CN"/>
        </w:rPr>
      </w:pPr>
      <w:r w:rsidRPr="00E3575A">
        <w:rPr>
          <w:b/>
          <w:lang w:val="en-US" w:eastAsia="zh-CN"/>
        </w:rPr>
        <w:t>Observation</w:t>
      </w:r>
      <w:r w:rsidR="00082FD0">
        <w:rPr>
          <w:b/>
          <w:lang w:val="en-US" w:eastAsia="zh-CN"/>
        </w:rPr>
        <w:t xml:space="preserve"> 2</w:t>
      </w:r>
      <w:r>
        <w:rPr>
          <w:lang w:val="en-US" w:eastAsia="zh-CN"/>
        </w:rPr>
        <w:t>: Potential withdrawal of TS 37.113 would require to first fix the other RAN4 EMC specifications and check for potential cross-referencing.</w:t>
      </w:r>
    </w:p>
    <w:p w14:paraId="4FBE587F" w14:textId="345FB6F0" w:rsidR="00751EB4" w:rsidRPr="00A355F8" w:rsidRDefault="00751EB4" w:rsidP="00751EB4">
      <w:pPr>
        <w:pStyle w:val="Heading2"/>
      </w:pPr>
      <w:r w:rsidRPr="00A355F8">
        <w:t xml:space="preserve">EMC </w:t>
      </w:r>
      <w:r w:rsidR="008823F6">
        <w:t xml:space="preserve">for GSM </w:t>
      </w:r>
    </w:p>
    <w:p w14:paraId="006ECAE5" w14:textId="48AE5BC7" w:rsidR="00751EB4" w:rsidRDefault="008823F6" w:rsidP="00CD70FC">
      <w:r>
        <w:t xml:space="preserve">TS 37.113 MSR EMC specification covers </w:t>
      </w:r>
      <w:r w:rsidRPr="00FE38D9">
        <w:rPr>
          <w:rFonts w:cs="v5.0.0"/>
        </w:rPr>
        <w:t xml:space="preserve">E-UTRA, UTRA, GSM/EDGE and NB-IoT Multi-Standard Radio (MSR) </w:t>
      </w:r>
      <w:r>
        <w:rPr>
          <w:rFonts w:cs="v5.0.0"/>
        </w:rPr>
        <w:t xml:space="preserve">BS. </w:t>
      </w:r>
      <w:r w:rsidR="007A43A2" w:rsidRPr="007A43A2">
        <w:t xml:space="preserve">In case of the potential withdrawal of the TS 37.113 MSR EMC specification, it would be required to rely on the single RAT </w:t>
      </w:r>
      <w:r w:rsidR="00A641EE">
        <w:t xml:space="preserve">BS </w:t>
      </w:r>
      <w:r w:rsidR="007A43A2" w:rsidRPr="007A43A2">
        <w:t>EMC spe</w:t>
      </w:r>
      <w:r w:rsidR="007A43A2">
        <w:t xml:space="preserve">cifications: </w:t>
      </w:r>
    </w:p>
    <w:p w14:paraId="6C829447" w14:textId="351F3B5A" w:rsidR="007A43A2" w:rsidRDefault="007A43A2" w:rsidP="00FE081B">
      <w:pPr>
        <w:pStyle w:val="ListParagraph"/>
        <w:numPr>
          <w:ilvl w:val="0"/>
          <w:numId w:val="16"/>
        </w:numPr>
        <w:ind w:firstLineChars="0"/>
        <w:rPr>
          <w:lang w:eastAsia="en-GB"/>
        </w:rPr>
      </w:pPr>
      <w:r>
        <w:rPr>
          <w:lang w:eastAsia="en-GB"/>
        </w:rPr>
        <w:t xml:space="preserve">For </w:t>
      </w:r>
      <w:r w:rsidR="00FE081B">
        <w:rPr>
          <w:lang w:eastAsia="en-GB"/>
        </w:rPr>
        <w:t xml:space="preserve">the </w:t>
      </w:r>
      <w:r>
        <w:rPr>
          <w:lang w:eastAsia="en-GB"/>
        </w:rPr>
        <w:t xml:space="preserve">E-UTRA the TS 36.113 is available, </w:t>
      </w:r>
    </w:p>
    <w:p w14:paraId="77A9B35B" w14:textId="20CEB5C0" w:rsidR="007A43A2" w:rsidRDefault="007A43A2" w:rsidP="00FE081B">
      <w:pPr>
        <w:pStyle w:val="ListParagraph"/>
        <w:numPr>
          <w:ilvl w:val="0"/>
          <w:numId w:val="16"/>
        </w:numPr>
        <w:ind w:firstLineChars="0"/>
        <w:rPr>
          <w:lang w:eastAsia="en-GB"/>
        </w:rPr>
      </w:pPr>
      <w:r>
        <w:rPr>
          <w:lang w:eastAsia="en-GB"/>
        </w:rPr>
        <w:t xml:space="preserve">For </w:t>
      </w:r>
      <w:r w:rsidR="00FE081B">
        <w:rPr>
          <w:lang w:eastAsia="en-GB"/>
        </w:rPr>
        <w:t xml:space="preserve">the </w:t>
      </w:r>
      <w:r>
        <w:rPr>
          <w:lang w:eastAsia="en-GB"/>
        </w:rPr>
        <w:t xml:space="preserve">UTRA the TS 25.113 is available (covering both FDD and TDD), </w:t>
      </w:r>
    </w:p>
    <w:p w14:paraId="76AF2275" w14:textId="415E15AC" w:rsidR="007A43A2" w:rsidRPr="00FE38D9" w:rsidRDefault="007A43A2" w:rsidP="00FE081B">
      <w:pPr>
        <w:pStyle w:val="ListParagraph"/>
        <w:numPr>
          <w:ilvl w:val="0"/>
          <w:numId w:val="16"/>
        </w:numPr>
        <w:ind w:firstLineChars="0"/>
      </w:pPr>
      <w:r>
        <w:rPr>
          <w:lang w:eastAsia="en-GB"/>
        </w:rPr>
        <w:t xml:space="preserve">For </w:t>
      </w:r>
      <w:r w:rsidR="00FE081B">
        <w:rPr>
          <w:lang w:eastAsia="en-GB"/>
        </w:rPr>
        <w:t xml:space="preserve">the </w:t>
      </w:r>
      <w:r w:rsidRPr="00FE38D9">
        <w:rPr>
          <w:lang w:eastAsia="en-GB"/>
        </w:rPr>
        <w:t>GSM/EDGE</w:t>
      </w:r>
      <w:r w:rsidR="00FE081B">
        <w:rPr>
          <w:lang w:eastAsia="en-GB"/>
        </w:rPr>
        <w:t xml:space="preserve"> there is no EMC specification defined in the 45.xxx series (</w:t>
      </w:r>
      <w:r w:rsidR="00FE081B" w:rsidRPr="00FE081B">
        <w:rPr>
          <w:lang w:eastAsia="en-GB"/>
        </w:rPr>
        <w:t>GSM only (Rel-4 and later)</w:t>
      </w:r>
      <w:r w:rsidR="00FE081B">
        <w:rPr>
          <w:lang w:eastAsia="en-GB"/>
        </w:rPr>
        <w:t>), neither in 05 series (</w:t>
      </w:r>
      <w:r w:rsidR="00FE081B" w:rsidRPr="00FE081B">
        <w:rPr>
          <w:lang w:eastAsia="en-GB"/>
        </w:rPr>
        <w:t>GSM only (before Rel-4)</w:t>
      </w:r>
      <w:r w:rsidR="00FE081B">
        <w:rPr>
          <w:lang w:eastAsia="en-GB"/>
        </w:rPr>
        <w:t xml:space="preserve">),  </w:t>
      </w:r>
    </w:p>
    <w:p w14:paraId="07F8D082" w14:textId="16E02CDB" w:rsidR="007A43A2" w:rsidRDefault="00902B6D" w:rsidP="00CF04E3">
      <w:pPr>
        <w:pStyle w:val="ListParagraph"/>
        <w:numPr>
          <w:ilvl w:val="0"/>
          <w:numId w:val="16"/>
        </w:numPr>
        <w:ind w:firstLineChars="0"/>
      </w:pPr>
      <w:r>
        <w:rPr>
          <w:lang w:eastAsia="en-GB"/>
        </w:rPr>
        <w:t>For the NB-IoT,</w:t>
      </w:r>
      <w:r w:rsidR="007A43A2" w:rsidRPr="00FE38D9">
        <w:rPr>
          <w:lang w:eastAsia="en-GB"/>
        </w:rPr>
        <w:t xml:space="preserve"> </w:t>
      </w:r>
      <w:r>
        <w:rPr>
          <w:lang w:eastAsia="en-GB"/>
        </w:rPr>
        <w:t xml:space="preserve">it is </w:t>
      </w:r>
      <w:r w:rsidR="00F7555E">
        <w:rPr>
          <w:lang w:eastAsia="en-GB"/>
        </w:rPr>
        <w:t>covered</w:t>
      </w:r>
      <w:r>
        <w:rPr>
          <w:lang w:eastAsia="en-GB"/>
        </w:rPr>
        <w:t xml:space="preserve"> by the TS 36.113 specification (which covers </w:t>
      </w:r>
      <w:r w:rsidRPr="00902B6D">
        <w:rPr>
          <w:rFonts w:cs="v4.2.0"/>
        </w:rPr>
        <w:t>E-UTRA</w:t>
      </w:r>
      <w:r w:rsidRPr="00902B6D">
        <w:rPr>
          <w:rFonts w:cs="v5.0.0"/>
        </w:rPr>
        <w:t>, E-UTRA with NB-IoT or NB-IoT</w:t>
      </w:r>
      <w:r w:rsidRPr="00902B6D">
        <w:rPr>
          <w:rFonts w:cs="v4.2.0"/>
        </w:rPr>
        <w:t xml:space="preserve"> base stations</w:t>
      </w:r>
      <w:r>
        <w:rPr>
          <w:lang w:eastAsia="en-GB"/>
        </w:rPr>
        <w:t>).</w:t>
      </w:r>
    </w:p>
    <w:p w14:paraId="1BBDB20E" w14:textId="35C55A4F" w:rsidR="00902B6D" w:rsidRPr="00F7555E" w:rsidRDefault="00E258A0" w:rsidP="00902B6D">
      <w:r w:rsidRPr="00F7555E">
        <w:rPr>
          <w:b/>
        </w:rPr>
        <w:t>Observation</w:t>
      </w:r>
      <w:r w:rsidR="00082FD0" w:rsidRPr="00F7555E">
        <w:rPr>
          <w:b/>
        </w:rPr>
        <w:t xml:space="preserve"> 3</w:t>
      </w:r>
      <w:r w:rsidRPr="00F7555E">
        <w:t xml:space="preserve">: removal/withdrawal of the TS 37.113 would create inconsistency when comparing with the RF specification, i.e. the RF specification would cover the GSM/EDGE, while it would not be addressed by the EMC specifications in RAN4. </w:t>
      </w:r>
    </w:p>
    <w:p w14:paraId="36B29E38" w14:textId="77777777" w:rsidR="00AE01F1" w:rsidRPr="00F7555E" w:rsidRDefault="00AE01F1" w:rsidP="00AE01F1">
      <w:pPr>
        <w:pStyle w:val="Heading1"/>
        <w:rPr>
          <w:rFonts w:cs="Arial"/>
          <w:lang w:eastAsia="zh-CN"/>
        </w:rPr>
      </w:pPr>
      <w:r w:rsidRPr="00F7555E">
        <w:rPr>
          <w:rFonts w:cs="Arial"/>
          <w:lang w:eastAsia="zh-CN"/>
        </w:rPr>
        <w:lastRenderedPageBreak/>
        <w:t>Conclusion</w:t>
      </w:r>
    </w:p>
    <w:p w14:paraId="10C831C1" w14:textId="69025D9A" w:rsidR="0063062B" w:rsidRPr="00F7555E" w:rsidRDefault="00082FD0" w:rsidP="0069515E">
      <w:r w:rsidRPr="00F7555E">
        <w:t xml:space="preserve">Based on brief analysis of the validity of the MSR EMC specification in RAN4, the following was observed: </w:t>
      </w:r>
    </w:p>
    <w:p w14:paraId="11D3B2AE" w14:textId="77777777" w:rsidR="00082FD0" w:rsidRPr="00B63E95" w:rsidRDefault="00082FD0" w:rsidP="00082FD0">
      <w:r w:rsidRPr="00F7555E">
        <w:rPr>
          <w:b/>
        </w:rPr>
        <w:t>Observation 1</w:t>
      </w:r>
      <w:r w:rsidRPr="00F7555E">
        <w:t>: there were multiple items identified in the TS 37.113, which provide valid and important information for the MSR product conformance testing, e.g. the BS</w:t>
      </w:r>
      <w:r w:rsidRPr="00B63E95">
        <w:t xml:space="preserve"> test configurations selection depending on the MSR Capability Set. </w:t>
      </w:r>
    </w:p>
    <w:p w14:paraId="16ECFB8B" w14:textId="77777777" w:rsidR="00082FD0" w:rsidRPr="00E3575A" w:rsidRDefault="00082FD0" w:rsidP="00082FD0">
      <w:pPr>
        <w:rPr>
          <w:lang w:val="en-US" w:eastAsia="zh-CN"/>
        </w:rPr>
      </w:pPr>
      <w:r w:rsidRPr="00E3575A">
        <w:rPr>
          <w:b/>
          <w:lang w:val="en-US" w:eastAsia="zh-CN"/>
        </w:rPr>
        <w:t>Observation</w:t>
      </w:r>
      <w:r>
        <w:rPr>
          <w:b/>
          <w:lang w:val="en-US" w:eastAsia="zh-CN"/>
        </w:rPr>
        <w:t xml:space="preserve"> 2</w:t>
      </w:r>
      <w:r>
        <w:rPr>
          <w:lang w:val="en-US" w:eastAsia="zh-CN"/>
        </w:rPr>
        <w:t>: Potential withdrawal of TS 37.113 would require to first fix the other RAN4 EMC specifications and check for potential cross-referencing.</w:t>
      </w:r>
    </w:p>
    <w:p w14:paraId="2A7B47CD" w14:textId="77777777" w:rsidR="00082FD0" w:rsidRPr="007A43A2" w:rsidRDefault="00082FD0" w:rsidP="00082FD0">
      <w:r w:rsidRPr="00E258A0">
        <w:rPr>
          <w:b/>
        </w:rPr>
        <w:t>Observation</w:t>
      </w:r>
      <w:r>
        <w:rPr>
          <w:b/>
        </w:rPr>
        <w:t xml:space="preserve"> 3</w:t>
      </w:r>
      <w:r>
        <w:t xml:space="preserve">: removal/withdrawal of the TS 37.113 would create inconsistency when comparing with the RF specification, i.e. the RF specification would cover the GSM/EDGE, while it would not be addressed by the EMC specifications in RAN4. </w:t>
      </w:r>
    </w:p>
    <w:p w14:paraId="68B59893" w14:textId="5440E81A" w:rsidR="00B63E95" w:rsidRDefault="00F7555E" w:rsidP="0069515E">
      <w:r>
        <w:t xml:space="preserve">It was found that the TS 37.113 shall not be removed from RAN4, as it would invalidate certain amount of MSR specific information captured in this specification: </w:t>
      </w:r>
    </w:p>
    <w:p w14:paraId="2ED71418" w14:textId="77777777" w:rsidR="00082FD0" w:rsidRDefault="00082FD0" w:rsidP="00082FD0">
      <w:r w:rsidRPr="00B63E95">
        <w:rPr>
          <w:b/>
        </w:rPr>
        <w:t>Proposal 1</w:t>
      </w:r>
      <w:r w:rsidRPr="00B63E95">
        <w:t>: keep maintaining the MSR EMC specification in RAN4</w:t>
      </w:r>
      <w:r>
        <w:t>, due to value added information available in the general sections, e.g. BS test conditions</w:t>
      </w:r>
      <w:r w:rsidRPr="00B63E95">
        <w:t xml:space="preserve">. </w:t>
      </w:r>
    </w:p>
    <w:p w14:paraId="08980895" w14:textId="38DE33EA" w:rsidR="00F7555E" w:rsidRDefault="00F7555E" w:rsidP="00082FD0">
      <w:r>
        <w:t xml:space="preserve">On the other hand, there are multiple clauses which are repeated among the EMC specifications in RAN4 and its proposed to look into the text redundancy limitation among the EMC specs in RAN4: </w:t>
      </w:r>
    </w:p>
    <w:p w14:paraId="0C2AA0E8" w14:textId="77777777" w:rsidR="00082FD0" w:rsidRDefault="00082FD0" w:rsidP="00082FD0">
      <w:r w:rsidRPr="00B63E95">
        <w:rPr>
          <w:b/>
        </w:rPr>
        <w:t>Proposal 2</w:t>
      </w:r>
      <w:r w:rsidRPr="00B63E95">
        <w:t>: in order to reduce the work overlaps, refer from the</w:t>
      </w:r>
      <w:r>
        <w:t xml:space="preserve"> MSR</w:t>
      </w:r>
      <w:r w:rsidRPr="00B63E95">
        <w:t xml:space="preserve"> EMC specification to the SRAT EMC specifications, where possible. </w:t>
      </w:r>
    </w:p>
    <w:p w14:paraId="62AA1441" w14:textId="7EC4C05F" w:rsidR="00723954" w:rsidRDefault="00F7555E" w:rsidP="0069515E">
      <w:r>
        <w:t>Interested c</w:t>
      </w:r>
      <w:r w:rsidR="00723954">
        <w:t xml:space="preserve">ompanies are encouraged to provide feedback on the </w:t>
      </w:r>
      <w:r>
        <w:t xml:space="preserve">above </w:t>
      </w:r>
      <w:r w:rsidR="00723954">
        <w:t xml:space="preserve">proposed approach. </w:t>
      </w:r>
    </w:p>
    <w:p w14:paraId="4911A428" w14:textId="71D657F1" w:rsidR="00802226" w:rsidRPr="001B0504" w:rsidRDefault="00802226" w:rsidP="00802226">
      <w:pPr>
        <w:pStyle w:val="Heading1"/>
        <w:rPr>
          <w:rFonts w:cs="Arial"/>
          <w:lang w:eastAsia="zh-CN"/>
        </w:rPr>
      </w:pPr>
      <w:r w:rsidRPr="001B0504">
        <w:rPr>
          <w:rFonts w:cs="Arial"/>
          <w:lang w:eastAsia="zh-CN"/>
        </w:rPr>
        <w:t>References</w:t>
      </w:r>
    </w:p>
    <w:p w14:paraId="07505B2B" w14:textId="7CCC3B39" w:rsidR="00E200E0" w:rsidRDefault="00575D45" w:rsidP="00E200E0">
      <w:r w:rsidRPr="001B0504">
        <w:rPr>
          <w:lang w:eastAsia="zh-CN"/>
        </w:rPr>
        <w:t>[</w:t>
      </w:r>
      <w:r w:rsidR="00767C31" w:rsidRPr="001B0504">
        <w:rPr>
          <w:lang w:eastAsia="zh-CN"/>
        </w:rPr>
        <w:t>1</w:t>
      </w:r>
      <w:r w:rsidRPr="001B0504">
        <w:rPr>
          <w:lang w:eastAsia="zh-CN"/>
        </w:rPr>
        <w:t>]</w:t>
      </w:r>
      <w:r w:rsidRPr="001B0504">
        <w:rPr>
          <w:lang w:eastAsia="zh-CN"/>
        </w:rPr>
        <w:tab/>
      </w:r>
      <w:r w:rsidR="00E200E0" w:rsidRPr="00E200E0">
        <w:rPr>
          <w:lang w:eastAsia="zh-CN"/>
        </w:rPr>
        <w:t>RP-180536</w:t>
      </w:r>
      <w:r w:rsidR="00E200E0">
        <w:rPr>
          <w:lang w:eastAsia="zh-CN"/>
        </w:rPr>
        <w:tab/>
      </w:r>
      <w:r w:rsidR="00E200E0" w:rsidRPr="0020255A">
        <w:t>Work Item on New Radio (NR) Access Technology</w:t>
      </w:r>
      <w:r w:rsidR="00E200E0">
        <w:t>, RAN#79</w:t>
      </w:r>
    </w:p>
    <w:p w14:paraId="38AF8CC0" w14:textId="41B76842" w:rsidR="00562F14" w:rsidRDefault="00562F14" w:rsidP="00E200E0">
      <w:r>
        <w:t>[2] 3GPP TS 37.113, v 15.2.0</w:t>
      </w:r>
    </w:p>
    <w:p w14:paraId="464062CF" w14:textId="245CE3EE" w:rsidR="00A355F8" w:rsidRPr="002F4BBD" w:rsidRDefault="00A355F8" w:rsidP="00E200E0">
      <w:pPr>
        <w:rPr>
          <w:lang w:eastAsia="zh-CN"/>
        </w:rPr>
      </w:pPr>
      <w:r>
        <w:t>[3] 3GPP TS 36.113, v 15.2.0</w:t>
      </w:r>
    </w:p>
    <w:p w14:paraId="15F3E14F" w14:textId="6256F1A2" w:rsidR="0063062B" w:rsidRPr="002F4BBD" w:rsidRDefault="0063062B" w:rsidP="002F4BBD">
      <w:pPr>
        <w:rPr>
          <w:lang w:eastAsia="zh-CN"/>
        </w:rPr>
      </w:pPr>
    </w:p>
    <w:sectPr w:rsidR="0063062B" w:rsidRPr="002F4BB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A78DD" w14:textId="77777777" w:rsidR="00C11412" w:rsidRDefault="00C11412">
      <w:r>
        <w:separator/>
      </w:r>
    </w:p>
  </w:endnote>
  <w:endnote w:type="continuationSeparator" w:id="0">
    <w:p w14:paraId="11C5A17E" w14:textId="77777777" w:rsidR="00C11412" w:rsidRDefault="00C11412">
      <w:r>
        <w:continuationSeparator/>
      </w:r>
    </w:p>
  </w:endnote>
  <w:endnote w:type="continuationNotice" w:id="1">
    <w:p w14:paraId="2040183A" w14:textId="77777777" w:rsidR="00C11412" w:rsidRDefault="00C11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F8A88" w14:textId="77777777" w:rsidR="00C11412" w:rsidRDefault="00C11412">
      <w:r>
        <w:separator/>
      </w:r>
    </w:p>
  </w:footnote>
  <w:footnote w:type="continuationSeparator" w:id="0">
    <w:p w14:paraId="77F75723" w14:textId="77777777" w:rsidR="00C11412" w:rsidRDefault="00C11412">
      <w:r>
        <w:continuationSeparator/>
      </w:r>
    </w:p>
  </w:footnote>
  <w:footnote w:type="continuationNotice" w:id="1">
    <w:p w14:paraId="5C89B17F" w14:textId="77777777" w:rsidR="00C11412" w:rsidRDefault="00C114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04AA2"/>
    <w:multiLevelType w:val="hybridMultilevel"/>
    <w:tmpl w:val="E4E6EB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ED65A9"/>
    <w:multiLevelType w:val="hybridMultilevel"/>
    <w:tmpl w:val="2BE8E0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56F71"/>
    <w:multiLevelType w:val="hybridMultilevel"/>
    <w:tmpl w:val="1422AB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479137B3"/>
    <w:multiLevelType w:val="hybridMultilevel"/>
    <w:tmpl w:val="D0087088"/>
    <w:lvl w:ilvl="0" w:tplc="261438DC">
      <w:start w:val="201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6FD76A4"/>
    <w:multiLevelType w:val="hybridMultilevel"/>
    <w:tmpl w:val="A772694C"/>
    <w:lvl w:ilvl="0" w:tplc="04090017">
      <w:start w:val="1"/>
      <w:numFmt w:val="lowerLetter"/>
      <w:lvlText w:val="%1)"/>
      <w:lvlJc w:val="left"/>
      <w:pPr>
        <w:ind w:left="720" w:hanging="360"/>
      </w:pPr>
    </w:lvl>
    <w:lvl w:ilvl="1" w:tplc="8A9CF1C8">
      <w:start w:val="4"/>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8070F2"/>
    <w:multiLevelType w:val="hybridMultilevel"/>
    <w:tmpl w:val="2BE8E0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35750F5"/>
    <w:multiLevelType w:val="hybridMultilevel"/>
    <w:tmpl w:val="16DC42AC"/>
    <w:lvl w:ilvl="0" w:tplc="732CDA6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2744E4"/>
    <w:multiLevelType w:val="hybridMultilevel"/>
    <w:tmpl w:val="036244B6"/>
    <w:lvl w:ilvl="0" w:tplc="732CDA6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2"/>
  </w:num>
  <w:num w:numId="4">
    <w:abstractNumId w:val="4"/>
  </w:num>
  <w:num w:numId="5">
    <w:abstractNumId w:val="3"/>
  </w:num>
  <w:num w:numId="6">
    <w:abstractNumId w:val="6"/>
  </w:num>
  <w:num w:numId="7">
    <w:abstractNumId w:val="12"/>
  </w:num>
  <w:num w:numId="8">
    <w:abstractNumId w:val="13"/>
  </w:num>
  <w:num w:numId="9">
    <w:abstractNumId w:val="5"/>
  </w:num>
  <w:num w:numId="10">
    <w:abstractNumId w:val="8"/>
  </w:num>
  <w:num w:numId="11">
    <w:abstractNumId w:val="1"/>
  </w:num>
  <w:num w:numId="12">
    <w:abstractNumId w:val="0"/>
  </w:num>
  <w:num w:numId="13">
    <w:abstractNumId w:val="2"/>
  </w:num>
  <w:num w:numId="14">
    <w:abstractNumId w:val="7"/>
  </w:num>
  <w:num w:numId="15">
    <w:abstractNumId w:val="11"/>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6DD0"/>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783"/>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52F"/>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0AB"/>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2FD0"/>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24"/>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22E"/>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347"/>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4F8"/>
    <w:rsid w:val="000E0945"/>
    <w:rsid w:val="000E1441"/>
    <w:rsid w:val="000E176A"/>
    <w:rsid w:val="000E17E1"/>
    <w:rsid w:val="000E2113"/>
    <w:rsid w:val="000E241D"/>
    <w:rsid w:val="000E254D"/>
    <w:rsid w:val="000E28E6"/>
    <w:rsid w:val="000E293B"/>
    <w:rsid w:val="000E31D9"/>
    <w:rsid w:val="000E33E8"/>
    <w:rsid w:val="000E3DBA"/>
    <w:rsid w:val="000E424B"/>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9E3"/>
    <w:rsid w:val="000F5F76"/>
    <w:rsid w:val="000F619A"/>
    <w:rsid w:val="000F6877"/>
    <w:rsid w:val="000F6A41"/>
    <w:rsid w:val="000F7753"/>
    <w:rsid w:val="000F7B38"/>
    <w:rsid w:val="000F7C7D"/>
    <w:rsid w:val="000F7DD6"/>
    <w:rsid w:val="000F7F83"/>
    <w:rsid w:val="00100075"/>
    <w:rsid w:val="00100676"/>
    <w:rsid w:val="001008B4"/>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1BB"/>
    <w:rsid w:val="001572C2"/>
    <w:rsid w:val="001573EE"/>
    <w:rsid w:val="0015758A"/>
    <w:rsid w:val="00157BAE"/>
    <w:rsid w:val="00157FA1"/>
    <w:rsid w:val="0016028A"/>
    <w:rsid w:val="00160577"/>
    <w:rsid w:val="00160B06"/>
    <w:rsid w:val="00160D12"/>
    <w:rsid w:val="001613D4"/>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86C"/>
    <w:rsid w:val="00173A3F"/>
    <w:rsid w:val="001745A1"/>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3E"/>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3DAD"/>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733"/>
    <w:rsid w:val="001A7B7F"/>
    <w:rsid w:val="001A7E89"/>
    <w:rsid w:val="001B01F8"/>
    <w:rsid w:val="001B0504"/>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B28"/>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42E"/>
    <w:rsid w:val="001E19D6"/>
    <w:rsid w:val="001E1CB0"/>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6DFE"/>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822"/>
    <w:rsid w:val="00212E93"/>
    <w:rsid w:val="00213307"/>
    <w:rsid w:val="00213CCF"/>
    <w:rsid w:val="002147E5"/>
    <w:rsid w:val="002148B3"/>
    <w:rsid w:val="00214F57"/>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C02"/>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8AE"/>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5D"/>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86"/>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2CE"/>
    <w:rsid w:val="00290822"/>
    <w:rsid w:val="00290AEE"/>
    <w:rsid w:val="00291298"/>
    <w:rsid w:val="002912D4"/>
    <w:rsid w:val="00291569"/>
    <w:rsid w:val="00291715"/>
    <w:rsid w:val="00291810"/>
    <w:rsid w:val="00291883"/>
    <w:rsid w:val="00291A2A"/>
    <w:rsid w:val="00291F7C"/>
    <w:rsid w:val="002922EA"/>
    <w:rsid w:val="0029268E"/>
    <w:rsid w:val="00292B6E"/>
    <w:rsid w:val="002936B7"/>
    <w:rsid w:val="00293B7D"/>
    <w:rsid w:val="00294309"/>
    <w:rsid w:val="00295587"/>
    <w:rsid w:val="00295728"/>
    <w:rsid w:val="00295CB3"/>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074"/>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39D"/>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E02"/>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BD1"/>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224"/>
    <w:rsid w:val="002F1422"/>
    <w:rsid w:val="002F1549"/>
    <w:rsid w:val="002F1906"/>
    <w:rsid w:val="002F28E8"/>
    <w:rsid w:val="002F2B2E"/>
    <w:rsid w:val="002F347D"/>
    <w:rsid w:val="002F358F"/>
    <w:rsid w:val="002F3FCE"/>
    <w:rsid w:val="002F41E4"/>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9FF"/>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E0"/>
    <w:rsid w:val="00311FB2"/>
    <w:rsid w:val="00312175"/>
    <w:rsid w:val="00312B7E"/>
    <w:rsid w:val="00312BA6"/>
    <w:rsid w:val="00312F7A"/>
    <w:rsid w:val="00312F88"/>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056"/>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4CE"/>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90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128"/>
    <w:rsid w:val="003913A0"/>
    <w:rsid w:val="00391563"/>
    <w:rsid w:val="00391DD1"/>
    <w:rsid w:val="003921AE"/>
    <w:rsid w:val="0039244A"/>
    <w:rsid w:val="00392FA5"/>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B45"/>
    <w:rsid w:val="003F2FC7"/>
    <w:rsid w:val="003F32FB"/>
    <w:rsid w:val="003F34B2"/>
    <w:rsid w:val="003F3986"/>
    <w:rsid w:val="003F3AB5"/>
    <w:rsid w:val="003F3B3A"/>
    <w:rsid w:val="003F451A"/>
    <w:rsid w:val="003F46BD"/>
    <w:rsid w:val="003F4925"/>
    <w:rsid w:val="003F4930"/>
    <w:rsid w:val="003F4FFE"/>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20C"/>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B5"/>
    <w:rsid w:val="004406E6"/>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CD8"/>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F16"/>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021"/>
    <w:rsid w:val="004E6479"/>
    <w:rsid w:val="004E669B"/>
    <w:rsid w:val="004E6819"/>
    <w:rsid w:val="004E6D2A"/>
    <w:rsid w:val="004E6D85"/>
    <w:rsid w:val="004E7CD3"/>
    <w:rsid w:val="004E7E3D"/>
    <w:rsid w:val="004F04CB"/>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5F1B"/>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2E7"/>
    <w:rsid w:val="00502A2B"/>
    <w:rsid w:val="00502B5D"/>
    <w:rsid w:val="005037A3"/>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B9B"/>
    <w:rsid w:val="00540DF1"/>
    <w:rsid w:val="00541D7D"/>
    <w:rsid w:val="00541E30"/>
    <w:rsid w:val="005420FA"/>
    <w:rsid w:val="00542CB1"/>
    <w:rsid w:val="0054335A"/>
    <w:rsid w:val="0054367C"/>
    <w:rsid w:val="0054450F"/>
    <w:rsid w:val="005446D8"/>
    <w:rsid w:val="00544799"/>
    <w:rsid w:val="00544A53"/>
    <w:rsid w:val="00545906"/>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342"/>
    <w:rsid w:val="00554E6E"/>
    <w:rsid w:val="0055546C"/>
    <w:rsid w:val="0055551F"/>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2F14"/>
    <w:rsid w:val="00563059"/>
    <w:rsid w:val="0056368A"/>
    <w:rsid w:val="00563DCC"/>
    <w:rsid w:val="00564402"/>
    <w:rsid w:val="005645F7"/>
    <w:rsid w:val="00564E6B"/>
    <w:rsid w:val="00565071"/>
    <w:rsid w:val="005651E0"/>
    <w:rsid w:val="005659F4"/>
    <w:rsid w:val="005661D7"/>
    <w:rsid w:val="005670AA"/>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5D45"/>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8A"/>
    <w:rsid w:val="00583CAF"/>
    <w:rsid w:val="00583CC7"/>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2E52"/>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10"/>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666"/>
    <w:rsid w:val="005C47D7"/>
    <w:rsid w:val="005C4909"/>
    <w:rsid w:val="005C4975"/>
    <w:rsid w:val="005C4BB1"/>
    <w:rsid w:val="005C4DFC"/>
    <w:rsid w:val="005C55FA"/>
    <w:rsid w:val="005C5902"/>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CA6"/>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F7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10"/>
    <w:rsid w:val="00617A9F"/>
    <w:rsid w:val="00617C60"/>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2B"/>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C40"/>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0C2"/>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91F"/>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44D"/>
    <w:rsid w:val="006917C3"/>
    <w:rsid w:val="006917C7"/>
    <w:rsid w:val="006921C6"/>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15E"/>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846"/>
    <w:rsid w:val="006A71FD"/>
    <w:rsid w:val="006A72EE"/>
    <w:rsid w:val="006A767B"/>
    <w:rsid w:val="006A76E7"/>
    <w:rsid w:val="006A792D"/>
    <w:rsid w:val="006A796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AE0"/>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00E"/>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DEF"/>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772"/>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954"/>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27E27"/>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E2C"/>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777"/>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B4"/>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511"/>
    <w:rsid w:val="0076087C"/>
    <w:rsid w:val="00760CF7"/>
    <w:rsid w:val="007615EC"/>
    <w:rsid w:val="00761864"/>
    <w:rsid w:val="0076187C"/>
    <w:rsid w:val="0076201F"/>
    <w:rsid w:val="007625A3"/>
    <w:rsid w:val="0076278D"/>
    <w:rsid w:val="007627F6"/>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31"/>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A2"/>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79F"/>
    <w:rsid w:val="007B19F7"/>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C14"/>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19C"/>
    <w:rsid w:val="007E07F1"/>
    <w:rsid w:val="007E0AB9"/>
    <w:rsid w:val="007E12C0"/>
    <w:rsid w:val="007E14D1"/>
    <w:rsid w:val="007E18B7"/>
    <w:rsid w:val="007E1B77"/>
    <w:rsid w:val="007E2F9B"/>
    <w:rsid w:val="007E3057"/>
    <w:rsid w:val="007E3287"/>
    <w:rsid w:val="007E442E"/>
    <w:rsid w:val="007E45B7"/>
    <w:rsid w:val="007E460A"/>
    <w:rsid w:val="007E4C71"/>
    <w:rsid w:val="007E50AD"/>
    <w:rsid w:val="007E55C0"/>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30"/>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3AC"/>
    <w:rsid w:val="008134A7"/>
    <w:rsid w:val="00813A22"/>
    <w:rsid w:val="0081485B"/>
    <w:rsid w:val="00814A1D"/>
    <w:rsid w:val="00814BCF"/>
    <w:rsid w:val="00814EDD"/>
    <w:rsid w:val="008150C3"/>
    <w:rsid w:val="00815311"/>
    <w:rsid w:val="00815333"/>
    <w:rsid w:val="00815920"/>
    <w:rsid w:val="00815A30"/>
    <w:rsid w:val="00815C44"/>
    <w:rsid w:val="00815C60"/>
    <w:rsid w:val="00815FD4"/>
    <w:rsid w:val="008168FE"/>
    <w:rsid w:val="00816BC0"/>
    <w:rsid w:val="00817003"/>
    <w:rsid w:val="008173AE"/>
    <w:rsid w:val="00817427"/>
    <w:rsid w:val="00817B5F"/>
    <w:rsid w:val="00820684"/>
    <w:rsid w:val="0082089E"/>
    <w:rsid w:val="00820D5F"/>
    <w:rsid w:val="00821481"/>
    <w:rsid w:val="00821B90"/>
    <w:rsid w:val="00821F20"/>
    <w:rsid w:val="00822092"/>
    <w:rsid w:val="008221BA"/>
    <w:rsid w:val="008224DD"/>
    <w:rsid w:val="00822ABF"/>
    <w:rsid w:val="00822C47"/>
    <w:rsid w:val="00822C50"/>
    <w:rsid w:val="00822E81"/>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78"/>
    <w:rsid w:val="00855F1B"/>
    <w:rsid w:val="00856A01"/>
    <w:rsid w:val="00856A29"/>
    <w:rsid w:val="00856B33"/>
    <w:rsid w:val="00857213"/>
    <w:rsid w:val="00857424"/>
    <w:rsid w:val="0085749C"/>
    <w:rsid w:val="008576F3"/>
    <w:rsid w:val="00857A1E"/>
    <w:rsid w:val="00857F1D"/>
    <w:rsid w:val="00857F39"/>
    <w:rsid w:val="008602EE"/>
    <w:rsid w:val="008614F5"/>
    <w:rsid w:val="00861628"/>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CC4"/>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EBC"/>
    <w:rsid w:val="008770FB"/>
    <w:rsid w:val="008771D9"/>
    <w:rsid w:val="00880485"/>
    <w:rsid w:val="00880F8C"/>
    <w:rsid w:val="008813C1"/>
    <w:rsid w:val="00881BF6"/>
    <w:rsid w:val="008821FC"/>
    <w:rsid w:val="008823F6"/>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196"/>
    <w:rsid w:val="008A17A2"/>
    <w:rsid w:val="008A1B8D"/>
    <w:rsid w:val="008A204F"/>
    <w:rsid w:val="008A241E"/>
    <w:rsid w:val="008A244B"/>
    <w:rsid w:val="008A2636"/>
    <w:rsid w:val="008A297C"/>
    <w:rsid w:val="008A2E7D"/>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EF"/>
    <w:rsid w:val="00901A78"/>
    <w:rsid w:val="00901B9E"/>
    <w:rsid w:val="00902194"/>
    <w:rsid w:val="0090230C"/>
    <w:rsid w:val="009024F6"/>
    <w:rsid w:val="00902A26"/>
    <w:rsid w:val="00902B6D"/>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2FD0"/>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17"/>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65D1"/>
    <w:rsid w:val="009572DB"/>
    <w:rsid w:val="00957400"/>
    <w:rsid w:val="009579AB"/>
    <w:rsid w:val="00957DF4"/>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3B"/>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20"/>
    <w:rsid w:val="00990E51"/>
    <w:rsid w:val="00991B46"/>
    <w:rsid w:val="00991D8C"/>
    <w:rsid w:val="00991D8D"/>
    <w:rsid w:val="00992530"/>
    <w:rsid w:val="00992607"/>
    <w:rsid w:val="00992D6D"/>
    <w:rsid w:val="00993521"/>
    <w:rsid w:val="009939C7"/>
    <w:rsid w:val="00993AAE"/>
    <w:rsid w:val="00993AD0"/>
    <w:rsid w:val="00993B4F"/>
    <w:rsid w:val="00993E49"/>
    <w:rsid w:val="0099413B"/>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181"/>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8E"/>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6FE2"/>
    <w:rsid w:val="009E70C2"/>
    <w:rsid w:val="009E73CA"/>
    <w:rsid w:val="009E74EE"/>
    <w:rsid w:val="009E770D"/>
    <w:rsid w:val="009F0BC4"/>
    <w:rsid w:val="009F0C08"/>
    <w:rsid w:val="009F0EF5"/>
    <w:rsid w:val="009F0F60"/>
    <w:rsid w:val="009F0FF0"/>
    <w:rsid w:val="009F114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B93"/>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B1F"/>
    <w:rsid w:val="00A23C32"/>
    <w:rsid w:val="00A23D11"/>
    <w:rsid w:val="00A242DD"/>
    <w:rsid w:val="00A25806"/>
    <w:rsid w:val="00A25A55"/>
    <w:rsid w:val="00A25DC3"/>
    <w:rsid w:val="00A26046"/>
    <w:rsid w:val="00A266F2"/>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D"/>
    <w:rsid w:val="00A32E7F"/>
    <w:rsid w:val="00A3300B"/>
    <w:rsid w:val="00A3377E"/>
    <w:rsid w:val="00A33DF5"/>
    <w:rsid w:val="00A3422C"/>
    <w:rsid w:val="00A3455B"/>
    <w:rsid w:val="00A34661"/>
    <w:rsid w:val="00A34E1D"/>
    <w:rsid w:val="00A34F5C"/>
    <w:rsid w:val="00A3532E"/>
    <w:rsid w:val="00A3542A"/>
    <w:rsid w:val="00A355F8"/>
    <w:rsid w:val="00A3576F"/>
    <w:rsid w:val="00A35A0B"/>
    <w:rsid w:val="00A364BE"/>
    <w:rsid w:val="00A367F7"/>
    <w:rsid w:val="00A372E5"/>
    <w:rsid w:val="00A37C28"/>
    <w:rsid w:val="00A37D79"/>
    <w:rsid w:val="00A4004D"/>
    <w:rsid w:val="00A4029D"/>
    <w:rsid w:val="00A40C24"/>
    <w:rsid w:val="00A41A6E"/>
    <w:rsid w:val="00A42166"/>
    <w:rsid w:val="00A42209"/>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26BE"/>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1EE"/>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9B"/>
    <w:rsid w:val="00A8269A"/>
    <w:rsid w:val="00A82B13"/>
    <w:rsid w:val="00A82DAF"/>
    <w:rsid w:val="00A83EF6"/>
    <w:rsid w:val="00A8401C"/>
    <w:rsid w:val="00A843C2"/>
    <w:rsid w:val="00A843CD"/>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97D"/>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58D"/>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AE6"/>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693"/>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0B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7A5"/>
    <w:rsid w:val="00B21ABA"/>
    <w:rsid w:val="00B21C88"/>
    <w:rsid w:val="00B221B8"/>
    <w:rsid w:val="00B22387"/>
    <w:rsid w:val="00B22B38"/>
    <w:rsid w:val="00B2358E"/>
    <w:rsid w:val="00B2360B"/>
    <w:rsid w:val="00B23DF8"/>
    <w:rsid w:val="00B240B4"/>
    <w:rsid w:val="00B24136"/>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3E95"/>
    <w:rsid w:val="00B6400A"/>
    <w:rsid w:val="00B649AA"/>
    <w:rsid w:val="00B64CE0"/>
    <w:rsid w:val="00B64E10"/>
    <w:rsid w:val="00B64F74"/>
    <w:rsid w:val="00B64FFD"/>
    <w:rsid w:val="00B65405"/>
    <w:rsid w:val="00B6555B"/>
    <w:rsid w:val="00B6575D"/>
    <w:rsid w:val="00B6582E"/>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5D7"/>
    <w:rsid w:val="00B776C2"/>
    <w:rsid w:val="00B77E1B"/>
    <w:rsid w:val="00B80574"/>
    <w:rsid w:val="00B80E56"/>
    <w:rsid w:val="00B81DA0"/>
    <w:rsid w:val="00B81F1F"/>
    <w:rsid w:val="00B81F6B"/>
    <w:rsid w:val="00B82472"/>
    <w:rsid w:val="00B82523"/>
    <w:rsid w:val="00B8252F"/>
    <w:rsid w:val="00B8277B"/>
    <w:rsid w:val="00B82AC9"/>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5E9"/>
    <w:rsid w:val="00B967EA"/>
    <w:rsid w:val="00B96957"/>
    <w:rsid w:val="00B96B9B"/>
    <w:rsid w:val="00B96C39"/>
    <w:rsid w:val="00B96D41"/>
    <w:rsid w:val="00B96DF3"/>
    <w:rsid w:val="00B97054"/>
    <w:rsid w:val="00B975E4"/>
    <w:rsid w:val="00B97CDE"/>
    <w:rsid w:val="00BA0474"/>
    <w:rsid w:val="00BA0AA7"/>
    <w:rsid w:val="00BA0AF6"/>
    <w:rsid w:val="00BA1014"/>
    <w:rsid w:val="00BA1823"/>
    <w:rsid w:val="00BA1986"/>
    <w:rsid w:val="00BA19A1"/>
    <w:rsid w:val="00BA1B72"/>
    <w:rsid w:val="00BA2024"/>
    <w:rsid w:val="00BA235C"/>
    <w:rsid w:val="00BA2447"/>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713"/>
    <w:rsid w:val="00BB0812"/>
    <w:rsid w:val="00BB099B"/>
    <w:rsid w:val="00BB0CBB"/>
    <w:rsid w:val="00BB100C"/>
    <w:rsid w:val="00BB1104"/>
    <w:rsid w:val="00BB1236"/>
    <w:rsid w:val="00BB13BC"/>
    <w:rsid w:val="00BB1585"/>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1E1"/>
    <w:rsid w:val="00BB64D3"/>
    <w:rsid w:val="00BB72FA"/>
    <w:rsid w:val="00BB750C"/>
    <w:rsid w:val="00BB7701"/>
    <w:rsid w:val="00BB7D78"/>
    <w:rsid w:val="00BB7E86"/>
    <w:rsid w:val="00BC01C9"/>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1CE6"/>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30B"/>
    <w:rsid w:val="00BE6602"/>
    <w:rsid w:val="00BE6639"/>
    <w:rsid w:val="00BE6ACA"/>
    <w:rsid w:val="00BE6E94"/>
    <w:rsid w:val="00BE73F5"/>
    <w:rsid w:val="00BE7566"/>
    <w:rsid w:val="00BE75FE"/>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412"/>
    <w:rsid w:val="00C11E20"/>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377"/>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00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2AA3"/>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6FD"/>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A91"/>
    <w:rsid w:val="00C74D93"/>
    <w:rsid w:val="00C754BA"/>
    <w:rsid w:val="00C760AC"/>
    <w:rsid w:val="00C7612E"/>
    <w:rsid w:val="00C76613"/>
    <w:rsid w:val="00C766F3"/>
    <w:rsid w:val="00C76773"/>
    <w:rsid w:val="00C76CD9"/>
    <w:rsid w:val="00C76E30"/>
    <w:rsid w:val="00C77DE7"/>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33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B8A"/>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0FC"/>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4E3"/>
    <w:rsid w:val="00CF055F"/>
    <w:rsid w:val="00CF0576"/>
    <w:rsid w:val="00CF0B13"/>
    <w:rsid w:val="00CF0B6E"/>
    <w:rsid w:val="00CF272F"/>
    <w:rsid w:val="00CF2835"/>
    <w:rsid w:val="00CF2DF0"/>
    <w:rsid w:val="00CF2DF4"/>
    <w:rsid w:val="00CF2E9A"/>
    <w:rsid w:val="00CF30C1"/>
    <w:rsid w:val="00CF3247"/>
    <w:rsid w:val="00CF37AD"/>
    <w:rsid w:val="00CF3F11"/>
    <w:rsid w:val="00CF42A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74D"/>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6F6F"/>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4F9C"/>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86AE7"/>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2BF"/>
    <w:rsid w:val="00DC3601"/>
    <w:rsid w:val="00DC3CDE"/>
    <w:rsid w:val="00DC4112"/>
    <w:rsid w:val="00DC46E9"/>
    <w:rsid w:val="00DC4A3A"/>
    <w:rsid w:val="00DC4FD6"/>
    <w:rsid w:val="00DC565A"/>
    <w:rsid w:val="00DC68B9"/>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E59"/>
    <w:rsid w:val="00DD6E9E"/>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5885"/>
    <w:rsid w:val="00DE6336"/>
    <w:rsid w:val="00DE63F7"/>
    <w:rsid w:val="00DE6726"/>
    <w:rsid w:val="00DE6974"/>
    <w:rsid w:val="00DE6F7E"/>
    <w:rsid w:val="00DE720F"/>
    <w:rsid w:val="00DE7A1A"/>
    <w:rsid w:val="00DE7A9D"/>
    <w:rsid w:val="00DF02CE"/>
    <w:rsid w:val="00DF0808"/>
    <w:rsid w:val="00DF0BD2"/>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0E0"/>
    <w:rsid w:val="00E20153"/>
    <w:rsid w:val="00E20275"/>
    <w:rsid w:val="00E20581"/>
    <w:rsid w:val="00E20C74"/>
    <w:rsid w:val="00E20E81"/>
    <w:rsid w:val="00E20F06"/>
    <w:rsid w:val="00E211EC"/>
    <w:rsid w:val="00E21291"/>
    <w:rsid w:val="00E2129F"/>
    <w:rsid w:val="00E21428"/>
    <w:rsid w:val="00E21731"/>
    <w:rsid w:val="00E2203C"/>
    <w:rsid w:val="00E22653"/>
    <w:rsid w:val="00E2273A"/>
    <w:rsid w:val="00E22F16"/>
    <w:rsid w:val="00E22F30"/>
    <w:rsid w:val="00E23631"/>
    <w:rsid w:val="00E237A6"/>
    <w:rsid w:val="00E24B1C"/>
    <w:rsid w:val="00E24CB1"/>
    <w:rsid w:val="00E24E33"/>
    <w:rsid w:val="00E258A0"/>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6BC"/>
    <w:rsid w:val="00E34936"/>
    <w:rsid w:val="00E34BDD"/>
    <w:rsid w:val="00E34F02"/>
    <w:rsid w:val="00E352F4"/>
    <w:rsid w:val="00E3575A"/>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5F00"/>
    <w:rsid w:val="00E4645D"/>
    <w:rsid w:val="00E469AE"/>
    <w:rsid w:val="00E46B07"/>
    <w:rsid w:val="00E4714E"/>
    <w:rsid w:val="00E4791D"/>
    <w:rsid w:val="00E479A9"/>
    <w:rsid w:val="00E479DE"/>
    <w:rsid w:val="00E47A55"/>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80E"/>
    <w:rsid w:val="00E57AFB"/>
    <w:rsid w:val="00E57BB3"/>
    <w:rsid w:val="00E57F89"/>
    <w:rsid w:val="00E6015D"/>
    <w:rsid w:val="00E604F2"/>
    <w:rsid w:val="00E607AB"/>
    <w:rsid w:val="00E60A3C"/>
    <w:rsid w:val="00E60ABC"/>
    <w:rsid w:val="00E6132B"/>
    <w:rsid w:val="00E61340"/>
    <w:rsid w:val="00E6146D"/>
    <w:rsid w:val="00E61969"/>
    <w:rsid w:val="00E62ABC"/>
    <w:rsid w:val="00E62E2A"/>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ADC"/>
    <w:rsid w:val="00E65F9C"/>
    <w:rsid w:val="00E65FB0"/>
    <w:rsid w:val="00E66044"/>
    <w:rsid w:val="00E66062"/>
    <w:rsid w:val="00E66208"/>
    <w:rsid w:val="00E664C2"/>
    <w:rsid w:val="00E664E2"/>
    <w:rsid w:val="00E66C8C"/>
    <w:rsid w:val="00E66C94"/>
    <w:rsid w:val="00E66E9D"/>
    <w:rsid w:val="00E66F8F"/>
    <w:rsid w:val="00E671F3"/>
    <w:rsid w:val="00E672C3"/>
    <w:rsid w:val="00E70115"/>
    <w:rsid w:val="00E7038C"/>
    <w:rsid w:val="00E7046B"/>
    <w:rsid w:val="00E70688"/>
    <w:rsid w:val="00E708A9"/>
    <w:rsid w:val="00E70C7A"/>
    <w:rsid w:val="00E712E1"/>
    <w:rsid w:val="00E71844"/>
    <w:rsid w:val="00E71C20"/>
    <w:rsid w:val="00E71D0B"/>
    <w:rsid w:val="00E7237C"/>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2FC2"/>
    <w:rsid w:val="00E83E81"/>
    <w:rsid w:val="00E84B4E"/>
    <w:rsid w:val="00E84C94"/>
    <w:rsid w:val="00E84D7E"/>
    <w:rsid w:val="00E84E3A"/>
    <w:rsid w:val="00E85324"/>
    <w:rsid w:val="00E85349"/>
    <w:rsid w:val="00E855CD"/>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450"/>
    <w:rsid w:val="00EA46F1"/>
    <w:rsid w:val="00EA475C"/>
    <w:rsid w:val="00EA4EDD"/>
    <w:rsid w:val="00EA598A"/>
    <w:rsid w:val="00EA631D"/>
    <w:rsid w:val="00EA631E"/>
    <w:rsid w:val="00EA637A"/>
    <w:rsid w:val="00EA69BC"/>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72A"/>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5FC1"/>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4E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66E"/>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8DB"/>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388"/>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058"/>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60E"/>
    <w:rsid w:val="00F628D0"/>
    <w:rsid w:val="00F62A3B"/>
    <w:rsid w:val="00F62CA1"/>
    <w:rsid w:val="00F62D89"/>
    <w:rsid w:val="00F630F0"/>
    <w:rsid w:val="00F6323A"/>
    <w:rsid w:val="00F632D9"/>
    <w:rsid w:val="00F63420"/>
    <w:rsid w:val="00F63889"/>
    <w:rsid w:val="00F63A3F"/>
    <w:rsid w:val="00F63AD4"/>
    <w:rsid w:val="00F63D3B"/>
    <w:rsid w:val="00F63E92"/>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55E"/>
    <w:rsid w:val="00F75884"/>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63B"/>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110"/>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0CF6"/>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A5C"/>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D0F"/>
    <w:rsid w:val="00FD6E85"/>
    <w:rsid w:val="00FD700E"/>
    <w:rsid w:val="00FD7056"/>
    <w:rsid w:val="00FD73FB"/>
    <w:rsid w:val="00FD78DC"/>
    <w:rsid w:val="00FD7902"/>
    <w:rsid w:val="00FD7A3A"/>
    <w:rsid w:val="00FD7C35"/>
    <w:rsid w:val="00FD7CE9"/>
    <w:rsid w:val="00FE0373"/>
    <w:rsid w:val="00FE081B"/>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894E31CA-39A3-4655-8C2B-94A17267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7"/>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4110196">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1864072">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90883156">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7484579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520230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1E13C-8B2A-47C6-872F-F298A62D1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1298</Words>
  <Characters>6809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2</cp:revision>
  <cp:lastPrinted>2015-01-14T11:53:00Z</cp:lastPrinted>
  <dcterms:created xsi:type="dcterms:W3CDTF">2018-05-14T18:10:00Z</dcterms:created>
  <dcterms:modified xsi:type="dcterms:W3CDTF">2018-05-14T18:10:00Z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