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AB45B4" w:rsidRPr="00AB45B4">
        <w:rPr>
          <w:rFonts w:ascii="Arial" w:eastAsia="宋体" w:hAnsi="Arial" w:cs="Times New Roman"/>
          <w:b/>
          <w:bCs/>
          <w:sz w:val="24"/>
          <w:szCs w:val="20"/>
          <w:lang w:val="en-GB" w:eastAsia="ja-JP"/>
        </w:rPr>
        <w:t>R4-1806645</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41561" w:rsidRPr="00241561">
        <w:rPr>
          <w:rFonts w:ascii="Arial" w:eastAsia="Calibri" w:hAnsi="Arial" w:cs="Arial"/>
          <w:b/>
          <w:bCs/>
          <w:sz w:val="24"/>
          <w:lang w:val="en-GB"/>
        </w:rPr>
        <w:t>Remaining issues on SSB based RLM</w:t>
      </w:r>
      <w:r w:rsidR="00FF55C5">
        <w:rPr>
          <w:rFonts w:ascii="Arial" w:eastAsia="Calibri" w:hAnsi="Arial" w:cs="Arial"/>
          <w:b/>
          <w:bCs/>
          <w:sz w:val="24"/>
          <w:lang w:val="en-GB"/>
        </w:rPr>
        <w:t xml:space="preserve">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w:t>
      </w:r>
      <w:r w:rsidR="00241561">
        <w:rPr>
          <w:rFonts w:ascii="Arial" w:eastAsia="MS Mincho" w:hAnsi="Arial" w:cs="Arial"/>
          <w:b/>
          <w:bCs/>
          <w:sz w:val="24"/>
          <w:szCs w:val="20"/>
          <w:lang w:val="en-GB"/>
        </w:rPr>
        <w:t>10</w:t>
      </w:r>
      <w:r w:rsidR="00820C48">
        <w:rPr>
          <w:rFonts w:ascii="Arial" w:eastAsia="MS Mincho" w:hAnsi="Arial" w:cs="Arial"/>
          <w:b/>
          <w:bCs/>
          <w:sz w:val="24"/>
          <w:szCs w:val="20"/>
          <w:lang w:val="en-GB"/>
        </w:rPr>
        <w:t>.</w:t>
      </w:r>
      <w:r w:rsidR="00241561">
        <w:rPr>
          <w:rFonts w:ascii="Arial" w:eastAsia="MS Mincho" w:hAnsi="Arial" w:cs="Arial"/>
          <w:b/>
          <w:bCs/>
          <w:sz w:val="24"/>
          <w:szCs w:val="20"/>
          <w:lang w:val="en-GB"/>
        </w:rPr>
        <w:t>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CF7FE6" w:rsidP="00C74935">
      <w:pPr>
        <w:ind w:right="-23"/>
        <w:rPr>
          <w:rFonts w:eastAsia="Calibri" w:cs="Times New Roman"/>
          <w:szCs w:val="20"/>
        </w:rPr>
      </w:pPr>
      <w:bookmarkStart w:id="3" w:name="_Hlk513205245"/>
      <w:r>
        <w:rPr>
          <w:rFonts w:eastAsia="Calibri" w:cs="Times New Roman"/>
          <w:szCs w:val="20"/>
        </w:rPr>
        <w:t xml:space="preserve">RAN4 has been discussing the </w:t>
      </w:r>
      <w:r w:rsidR="00B13BFE">
        <w:rPr>
          <w:rFonts w:eastAsia="Calibri" w:cs="Times New Roman"/>
          <w:szCs w:val="20"/>
        </w:rPr>
        <w:t>RLM requirements</w:t>
      </w:r>
      <w:r w:rsidR="006A4DAC" w:rsidRPr="006A4DAC">
        <w:rPr>
          <w:rFonts w:eastAsia="Calibri" w:cs="Times New Roman"/>
          <w:szCs w:val="20"/>
        </w:rPr>
        <w:t xml:space="preserve">. </w:t>
      </w:r>
      <w:r>
        <w:rPr>
          <w:rFonts w:eastAsia="Calibri" w:cs="Times New Roman"/>
          <w:szCs w:val="20"/>
        </w:rPr>
        <w:t xml:space="preserve">In RAN4#86bis </w:t>
      </w:r>
      <w:r w:rsidR="00B13BFE">
        <w:rPr>
          <w:rFonts w:eastAsia="Calibri" w:cs="Times New Roman"/>
          <w:szCs w:val="20"/>
        </w:rPr>
        <w:t xml:space="preserve">the following </w:t>
      </w:r>
      <w:r w:rsidR="00162C40">
        <w:rPr>
          <w:rFonts w:eastAsia="Calibri" w:cs="Times New Roman"/>
          <w:szCs w:val="20"/>
        </w:rPr>
        <w:t xml:space="preserve">aspects </w:t>
      </w:r>
      <w:r w:rsidR="00B13BFE">
        <w:rPr>
          <w:rFonts w:eastAsia="Calibri" w:cs="Times New Roman"/>
          <w:szCs w:val="20"/>
        </w:rPr>
        <w:t xml:space="preserve">are </w:t>
      </w:r>
      <w:r w:rsidR="00162C40">
        <w:rPr>
          <w:rFonts w:eastAsia="Calibri" w:cs="Times New Roman"/>
          <w:szCs w:val="20"/>
        </w:rPr>
        <w:t xml:space="preserve">discussed and some agreements are made </w:t>
      </w:r>
      <w:r w:rsidR="00B13BFE">
        <w:rPr>
          <w:rFonts w:eastAsia="Calibri" w:cs="Times New Roman"/>
          <w:szCs w:val="20"/>
        </w:rPr>
        <w:t xml:space="preserve">in </w:t>
      </w:r>
      <w:r w:rsidR="00B13BFE">
        <w:rPr>
          <w:rFonts w:eastAsia="Calibri" w:cs="Times New Roman"/>
          <w:szCs w:val="20"/>
        </w:rPr>
        <w:fldChar w:fldCharType="begin"/>
      </w:r>
      <w:r w:rsidR="00B13BFE">
        <w:rPr>
          <w:rFonts w:eastAsia="Calibri" w:cs="Times New Roman"/>
          <w:szCs w:val="20"/>
        </w:rPr>
        <w:instrText xml:space="preserve"> REF _Ref513815421 \r \h </w:instrText>
      </w:r>
      <w:r w:rsidR="00B13BFE">
        <w:rPr>
          <w:rFonts w:eastAsia="Calibri" w:cs="Times New Roman"/>
          <w:szCs w:val="20"/>
        </w:rPr>
      </w:r>
      <w:r w:rsidR="00B13BFE">
        <w:rPr>
          <w:rFonts w:eastAsia="Calibri" w:cs="Times New Roman"/>
          <w:szCs w:val="20"/>
        </w:rPr>
        <w:fldChar w:fldCharType="separate"/>
      </w:r>
      <w:r w:rsidR="00B13BFE">
        <w:rPr>
          <w:rFonts w:eastAsia="Calibri" w:cs="Times New Roman"/>
          <w:szCs w:val="20"/>
        </w:rPr>
        <w:t>[1]</w:t>
      </w:r>
      <w:r w:rsidR="00B13BFE">
        <w:rPr>
          <w:rFonts w:eastAsia="Calibri" w:cs="Times New Roman"/>
          <w:szCs w:val="20"/>
        </w:rPr>
        <w:fldChar w:fldCharType="end"/>
      </w:r>
      <w:r w:rsidR="00162C40">
        <w:rPr>
          <w:rFonts w:eastAsia="Calibri" w:cs="Times New Roman"/>
          <w:szCs w:val="20"/>
        </w:rPr>
        <w:t xml:space="preserve"> and </w:t>
      </w:r>
      <w:r w:rsidR="00162C40">
        <w:rPr>
          <w:rFonts w:eastAsia="Calibri" w:cs="Times New Roman"/>
          <w:szCs w:val="20"/>
        </w:rPr>
        <w:fldChar w:fldCharType="begin"/>
      </w:r>
      <w:r w:rsidR="00162C40">
        <w:rPr>
          <w:rFonts w:eastAsia="Calibri" w:cs="Times New Roman"/>
          <w:szCs w:val="20"/>
        </w:rPr>
        <w:instrText xml:space="preserve"> REF _Ref513816287 \r \h </w:instrText>
      </w:r>
      <w:r w:rsidR="00162C40">
        <w:rPr>
          <w:rFonts w:eastAsia="Calibri" w:cs="Times New Roman"/>
          <w:szCs w:val="20"/>
        </w:rPr>
      </w:r>
      <w:r w:rsidR="00162C40">
        <w:rPr>
          <w:rFonts w:eastAsia="Calibri" w:cs="Times New Roman"/>
          <w:szCs w:val="20"/>
        </w:rPr>
        <w:fldChar w:fldCharType="separate"/>
      </w:r>
      <w:r w:rsidR="00162C40">
        <w:rPr>
          <w:rFonts w:eastAsia="Calibri" w:cs="Times New Roman"/>
          <w:szCs w:val="20"/>
        </w:rPr>
        <w:t>[2]</w:t>
      </w:r>
      <w:r w:rsidR="00162C40">
        <w:rPr>
          <w:rFonts w:eastAsia="Calibri" w:cs="Times New Roman"/>
          <w:szCs w:val="20"/>
        </w:rPr>
        <w:fldChar w:fldCharType="end"/>
      </w:r>
      <w:r w:rsidR="006A4DAC" w:rsidRPr="006A4DAC">
        <w:rPr>
          <w:rFonts w:eastAsia="Calibri" w:cs="Times New Roman"/>
          <w:szCs w:val="20"/>
        </w:rPr>
        <w:t>.</w:t>
      </w:r>
    </w:p>
    <w:p w:rsidR="00162C40" w:rsidRDefault="00162C40" w:rsidP="00162C40">
      <w:pPr>
        <w:pStyle w:val="ListParagraph"/>
        <w:numPr>
          <w:ilvl w:val="0"/>
          <w:numId w:val="9"/>
        </w:numPr>
        <w:ind w:right="-23"/>
        <w:rPr>
          <w:rFonts w:eastAsia="Calibri" w:cs="Times New Roman"/>
          <w:szCs w:val="20"/>
        </w:rPr>
      </w:pPr>
      <w:r>
        <w:rPr>
          <w:rFonts w:eastAsia="Calibri" w:cs="Times New Roman"/>
          <w:szCs w:val="20"/>
        </w:rPr>
        <w:t>PDCCH parameters</w:t>
      </w:r>
    </w:p>
    <w:p w:rsidR="00162C40" w:rsidRDefault="00162C40" w:rsidP="00162C40">
      <w:pPr>
        <w:pStyle w:val="ListParagraph"/>
        <w:numPr>
          <w:ilvl w:val="0"/>
          <w:numId w:val="9"/>
        </w:numPr>
        <w:ind w:right="-23"/>
        <w:rPr>
          <w:rFonts w:eastAsia="Calibri" w:cs="Times New Roman"/>
          <w:szCs w:val="20"/>
        </w:rPr>
      </w:pPr>
      <w:r>
        <w:rPr>
          <w:rFonts w:eastAsia="Calibri" w:cs="Times New Roman"/>
          <w:szCs w:val="20"/>
        </w:rPr>
        <w:t>Need for Rx beam sweeping for FR2 RLM</w:t>
      </w:r>
    </w:p>
    <w:p w:rsidR="00162C40" w:rsidRDefault="00162C40" w:rsidP="00162C40">
      <w:pPr>
        <w:pStyle w:val="ListParagraph"/>
        <w:numPr>
          <w:ilvl w:val="0"/>
          <w:numId w:val="9"/>
        </w:numPr>
        <w:ind w:right="-23"/>
        <w:rPr>
          <w:rFonts w:eastAsia="Calibri" w:cs="Times New Roman"/>
          <w:szCs w:val="20"/>
        </w:rPr>
      </w:pPr>
      <w:r>
        <w:rPr>
          <w:rFonts w:eastAsia="Calibri" w:cs="Times New Roman"/>
          <w:szCs w:val="20"/>
        </w:rPr>
        <w:t>Collison among RLM-RS, MG and intra-frequency measurement SMTC</w:t>
      </w:r>
    </w:p>
    <w:p w:rsidR="00CF5B5D" w:rsidRDefault="00CF5B5D" w:rsidP="00162C40">
      <w:pPr>
        <w:pStyle w:val="ListParagraph"/>
        <w:numPr>
          <w:ilvl w:val="0"/>
          <w:numId w:val="9"/>
        </w:numPr>
        <w:ind w:right="-23"/>
        <w:rPr>
          <w:rFonts w:eastAsia="Calibri" w:cs="Times New Roman"/>
          <w:szCs w:val="20"/>
        </w:rPr>
      </w:pPr>
      <w:r>
        <w:rPr>
          <w:rFonts w:eastAsia="Calibri" w:cs="Times New Roman"/>
          <w:szCs w:val="20"/>
        </w:rPr>
        <w:t xml:space="preserve">DRX requirements for evaluation period </w:t>
      </w:r>
    </w:p>
    <w:p w:rsidR="00CF5B5D" w:rsidRDefault="00CF5B5D" w:rsidP="00CF5B5D">
      <w:pPr>
        <w:ind w:right="-23"/>
        <w:rPr>
          <w:rFonts w:eastAsia="Calibri" w:cs="Times New Roman"/>
          <w:szCs w:val="20"/>
        </w:rPr>
      </w:pPr>
      <w:r>
        <w:rPr>
          <w:rFonts w:eastAsia="Calibri" w:cs="Times New Roman"/>
          <w:szCs w:val="20"/>
        </w:rPr>
        <w:t xml:space="preserve">In our view, the remaining open issues for SSB based RLM include </w:t>
      </w:r>
    </w:p>
    <w:p w:rsidR="00CF5B5D" w:rsidRDefault="00CF5B5D" w:rsidP="00CF5B5D">
      <w:pPr>
        <w:pStyle w:val="ListParagraph"/>
        <w:numPr>
          <w:ilvl w:val="0"/>
          <w:numId w:val="9"/>
        </w:numPr>
        <w:ind w:right="-23"/>
        <w:rPr>
          <w:rFonts w:eastAsia="Calibri" w:cs="Times New Roman"/>
          <w:szCs w:val="20"/>
        </w:rPr>
      </w:pPr>
      <w:r>
        <w:rPr>
          <w:rFonts w:eastAsia="Calibri" w:cs="Times New Roman"/>
          <w:szCs w:val="20"/>
        </w:rPr>
        <w:t xml:space="preserve">Conformation of DCI format, power boosting and AL for PDCCH </w:t>
      </w:r>
    </w:p>
    <w:p w:rsidR="00CF5B5D" w:rsidRDefault="00CF5B5D" w:rsidP="00CF5B5D">
      <w:pPr>
        <w:pStyle w:val="ListParagraph"/>
        <w:numPr>
          <w:ilvl w:val="0"/>
          <w:numId w:val="9"/>
        </w:numPr>
        <w:ind w:right="-23"/>
        <w:rPr>
          <w:rFonts w:eastAsia="Calibri" w:cs="Times New Roman"/>
          <w:szCs w:val="20"/>
        </w:rPr>
      </w:pPr>
      <w:r>
        <w:rPr>
          <w:rFonts w:eastAsia="Calibri" w:cs="Times New Roman"/>
          <w:szCs w:val="20"/>
        </w:rPr>
        <w:t>Clarification of Rx beam for FR2 RLM</w:t>
      </w:r>
    </w:p>
    <w:p w:rsidR="00CF5B5D" w:rsidRDefault="00CF5B5D" w:rsidP="00CF5B5D">
      <w:pPr>
        <w:pStyle w:val="ListParagraph"/>
        <w:numPr>
          <w:ilvl w:val="0"/>
          <w:numId w:val="9"/>
        </w:numPr>
        <w:ind w:right="-23"/>
        <w:rPr>
          <w:rFonts w:eastAsia="Calibri" w:cs="Times New Roman"/>
          <w:szCs w:val="20"/>
        </w:rPr>
      </w:pPr>
      <w:r>
        <w:rPr>
          <w:rFonts w:eastAsia="Calibri" w:cs="Times New Roman"/>
          <w:szCs w:val="20"/>
        </w:rPr>
        <w:t>Completion of RLM requirements for all cases of collision among RLM-RS, MG and SMTC</w:t>
      </w:r>
    </w:p>
    <w:p w:rsidR="00CF5B5D" w:rsidRDefault="00CF5B5D" w:rsidP="00CF5B5D">
      <w:pPr>
        <w:pStyle w:val="ListParagraph"/>
        <w:numPr>
          <w:ilvl w:val="0"/>
          <w:numId w:val="9"/>
        </w:numPr>
        <w:ind w:right="-23"/>
        <w:rPr>
          <w:rFonts w:eastAsia="Calibri" w:cs="Times New Roman"/>
          <w:szCs w:val="20"/>
        </w:rPr>
      </w:pPr>
      <w:r>
        <w:rPr>
          <w:rFonts w:eastAsia="Calibri" w:cs="Times New Roman"/>
          <w:szCs w:val="20"/>
        </w:rPr>
        <w:t>DRX requirements for L1 indication interval</w:t>
      </w:r>
    </w:p>
    <w:p w:rsidR="00CF5B5D" w:rsidRDefault="00CF5B5D" w:rsidP="00CF5B5D">
      <w:pPr>
        <w:pStyle w:val="ListParagraph"/>
        <w:numPr>
          <w:ilvl w:val="0"/>
          <w:numId w:val="9"/>
        </w:numPr>
        <w:ind w:right="-23"/>
        <w:rPr>
          <w:rFonts w:eastAsia="Calibri" w:cs="Times New Roman"/>
          <w:szCs w:val="20"/>
        </w:rPr>
      </w:pPr>
      <w:r>
        <w:rPr>
          <w:rFonts w:eastAsia="Calibri" w:cs="Times New Roman"/>
          <w:szCs w:val="20"/>
        </w:rPr>
        <w:t>Number of RLM-RS UE should be able to monitor</w:t>
      </w:r>
    </w:p>
    <w:p w:rsidR="00CF5B5D" w:rsidRPr="00CF5B5D" w:rsidRDefault="00CF5B5D" w:rsidP="00CF5B5D">
      <w:pPr>
        <w:pStyle w:val="ListParagraph"/>
        <w:numPr>
          <w:ilvl w:val="0"/>
          <w:numId w:val="9"/>
        </w:numPr>
        <w:ind w:right="-23"/>
        <w:rPr>
          <w:rFonts w:eastAsia="Calibri" w:cs="Times New Roman"/>
          <w:szCs w:val="20"/>
        </w:rPr>
      </w:pPr>
      <w:r w:rsidRPr="00CF5B5D">
        <w:rPr>
          <w:rFonts w:eastAsia="Calibri" w:cs="Times New Roman"/>
          <w:szCs w:val="20"/>
        </w:rPr>
        <w:t>PDCCH parameter based on SCS of RLM-RS</w:t>
      </w:r>
    </w:p>
    <w:p w:rsidR="00126990" w:rsidRPr="00126990" w:rsidRDefault="00C203DD" w:rsidP="00C74935">
      <w:pPr>
        <w:ind w:right="-23"/>
        <w:rPr>
          <w:rFonts w:eastAsia="Calibri" w:cs="Times New Roman"/>
          <w:szCs w:val="20"/>
        </w:rPr>
      </w:pPr>
      <w:bookmarkStart w:id="4" w:name="_Hlk513205847"/>
      <w:bookmarkEnd w:id="3"/>
      <w:r>
        <w:rPr>
          <w:rFonts w:eastAsia="Calibri" w:cs="Times New Roman"/>
          <w:szCs w:val="20"/>
        </w:rPr>
        <w:t xml:space="preserve">In this paper, we will provide our views on </w:t>
      </w:r>
      <w:r w:rsidR="00CF5B5D">
        <w:rPr>
          <w:rFonts w:eastAsia="Calibri" w:cs="Times New Roman"/>
          <w:szCs w:val="20"/>
        </w:rPr>
        <w:t>the remaining open issues for SSB based RLM</w:t>
      </w:r>
      <w:r>
        <w:rPr>
          <w:rFonts w:eastAsia="Calibri" w:cs="Times New Roman"/>
          <w:szCs w:val="20"/>
        </w:rPr>
        <w:t>.</w:t>
      </w:r>
      <w:r w:rsidR="00CF5B5D">
        <w:rPr>
          <w:rFonts w:eastAsia="Calibri" w:cs="Times New Roman"/>
          <w:szCs w:val="20"/>
        </w:rPr>
        <w:t xml:space="preserve"> It should be noted that all these issues are common for </w:t>
      </w:r>
      <w:r w:rsidR="00E1417F">
        <w:rPr>
          <w:rFonts w:eastAsia="Calibri" w:cs="Times New Roman"/>
          <w:szCs w:val="20"/>
        </w:rPr>
        <w:t>SSB based and CSI-RS based RLM, so the conclusions in this paper also apply for CSI-RS based RLM.</w:t>
      </w:r>
    </w:p>
    <w:bookmarkEnd w:id="4"/>
    <w:p w:rsidR="003B659E" w:rsidRDefault="003B659E" w:rsidP="00AE56B1">
      <w:pPr>
        <w:pStyle w:val="RAN4H1"/>
      </w:pPr>
      <w:r w:rsidRPr="00AE56B1">
        <w:t>Discussion</w:t>
      </w:r>
    </w:p>
    <w:p w:rsidR="00CE2001" w:rsidRDefault="000C5B30" w:rsidP="00CE2001">
      <w:pPr>
        <w:pStyle w:val="RAN4H2"/>
      </w:pPr>
      <w:bookmarkStart w:id="5" w:name="_Hlk513733380"/>
      <w:r>
        <w:t>Confirmation of PDCCH parameters</w:t>
      </w:r>
    </w:p>
    <w:p w:rsidR="000C5B30" w:rsidRDefault="000C5B30" w:rsidP="00CF7FE6">
      <w:r>
        <w:t>In RAN4#86bis, based on companies’ simulation results on PDCCH performances, it is agreed</w:t>
      </w:r>
      <w:r w:rsidR="004F796F">
        <w:t xml:space="preserve"> in bracket</w:t>
      </w:r>
      <w:r>
        <w:t xml:space="preserve"> to use following settings for OOS and IS evaluation.</w:t>
      </w:r>
    </w:p>
    <w:p w:rsidR="000C5B30" w:rsidRDefault="000C5B30" w:rsidP="000C5B30">
      <w:pPr>
        <w:pStyle w:val="Caption"/>
        <w:keepNext/>
      </w:pPr>
      <w:r>
        <w:t xml:space="preserve">Table </w:t>
      </w:r>
      <w:r w:rsidR="00ED4777">
        <w:fldChar w:fldCharType="begin"/>
      </w:r>
      <w:r w:rsidR="00ED4777">
        <w:instrText xml:space="preserve"> SEQ Table \* ARABIC </w:instrText>
      </w:r>
      <w:r w:rsidR="00ED4777">
        <w:fldChar w:fldCharType="separate"/>
      </w:r>
      <w:r>
        <w:rPr>
          <w:noProof/>
        </w:rPr>
        <w:t>1</w:t>
      </w:r>
      <w:r w:rsidR="00ED4777">
        <w:rPr>
          <w:noProof/>
        </w:rPr>
        <w:fldChar w:fldCharType="end"/>
      </w:r>
      <w:r>
        <w:t>: PDCCH parameters from RAN4#86bis</w:t>
      </w:r>
    </w:p>
    <w:tbl>
      <w:tblPr>
        <w:tblStyle w:val="TableGrid"/>
        <w:tblW w:w="0" w:type="auto"/>
        <w:jc w:val="center"/>
        <w:tblLook w:val="04A0" w:firstRow="1" w:lastRow="0" w:firstColumn="1" w:lastColumn="0" w:noHBand="0" w:noVBand="1"/>
      </w:tblPr>
      <w:tblGrid>
        <w:gridCol w:w="1711"/>
        <w:gridCol w:w="683"/>
        <w:gridCol w:w="483"/>
      </w:tblGrid>
      <w:tr w:rsidR="000C5B30" w:rsidTr="000C5B30">
        <w:trPr>
          <w:jc w:val="center"/>
        </w:trPr>
        <w:tc>
          <w:tcPr>
            <w:tcW w:w="0" w:type="auto"/>
          </w:tcPr>
          <w:p w:rsidR="000C5B30" w:rsidRDefault="000C5B30" w:rsidP="000C5B30">
            <w:pPr>
              <w:jc w:val="center"/>
            </w:pPr>
          </w:p>
        </w:tc>
        <w:tc>
          <w:tcPr>
            <w:tcW w:w="0" w:type="auto"/>
          </w:tcPr>
          <w:p w:rsidR="000C5B30" w:rsidRPr="000C5B30" w:rsidRDefault="000C5B30" w:rsidP="000C5B30">
            <w:pPr>
              <w:jc w:val="center"/>
              <w:rPr>
                <w:b/>
              </w:rPr>
            </w:pPr>
            <w:r w:rsidRPr="000C5B30">
              <w:rPr>
                <w:b/>
              </w:rPr>
              <w:t>OOS</w:t>
            </w:r>
          </w:p>
        </w:tc>
        <w:tc>
          <w:tcPr>
            <w:tcW w:w="0" w:type="auto"/>
          </w:tcPr>
          <w:p w:rsidR="000C5B30" w:rsidRPr="000C5B30" w:rsidRDefault="000C5B30" w:rsidP="000C5B30">
            <w:pPr>
              <w:jc w:val="center"/>
              <w:rPr>
                <w:b/>
              </w:rPr>
            </w:pPr>
            <w:r w:rsidRPr="000C5B30">
              <w:rPr>
                <w:b/>
              </w:rPr>
              <w:t>IS</w:t>
            </w:r>
          </w:p>
        </w:tc>
      </w:tr>
      <w:tr w:rsidR="000C5B30" w:rsidTr="000C5B30">
        <w:trPr>
          <w:jc w:val="center"/>
        </w:trPr>
        <w:tc>
          <w:tcPr>
            <w:tcW w:w="0" w:type="auto"/>
          </w:tcPr>
          <w:p w:rsidR="000C5B30" w:rsidRPr="000C5B30" w:rsidRDefault="000C5B30" w:rsidP="000C5B30">
            <w:pPr>
              <w:jc w:val="center"/>
              <w:rPr>
                <w:b/>
              </w:rPr>
            </w:pPr>
            <w:r w:rsidRPr="000C5B30">
              <w:rPr>
                <w:b/>
              </w:rPr>
              <w:t>DCI format</w:t>
            </w:r>
          </w:p>
        </w:tc>
        <w:tc>
          <w:tcPr>
            <w:tcW w:w="0" w:type="auto"/>
          </w:tcPr>
          <w:p w:rsidR="000C5B30" w:rsidRDefault="000C5B30" w:rsidP="000C5B30">
            <w:pPr>
              <w:jc w:val="center"/>
            </w:pPr>
            <w:r>
              <w:t>1-0</w:t>
            </w:r>
          </w:p>
        </w:tc>
        <w:tc>
          <w:tcPr>
            <w:tcW w:w="0" w:type="auto"/>
          </w:tcPr>
          <w:p w:rsidR="000C5B30" w:rsidRDefault="000C5B30" w:rsidP="000C5B30">
            <w:pPr>
              <w:jc w:val="center"/>
            </w:pPr>
            <w:r>
              <w:t>1-0</w:t>
            </w:r>
          </w:p>
        </w:tc>
      </w:tr>
      <w:tr w:rsidR="000C5B30" w:rsidTr="000C5B30">
        <w:trPr>
          <w:jc w:val="center"/>
        </w:trPr>
        <w:tc>
          <w:tcPr>
            <w:tcW w:w="0" w:type="auto"/>
          </w:tcPr>
          <w:p w:rsidR="000C5B30" w:rsidRPr="000C5B30" w:rsidRDefault="000C5B30" w:rsidP="000C5B30">
            <w:pPr>
              <w:jc w:val="center"/>
              <w:rPr>
                <w:b/>
              </w:rPr>
            </w:pPr>
            <w:r w:rsidRPr="000C5B30">
              <w:rPr>
                <w:b/>
              </w:rPr>
              <w:t>Aggregation level</w:t>
            </w:r>
          </w:p>
        </w:tc>
        <w:tc>
          <w:tcPr>
            <w:tcW w:w="0" w:type="auto"/>
          </w:tcPr>
          <w:p w:rsidR="000C5B30" w:rsidRDefault="000C5B30" w:rsidP="000C5B30">
            <w:pPr>
              <w:jc w:val="center"/>
            </w:pPr>
            <w:r>
              <w:t>8</w:t>
            </w:r>
          </w:p>
        </w:tc>
        <w:tc>
          <w:tcPr>
            <w:tcW w:w="0" w:type="auto"/>
          </w:tcPr>
          <w:p w:rsidR="000C5B30" w:rsidRDefault="000C5B30" w:rsidP="000C5B30">
            <w:pPr>
              <w:jc w:val="center"/>
            </w:pPr>
            <w:r>
              <w:t>4</w:t>
            </w:r>
          </w:p>
        </w:tc>
      </w:tr>
      <w:tr w:rsidR="000C5B30" w:rsidTr="000C5B30">
        <w:trPr>
          <w:jc w:val="center"/>
        </w:trPr>
        <w:tc>
          <w:tcPr>
            <w:tcW w:w="0" w:type="auto"/>
          </w:tcPr>
          <w:p w:rsidR="000C5B30" w:rsidRPr="000C5B30" w:rsidRDefault="000C5B30" w:rsidP="000C5B30">
            <w:pPr>
              <w:jc w:val="center"/>
              <w:rPr>
                <w:b/>
              </w:rPr>
            </w:pPr>
            <w:r w:rsidRPr="000C5B30">
              <w:rPr>
                <w:b/>
              </w:rPr>
              <w:t>Power boosting</w:t>
            </w:r>
          </w:p>
        </w:tc>
        <w:tc>
          <w:tcPr>
            <w:tcW w:w="0" w:type="auto"/>
          </w:tcPr>
          <w:p w:rsidR="000C5B30" w:rsidRDefault="000C5B30" w:rsidP="000C5B30">
            <w:pPr>
              <w:jc w:val="center"/>
            </w:pPr>
            <w:r>
              <w:t>3 or 4</w:t>
            </w:r>
          </w:p>
        </w:tc>
        <w:tc>
          <w:tcPr>
            <w:tcW w:w="0" w:type="auto"/>
          </w:tcPr>
          <w:p w:rsidR="000C5B30" w:rsidRDefault="000C5B30" w:rsidP="000C5B30">
            <w:pPr>
              <w:jc w:val="center"/>
            </w:pPr>
            <w:r>
              <w:t>0</w:t>
            </w:r>
          </w:p>
        </w:tc>
      </w:tr>
    </w:tbl>
    <w:p w:rsidR="00AC21E5" w:rsidRDefault="00AC21E5" w:rsidP="00CF7FE6">
      <w:r>
        <w:t xml:space="preserve">The main criteria in deciding the PDCCH parameters for RLM are </w:t>
      </w:r>
    </w:p>
    <w:p w:rsidR="00CF7FE6" w:rsidRDefault="00AC21E5" w:rsidP="00AC21E5">
      <w:pPr>
        <w:pStyle w:val="ListParagraph"/>
        <w:numPr>
          <w:ilvl w:val="0"/>
          <w:numId w:val="9"/>
        </w:numPr>
      </w:pPr>
      <w:r>
        <w:t>Ensure reasonable cell coverage with Qout which is comparable with LTE</w:t>
      </w:r>
      <w:r w:rsidR="00CF7FE6">
        <w:t xml:space="preserve"> </w:t>
      </w:r>
    </w:p>
    <w:p w:rsidR="00AC21E5" w:rsidRDefault="00AC21E5" w:rsidP="00AC21E5">
      <w:pPr>
        <w:pStyle w:val="ListParagraph"/>
        <w:numPr>
          <w:ilvl w:val="0"/>
          <w:numId w:val="9"/>
        </w:numPr>
      </w:pPr>
      <w:r>
        <w:t>Ensure there is sufficient gap between Qout and Qin</w:t>
      </w:r>
    </w:p>
    <w:p w:rsidR="00CF7FE6" w:rsidRDefault="00AC21E5" w:rsidP="00CF7FE6">
      <w:r>
        <w:t xml:space="preserve">Keeping the two criteria in mind and checking the simulation results in </w:t>
      </w:r>
      <w:r>
        <w:fldChar w:fldCharType="begin"/>
      </w:r>
      <w:r>
        <w:instrText xml:space="preserve"> REF _Ref513818426 \r \h </w:instrText>
      </w:r>
      <w:r>
        <w:fldChar w:fldCharType="separate"/>
      </w:r>
      <w:r>
        <w:t>[3]</w:t>
      </w:r>
      <w:r>
        <w:fldChar w:fldCharType="end"/>
      </w:r>
      <w:r>
        <w:t>, we think the current parameter settings can be confirmed with the power boosting for OOS set at 3dB.</w:t>
      </w:r>
    </w:p>
    <w:p w:rsidR="00AC21E5" w:rsidRDefault="00AC21E5" w:rsidP="00AC21E5">
      <w:pPr>
        <w:pStyle w:val="RAN4proposal"/>
      </w:pPr>
      <w:bookmarkStart w:id="6" w:name="_Ref513824117"/>
      <w:r>
        <w:lastRenderedPageBreak/>
        <w:t xml:space="preserve">Confirm the PDCCH parameters in latest 38.133 with </w:t>
      </w:r>
      <w:r w:rsidRPr="00AC21E5">
        <w:t>power boosting for OOS set at 3dB</w:t>
      </w:r>
      <w:r>
        <w:t>.</w:t>
      </w:r>
      <w:bookmarkEnd w:id="6"/>
    </w:p>
    <w:p w:rsidR="00AC21E5" w:rsidRPr="00AC21E5" w:rsidRDefault="00AC21E5" w:rsidP="00AC21E5">
      <w:pPr>
        <w:pStyle w:val="RAN4H2"/>
      </w:pPr>
      <w:r>
        <w:t>FR2 requirements and assumption on Rx beam</w:t>
      </w:r>
    </w:p>
    <w:p w:rsidR="003471C5" w:rsidRDefault="003471C5" w:rsidP="00CF7FE6">
      <w:r>
        <w:t xml:space="preserve">For FR2 </w:t>
      </w:r>
      <w:r w:rsidR="0095476A">
        <w:t xml:space="preserve">requirements, </w:t>
      </w:r>
      <w:r>
        <w:t>below is agreed in RAN4#86bis.</w:t>
      </w:r>
    </w:p>
    <w:tbl>
      <w:tblPr>
        <w:tblStyle w:val="TableGrid"/>
        <w:tblW w:w="0" w:type="auto"/>
        <w:tblLook w:val="04A0" w:firstRow="1" w:lastRow="0" w:firstColumn="1" w:lastColumn="0" w:noHBand="0" w:noVBand="1"/>
      </w:tblPr>
      <w:tblGrid>
        <w:gridCol w:w="9617"/>
      </w:tblGrid>
      <w:tr w:rsidR="003471C5" w:rsidTr="003471C5">
        <w:tc>
          <w:tcPr>
            <w:tcW w:w="9617" w:type="dxa"/>
          </w:tcPr>
          <w:p w:rsidR="003471C5" w:rsidRDefault="003471C5" w:rsidP="0095476A">
            <w:r w:rsidRPr="003471C5">
              <w:t>RLM measurement based on non Rx beam sweeping on certain conditions which are FFS. If there is no guarantee that UE can aware which Rx beam is the suitable for RLM, additional delay is expected in RLM evaluation period.</w:t>
            </w:r>
          </w:p>
        </w:tc>
      </w:tr>
    </w:tbl>
    <w:p w:rsidR="009F0439" w:rsidRDefault="0082271A" w:rsidP="00CF7FE6">
      <w:r>
        <w:t xml:space="preserve">What is the exact condition for UE to know </w:t>
      </w:r>
      <w:r w:rsidR="00300C27">
        <w:t>the</w:t>
      </w:r>
      <w:r>
        <w:t xml:space="preserve"> Rx beam </w:t>
      </w:r>
      <w:r w:rsidR="00300C27">
        <w:t xml:space="preserve">that </w:t>
      </w:r>
      <w:r>
        <w:t xml:space="preserve">should be used for RLM is FFS from RAN4#86bis. We agree with the proposal in </w:t>
      </w:r>
      <w:r>
        <w:fldChar w:fldCharType="begin"/>
      </w:r>
      <w:r>
        <w:instrText xml:space="preserve"> REF _Ref513820068 \r \h </w:instrText>
      </w:r>
      <w:r>
        <w:fldChar w:fldCharType="separate"/>
      </w:r>
      <w:r>
        <w:t>[4]</w:t>
      </w:r>
      <w:r>
        <w:fldChar w:fldCharType="end"/>
      </w:r>
      <w:r>
        <w:t xml:space="preserve"> that UE can </w:t>
      </w:r>
      <w:r w:rsidR="00300C27">
        <w:t xml:space="preserve">only </w:t>
      </w:r>
      <w:r>
        <w:t xml:space="preserve">know </w:t>
      </w:r>
      <w:r w:rsidR="00300C27">
        <w:t xml:space="preserve">this if the RLM-RS has been measured </w:t>
      </w:r>
      <w:r w:rsidR="009F0439" w:rsidRPr="009F0439">
        <w:t xml:space="preserve">for other purposes </w:t>
      </w:r>
      <w:r w:rsidR="00300C27">
        <w:t>or is QCL-ed with some other RS that has been measured by UE for other purposes</w:t>
      </w:r>
      <w:r w:rsidR="009F0439">
        <w:t xml:space="preserve"> (like BM, CSI, or BFR)</w:t>
      </w:r>
      <w:r w:rsidR="00300C27">
        <w:t xml:space="preserve">. </w:t>
      </w:r>
      <w:r w:rsidR="009F0439">
        <w:t xml:space="preserve">This can be captured in spec as the condition for not having sweeping for RLM. </w:t>
      </w:r>
    </w:p>
    <w:p w:rsidR="009F0439" w:rsidRDefault="0082271A" w:rsidP="00CF7FE6">
      <w:r>
        <w:t>With the current signaling framework in 38.331, RLM-RS can be independently configured (and can be either SSB or CSI-RS), and it does not have to be an RS that has been configured for other purposes or QCL-ed with such an RS.</w:t>
      </w:r>
      <w:r w:rsidR="009F0439">
        <w:t xml:space="preserve"> Therefore, a note can be added in the spec that in this case longer RLM evaluation period can be expected.</w:t>
      </w:r>
    </w:p>
    <w:p w:rsidR="0082271A" w:rsidRDefault="009F0439" w:rsidP="00CF7FE6">
      <w:r>
        <w:t xml:space="preserve">There was also a discussion in RAN4#86bis on whether RLM in FR2 will cause scheduling restriction. </w:t>
      </w:r>
      <w:r w:rsidR="00437C60">
        <w:t xml:space="preserve">In our understanding, there is ongoing discussion in RAN1 on the prioritization of different </w:t>
      </w:r>
      <w:r w:rsidR="00B0117E">
        <w:t xml:space="preserve">channels/signals, and it will impact whether RLM and PDCCH/PDSCH reception can be performed simultaneously. RAN4 could wait for RAN1 conclusion and captures it if necessary. </w:t>
      </w:r>
    </w:p>
    <w:p w:rsidR="0082271A" w:rsidRDefault="009F0439" w:rsidP="009F0439">
      <w:pPr>
        <w:pStyle w:val="RAN4proposal"/>
      </w:pPr>
      <w:bookmarkStart w:id="7" w:name="_Ref513824119"/>
      <w:r>
        <w:t xml:space="preserve">RLM requirements in FR2 are based on non-sweeping if </w:t>
      </w:r>
      <w:r w:rsidRPr="009F0439">
        <w:t>the RLM-RS has been measured for other purposes or is QCL-ed with some other RS that has been measured by UE for other purposes</w:t>
      </w:r>
      <w:r>
        <w:t>.</w:t>
      </w:r>
      <w:bookmarkEnd w:id="7"/>
    </w:p>
    <w:p w:rsidR="0082271A" w:rsidRDefault="00B0117E" w:rsidP="0095476A">
      <w:pPr>
        <w:pStyle w:val="RAN4proposal"/>
      </w:pPr>
      <w:bookmarkStart w:id="8" w:name="_Ref513824120"/>
      <w:r>
        <w:t xml:space="preserve">RAN4 should wait for RAN1 conclusion on whether </w:t>
      </w:r>
      <w:r w:rsidR="009F0439">
        <w:t xml:space="preserve">RLM in FR2 </w:t>
      </w:r>
      <w:r>
        <w:t>would</w:t>
      </w:r>
      <w:r w:rsidR="0095476A">
        <w:t xml:space="preserve"> cause data interruption.</w:t>
      </w:r>
      <w:bookmarkEnd w:id="8"/>
    </w:p>
    <w:p w:rsidR="0082271A" w:rsidRDefault="0095476A" w:rsidP="0095476A">
      <w:pPr>
        <w:pStyle w:val="RAN4H2"/>
      </w:pPr>
      <w:r>
        <w:t>Collision among RLM-RS, MG and SMTC</w:t>
      </w:r>
    </w:p>
    <w:p w:rsidR="0095476A" w:rsidRDefault="0095476A" w:rsidP="0095476A">
      <w:pPr>
        <w:spacing w:line="240" w:lineRule="auto"/>
      </w:pPr>
      <w:r>
        <w:t>For collision among RLM-RS, MG and SMTC, below is agreed in RAN4#86bis.</w:t>
      </w:r>
    </w:p>
    <w:tbl>
      <w:tblPr>
        <w:tblStyle w:val="TableGrid"/>
        <w:tblW w:w="0" w:type="auto"/>
        <w:tblLook w:val="04A0" w:firstRow="1" w:lastRow="0" w:firstColumn="1" w:lastColumn="0" w:noHBand="0" w:noVBand="1"/>
      </w:tblPr>
      <w:tblGrid>
        <w:gridCol w:w="9617"/>
      </w:tblGrid>
      <w:tr w:rsidR="0095476A" w:rsidTr="0095476A">
        <w:tc>
          <w:tcPr>
            <w:tcW w:w="9617" w:type="dxa"/>
          </w:tcPr>
          <w:p w:rsidR="0095476A" w:rsidRPr="0095476A" w:rsidRDefault="0095476A" w:rsidP="0095476A">
            <w:r w:rsidRPr="0095476A">
              <w:t>In FR2:</w:t>
            </w:r>
          </w:p>
          <w:p w:rsidR="0095476A" w:rsidRPr="0095476A" w:rsidRDefault="0095476A" w:rsidP="0095476A">
            <w:pPr>
              <w:numPr>
                <w:ilvl w:val="0"/>
                <w:numId w:val="9"/>
              </w:numPr>
              <w:spacing w:line="259" w:lineRule="auto"/>
              <w:contextualSpacing/>
            </w:pPr>
            <w:r w:rsidRPr="0095476A">
              <w:t xml:space="preserve">UE is only expected to perform SSB-based RLM outside measurement gaps. </w:t>
            </w:r>
          </w:p>
          <w:p w:rsidR="0095476A" w:rsidRDefault="0095476A" w:rsidP="0095476A">
            <w:pPr>
              <w:numPr>
                <w:ilvl w:val="0"/>
                <w:numId w:val="9"/>
              </w:numPr>
              <w:spacing w:line="259" w:lineRule="auto"/>
              <w:contextualSpacing/>
            </w:pPr>
            <w:r w:rsidRPr="0095476A">
              <w:t>UE is only expected to perform SSB-based RLM outside SMTC windows if RLM-RS is partially overlapped with SMTC.</w:t>
            </w:r>
          </w:p>
          <w:p w:rsidR="0095476A" w:rsidRDefault="0095476A" w:rsidP="0095476A">
            <w:pPr>
              <w:numPr>
                <w:ilvl w:val="0"/>
                <w:numId w:val="9"/>
              </w:numPr>
              <w:spacing w:line="259" w:lineRule="auto"/>
              <w:contextualSpacing/>
            </w:pPr>
            <w:r w:rsidRPr="0095476A">
              <w:t>If the SMTC is fully overlapped with RLM-RS, RAN4 is to study sharing mechanism for RLM and intra-frequency measurement</w:t>
            </w:r>
          </w:p>
        </w:tc>
      </w:tr>
    </w:tbl>
    <w:p w:rsidR="0095476A" w:rsidRDefault="0095476A" w:rsidP="0095476A">
      <w:pPr>
        <w:spacing w:line="240" w:lineRule="auto"/>
      </w:pPr>
      <w:r>
        <w:t xml:space="preserve">For FR1, since RLM and intra-frequency measurement can be performed simultaneously, </w:t>
      </w:r>
      <w:r w:rsidR="000A1D60">
        <w:t xml:space="preserve">there is no need to consider collision between RLM-RS an SMTC, and the requirements are already clear. </w:t>
      </w:r>
      <w:r>
        <w:t xml:space="preserve">What remains open is the </w:t>
      </w:r>
      <w:r w:rsidR="000A1D60">
        <w:t xml:space="preserve">FR2 requirements, since </w:t>
      </w:r>
      <w:r>
        <w:t xml:space="preserve">time sharing factor </w:t>
      </w:r>
      <w:r w:rsidR="000A1D60">
        <w:t xml:space="preserve">needs to be introduced for the case of full overlapped RLM-RS and SMTC. </w:t>
      </w:r>
    </w:p>
    <w:p w:rsidR="000A1D60" w:rsidRDefault="000A1D60" w:rsidP="0095476A">
      <w:pPr>
        <w:spacing w:line="240" w:lineRule="auto"/>
      </w:pPr>
      <w:r>
        <w:t xml:space="preserve">The time sharing factor is similar as MG sharing factor, which will determine the prioritization between RLM and </w:t>
      </w:r>
      <w:r w:rsidRPr="000A1D60">
        <w:t>intra-frequency measurement</w:t>
      </w:r>
      <w:r>
        <w:t xml:space="preserve">. It may be flexible if the time sharing factor can be network configurable, but since it’s already the last meeting for Rel-15 NR WI, introducing new signaling may be too late. Our preference is then to define a fixed value in the spec as 50%-50% which gives equal priority between RLM and </w:t>
      </w:r>
      <w:r w:rsidRPr="000A1D60">
        <w:t>intra-frequency measurement</w:t>
      </w:r>
      <w:r>
        <w:t>.</w:t>
      </w:r>
    </w:p>
    <w:p w:rsidR="000A1D60" w:rsidRDefault="000A1D60" w:rsidP="000A1D60">
      <w:pPr>
        <w:pStyle w:val="RAN4proposal"/>
      </w:pPr>
      <w:bookmarkStart w:id="9" w:name="_Ref513824121"/>
      <w:r>
        <w:t xml:space="preserve">For FR2, the time sharing factor between RLM and </w:t>
      </w:r>
      <w:r w:rsidRPr="000A1D60">
        <w:t>intra-frequency measurement</w:t>
      </w:r>
      <w:r>
        <w:t xml:space="preserve"> for the case of full overlapped RLM-RS and SMTC is fixed as 50%.</w:t>
      </w:r>
      <w:bookmarkEnd w:id="9"/>
    </w:p>
    <w:p w:rsidR="0082271A" w:rsidRDefault="0088046B" w:rsidP="00CF7FE6">
      <w:r>
        <w:t xml:space="preserve">For the collision among RLM-RS, MG and SMTC, another specification issue is how to capture the agreed principles in the spec. For FR1 the scaling factor due to collision can be easily defined, but for FR2 there are many cases due to combinations of RLM-RS, MG and SMTC period and offset. In current version of 38.133 there are already 7 categories, and it’s hard to confirm if all combinations can be covered by these 7 categories. Also </w:t>
      </w:r>
      <w:r w:rsidR="00005259">
        <w:t xml:space="preserve">the scaling factor for some of the cases may be difficult to be derived with a simple closed-form expression. We therefore try to describe the derivation in a different way in </w:t>
      </w:r>
      <w:r w:rsidR="00005259">
        <w:fldChar w:fldCharType="begin"/>
      </w:r>
      <w:r w:rsidR="00005259">
        <w:instrText xml:space="preserve"> REF _Ref513823367 \r \h </w:instrText>
      </w:r>
      <w:r w:rsidR="00005259">
        <w:fldChar w:fldCharType="separate"/>
      </w:r>
      <w:r w:rsidR="00005259">
        <w:t>[5]</w:t>
      </w:r>
      <w:r w:rsidR="00005259">
        <w:fldChar w:fldCharType="end"/>
      </w:r>
      <w:r w:rsidR="00005259">
        <w:t xml:space="preserve">, but we are open to discuss the best way to capture. </w:t>
      </w:r>
    </w:p>
    <w:p w:rsidR="0082271A" w:rsidRDefault="00005259" w:rsidP="00005259">
      <w:pPr>
        <w:pStyle w:val="RAN4H2"/>
      </w:pPr>
      <w:r>
        <w:t>DRX requirements for L1 indication</w:t>
      </w:r>
    </w:p>
    <w:p w:rsidR="00005259" w:rsidRDefault="00005259" w:rsidP="00005259">
      <w:r>
        <w:t xml:space="preserve">DRX requirements for evaluation period has been concluded in RAN4#86bis with a scaling factor of 1.5 introduced for DRX cycles &lt;= 320ms. The remaining issue is whether L1 indication period should be also scaled or not. Here our view </w:t>
      </w:r>
      <w:r>
        <w:lastRenderedPageBreak/>
        <w:t>is that it should also be scaled. If evaluation period is scaled but L1 indication interval is not, UE may trigger the L1 indication based on the same evaluation result, and this may cause unexpected OOS or IS indication.</w:t>
      </w:r>
    </w:p>
    <w:p w:rsidR="00005259" w:rsidRDefault="00005259" w:rsidP="00005259">
      <w:r>
        <w:t xml:space="preserve">Besides DRX, there are other scaling factors introduced for evaluation period requirements, e.g. the scaling due to collision among RLM-RS, MG and SMTC, as discussed in the previous section. Our view is that the same scaling as applied to evaluation period should be also applied to L1 indication interval.  </w:t>
      </w:r>
    </w:p>
    <w:p w:rsidR="00005259" w:rsidRDefault="00005259" w:rsidP="00005259">
      <w:pPr>
        <w:pStyle w:val="RAN4proposal"/>
        <w:spacing w:before="0" w:after="200"/>
      </w:pPr>
      <w:bookmarkStart w:id="10" w:name="_Ref510798171"/>
      <w:r>
        <w:t>Same scaling factor</w:t>
      </w:r>
      <w:r w:rsidR="004D35C8">
        <w:t>s</w:t>
      </w:r>
      <w:r>
        <w:t xml:space="preserve"> introduced for evaluation period should apply to </w:t>
      </w:r>
      <w:r w:rsidR="004D35C8">
        <w:t>L1 indication interval</w:t>
      </w:r>
      <w:r>
        <w:t>.</w:t>
      </w:r>
      <w:bookmarkEnd w:id="10"/>
      <w:r>
        <w:t xml:space="preserve"> </w:t>
      </w:r>
    </w:p>
    <w:p w:rsidR="0082271A" w:rsidRDefault="004D35C8" w:rsidP="004D35C8">
      <w:pPr>
        <w:pStyle w:val="RAN4H2"/>
      </w:pPr>
      <w:r>
        <w:t>Number of RLM-RS</w:t>
      </w:r>
    </w:p>
    <w:p w:rsidR="004D35C8" w:rsidRPr="004D35C8" w:rsidRDefault="004D35C8" w:rsidP="004D35C8">
      <w:pPr>
        <w:spacing w:before="0" w:after="160"/>
      </w:pPr>
      <w:r w:rsidRPr="004D35C8">
        <w:t xml:space="preserve">In RAN1#91, RAN1 has confirmed all the numbers of RLM-RS resources UE should be able to monitor for different frequency ranges, and the brackets were removed in RAN1 agreement. In our understanding, those numbers were agreed in RAN1 by assuming UE will monitor all configured RLM-RS resources, as otherwise the number of configurable resources should be larger. </w:t>
      </w:r>
    </w:p>
    <w:p w:rsidR="004D35C8" w:rsidRPr="004D35C8" w:rsidRDefault="004D35C8" w:rsidP="004D35C8">
      <w:pPr>
        <w:spacing w:before="0" w:after="160"/>
      </w:pPr>
      <w:r w:rsidRPr="004D35C8">
        <w:t>If RAN4 defines a different (smaller) maximum number than what was agreed in RAN1, it will be a question what happens if network configures the maximum number of resources, otherwise the RAN2 signaling should be changed according to RAN4 agreed numbers. This in essence means a change to RAN1 agreement, and we don’t think this is a good way to go.</w:t>
      </w:r>
    </w:p>
    <w:p w:rsidR="004D35C8" w:rsidRPr="004D35C8" w:rsidRDefault="004D35C8" w:rsidP="004D35C8">
      <w:pPr>
        <w:pStyle w:val="RAN4proposal"/>
      </w:pPr>
      <w:bookmarkStart w:id="11" w:name="_Ref510798172"/>
      <w:r w:rsidRPr="004D35C8">
        <w:t>Confirm the maximum number of RLM-RS resources as currently captured in Table 8.1.1-2.</w:t>
      </w:r>
      <w:bookmarkEnd w:id="11"/>
    </w:p>
    <w:p w:rsidR="004D35C8" w:rsidRPr="004D35C8" w:rsidRDefault="004D35C8" w:rsidP="004D35C8">
      <w:pPr>
        <w:pStyle w:val="RAN4H2"/>
        <w:rPr>
          <w:lang w:val="en-GB"/>
        </w:rPr>
      </w:pPr>
      <w:r w:rsidRPr="004D35C8">
        <w:rPr>
          <w:lang w:val="en-GB"/>
        </w:rPr>
        <w:t>PDCCH parameter and SCS of RLM-RS</w:t>
      </w:r>
    </w:p>
    <w:p w:rsidR="004D35C8" w:rsidRPr="004D35C8" w:rsidRDefault="004D35C8" w:rsidP="004D35C8">
      <w:pPr>
        <w:spacing w:before="0" w:after="160"/>
      </w:pPr>
      <w:r w:rsidRPr="004D35C8">
        <w:t>In RAN4#85, it is agreed that the SCS of the hypothetical PDCCH will follow the network configuration for the RMSI CORESET. On the other hand, the SCS of the monitored SSB can be configured separately, so it may happen that the SSB for RLM is of 240kHz SCS while the PDCCH is of 60kHz SCS. Some companies thought this may impact the applicability of some PDCCH parameters for some SSB SCS.</w:t>
      </w:r>
    </w:p>
    <w:p w:rsidR="004D35C8" w:rsidRPr="004D35C8" w:rsidRDefault="004D35C8" w:rsidP="004D35C8">
      <w:pPr>
        <w:spacing w:before="0" w:after="160"/>
      </w:pPr>
      <w:r w:rsidRPr="004D35C8">
        <w:t>In our view, this may not be a problem. In RLM, UE measures the SINR from the RLM-RS, which is SSB in the context of the discussion, and SINR is independent from the SCS, i.e. the same SINR would be obtained no matter what SCS is used for the reference signal, and also the PDCCH performance would be rather similar at the same SINR condition no matter what SCS is used for the PDCCH. In this sense, there is no need to define multiple tables of PDCCH parameters for different SSB SCS.</w:t>
      </w:r>
    </w:p>
    <w:p w:rsidR="00EC1B37" w:rsidRDefault="004D35C8" w:rsidP="004D35C8">
      <w:pPr>
        <w:pStyle w:val="RAN4proposal"/>
      </w:pPr>
      <w:bookmarkStart w:id="12" w:name="_Ref510798173"/>
      <w:r w:rsidRPr="004D35C8">
        <w:t>The same table for PDCCH parameters applies regardless of the RLM-RS SCS.</w:t>
      </w:r>
      <w:bookmarkEnd w:id="12"/>
      <w:r w:rsidR="00C1670A">
        <w:t xml:space="preserve"> </w:t>
      </w:r>
    </w:p>
    <w:bookmarkEnd w:id="5"/>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1B7100" w:rsidRPr="001B7100">
        <w:rPr>
          <w:lang w:val="en-GB"/>
        </w:rPr>
        <w:t xml:space="preserve">the remaining open issues for SSB based RLM. It should be noted that all these issues are common for SSB based and CSI-RS based RLM, so the conclusions in this paper </w:t>
      </w:r>
      <w:r w:rsidR="001B7100">
        <w:rPr>
          <w:lang w:val="en-GB"/>
        </w:rPr>
        <w:t>also apply for CSI-RS based RLM</w:t>
      </w:r>
      <w:r w:rsidRPr="00B8606D">
        <w:rPr>
          <w:lang w:val="en-GB"/>
        </w:rPr>
        <w:t>.</w:t>
      </w:r>
    </w:p>
    <w:p w:rsidR="001B7100" w:rsidRPr="001B7100" w:rsidRDefault="001B7100" w:rsidP="004F3D3B">
      <w:pPr>
        <w:rPr>
          <w:b/>
          <w:lang w:val="en-GB"/>
        </w:rPr>
      </w:pPr>
      <w:r w:rsidRPr="001B7100">
        <w:rPr>
          <w:b/>
          <w:lang w:val="en-GB"/>
        </w:rPr>
        <w:fldChar w:fldCharType="begin"/>
      </w:r>
      <w:r w:rsidRPr="001B7100">
        <w:rPr>
          <w:b/>
          <w:lang w:val="en-GB"/>
        </w:rPr>
        <w:instrText xml:space="preserve"> REF _Ref513824117 \r \h </w:instrText>
      </w:r>
      <w:r>
        <w:rPr>
          <w:b/>
          <w:lang w:val="en-GB"/>
        </w:rPr>
        <w:instrText xml:space="preserve"> \* MERGEFORMAT </w:instrText>
      </w:r>
      <w:r w:rsidRPr="001B7100">
        <w:rPr>
          <w:b/>
          <w:lang w:val="en-GB"/>
        </w:rPr>
      </w:r>
      <w:r w:rsidRPr="001B7100">
        <w:rPr>
          <w:b/>
          <w:lang w:val="en-GB"/>
        </w:rPr>
        <w:fldChar w:fldCharType="separate"/>
      </w:r>
      <w:r w:rsidRPr="001B7100">
        <w:rPr>
          <w:b/>
          <w:lang w:val="en-GB"/>
        </w:rPr>
        <w:t>Proposal 1:</w:t>
      </w:r>
      <w:r w:rsidRPr="001B7100">
        <w:rPr>
          <w:b/>
          <w:lang w:val="en-GB"/>
        </w:rPr>
        <w:fldChar w:fldCharType="end"/>
      </w:r>
      <w:r w:rsidRPr="001B7100">
        <w:rPr>
          <w:b/>
          <w:lang w:val="en-GB"/>
        </w:rPr>
        <w:t xml:space="preserve"> </w:t>
      </w:r>
      <w:r w:rsidRPr="001B7100">
        <w:rPr>
          <w:b/>
          <w:lang w:val="en-GB"/>
        </w:rPr>
        <w:fldChar w:fldCharType="begin"/>
      </w:r>
      <w:r w:rsidRPr="001B7100">
        <w:rPr>
          <w:b/>
          <w:lang w:val="en-GB"/>
        </w:rPr>
        <w:instrText xml:space="preserve"> REF _Ref513824117 \h </w:instrText>
      </w:r>
      <w:r>
        <w:rPr>
          <w:b/>
          <w:lang w:val="en-GB"/>
        </w:rPr>
        <w:instrText xml:space="preserve"> \* MERGEFORMAT </w:instrText>
      </w:r>
      <w:r w:rsidRPr="001B7100">
        <w:rPr>
          <w:b/>
          <w:lang w:val="en-GB"/>
        </w:rPr>
      </w:r>
      <w:r w:rsidRPr="001B7100">
        <w:rPr>
          <w:b/>
          <w:lang w:val="en-GB"/>
        </w:rPr>
        <w:fldChar w:fldCharType="separate"/>
      </w:r>
      <w:r w:rsidRPr="001B7100">
        <w:rPr>
          <w:b/>
        </w:rPr>
        <w:t>Confirm the PDCCH parameters in latest 38.133 with power boosting for OOS set at 3dB.</w:t>
      </w:r>
      <w:r w:rsidRPr="001B7100">
        <w:rPr>
          <w:b/>
          <w:lang w:val="en-GB"/>
        </w:rPr>
        <w:fldChar w:fldCharType="end"/>
      </w:r>
    </w:p>
    <w:p w:rsidR="001B7100" w:rsidRPr="001B7100" w:rsidRDefault="001B7100" w:rsidP="004F3D3B">
      <w:pPr>
        <w:rPr>
          <w:b/>
          <w:lang w:val="en-GB"/>
        </w:rPr>
      </w:pPr>
      <w:r w:rsidRPr="001B7100">
        <w:rPr>
          <w:b/>
          <w:lang w:val="en-GB"/>
        </w:rPr>
        <w:fldChar w:fldCharType="begin"/>
      </w:r>
      <w:r w:rsidRPr="001B7100">
        <w:rPr>
          <w:b/>
          <w:lang w:val="en-GB"/>
        </w:rPr>
        <w:instrText xml:space="preserve"> REF _Ref513824119 \r \h </w:instrText>
      </w:r>
      <w:r>
        <w:rPr>
          <w:b/>
          <w:lang w:val="en-GB"/>
        </w:rPr>
        <w:instrText xml:space="preserve"> \* MERGEFORMAT </w:instrText>
      </w:r>
      <w:r w:rsidRPr="001B7100">
        <w:rPr>
          <w:b/>
          <w:lang w:val="en-GB"/>
        </w:rPr>
      </w:r>
      <w:r w:rsidRPr="001B7100">
        <w:rPr>
          <w:b/>
          <w:lang w:val="en-GB"/>
        </w:rPr>
        <w:fldChar w:fldCharType="separate"/>
      </w:r>
      <w:r w:rsidRPr="001B7100">
        <w:rPr>
          <w:b/>
          <w:lang w:val="en-GB"/>
        </w:rPr>
        <w:t>Proposal 2:</w:t>
      </w:r>
      <w:r w:rsidRPr="001B7100">
        <w:rPr>
          <w:b/>
          <w:lang w:val="en-GB"/>
        </w:rPr>
        <w:fldChar w:fldCharType="end"/>
      </w:r>
      <w:r w:rsidRPr="001B7100">
        <w:rPr>
          <w:b/>
          <w:lang w:val="en-GB"/>
        </w:rPr>
        <w:t xml:space="preserve"> </w:t>
      </w:r>
      <w:r w:rsidRPr="001B7100">
        <w:rPr>
          <w:b/>
          <w:lang w:val="en-GB"/>
        </w:rPr>
        <w:fldChar w:fldCharType="begin"/>
      </w:r>
      <w:r w:rsidRPr="001B7100">
        <w:rPr>
          <w:b/>
          <w:lang w:val="en-GB"/>
        </w:rPr>
        <w:instrText xml:space="preserve"> REF _Ref513824119 \h </w:instrText>
      </w:r>
      <w:r>
        <w:rPr>
          <w:b/>
          <w:lang w:val="en-GB"/>
        </w:rPr>
        <w:instrText xml:space="preserve"> \* MERGEFORMAT </w:instrText>
      </w:r>
      <w:r w:rsidRPr="001B7100">
        <w:rPr>
          <w:b/>
          <w:lang w:val="en-GB"/>
        </w:rPr>
      </w:r>
      <w:r w:rsidRPr="001B7100">
        <w:rPr>
          <w:b/>
          <w:lang w:val="en-GB"/>
        </w:rPr>
        <w:fldChar w:fldCharType="separate"/>
      </w:r>
      <w:r w:rsidRPr="001B7100">
        <w:rPr>
          <w:b/>
        </w:rPr>
        <w:t>RLM requirements in FR2 are based on non-sweeping if the RLM-RS has been measured for other purposes or is QCL-ed with some other RS that has been measured by UE for other purposes.</w:t>
      </w:r>
      <w:r w:rsidRPr="001B7100">
        <w:rPr>
          <w:b/>
          <w:lang w:val="en-GB"/>
        </w:rPr>
        <w:fldChar w:fldCharType="end"/>
      </w:r>
    </w:p>
    <w:p w:rsidR="001B7100" w:rsidRPr="00B0117E" w:rsidRDefault="001B7100" w:rsidP="004F3D3B">
      <w:pPr>
        <w:rPr>
          <w:b/>
          <w:lang w:val="en-GB"/>
        </w:rPr>
      </w:pPr>
      <w:r w:rsidRPr="001B7100">
        <w:rPr>
          <w:b/>
          <w:lang w:val="en-GB"/>
        </w:rPr>
        <w:fldChar w:fldCharType="begin"/>
      </w:r>
      <w:r w:rsidRPr="001B7100">
        <w:rPr>
          <w:b/>
          <w:lang w:val="en-GB"/>
        </w:rPr>
        <w:instrText xml:space="preserve"> REF _Ref513824120 \r \h </w:instrText>
      </w:r>
      <w:r>
        <w:rPr>
          <w:b/>
          <w:lang w:val="en-GB"/>
        </w:rPr>
        <w:instrText xml:space="preserve"> \* MERGEFORMAT </w:instrText>
      </w:r>
      <w:r w:rsidRPr="001B7100">
        <w:rPr>
          <w:b/>
          <w:lang w:val="en-GB"/>
        </w:rPr>
      </w:r>
      <w:r w:rsidRPr="001B7100">
        <w:rPr>
          <w:b/>
          <w:lang w:val="en-GB"/>
        </w:rPr>
        <w:fldChar w:fldCharType="separate"/>
      </w:r>
      <w:r w:rsidRPr="001B7100">
        <w:rPr>
          <w:b/>
          <w:lang w:val="en-GB"/>
        </w:rPr>
        <w:t>Proposal 3:</w:t>
      </w:r>
      <w:r w:rsidRPr="001B7100">
        <w:rPr>
          <w:b/>
          <w:lang w:val="en-GB"/>
        </w:rPr>
        <w:fldChar w:fldCharType="end"/>
      </w:r>
      <w:r w:rsidRPr="001B7100">
        <w:rPr>
          <w:b/>
          <w:lang w:val="en-GB"/>
        </w:rPr>
        <w:t xml:space="preserve"> </w:t>
      </w:r>
      <w:r w:rsidRPr="00B0117E">
        <w:rPr>
          <w:b/>
          <w:lang w:val="en-GB"/>
        </w:rPr>
        <w:fldChar w:fldCharType="begin"/>
      </w:r>
      <w:r w:rsidRPr="00B0117E">
        <w:rPr>
          <w:b/>
          <w:lang w:val="en-GB"/>
        </w:rPr>
        <w:instrText xml:space="preserve"> REF _Ref513824120 \h  \* MERGEFORMAT </w:instrText>
      </w:r>
      <w:r w:rsidRPr="00B0117E">
        <w:rPr>
          <w:b/>
          <w:lang w:val="en-GB"/>
        </w:rPr>
      </w:r>
      <w:r w:rsidRPr="00B0117E">
        <w:rPr>
          <w:b/>
          <w:lang w:val="en-GB"/>
        </w:rPr>
        <w:fldChar w:fldCharType="separate"/>
      </w:r>
      <w:r w:rsidR="00B0117E" w:rsidRPr="00B0117E">
        <w:rPr>
          <w:b/>
        </w:rPr>
        <w:t>RAN4 should wait for RAN1 conclusion on whether RLM in FR2 would cause data interruption.</w:t>
      </w:r>
      <w:r w:rsidRPr="00B0117E">
        <w:rPr>
          <w:b/>
          <w:lang w:val="en-GB"/>
        </w:rPr>
        <w:fldChar w:fldCharType="end"/>
      </w:r>
    </w:p>
    <w:p w:rsidR="001B7100" w:rsidRPr="001B7100" w:rsidRDefault="001B7100" w:rsidP="004F3D3B">
      <w:pPr>
        <w:rPr>
          <w:b/>
          <w:lang w:val="en-GB"/>
        </w:rPr>
      </w:pPr>
      <w:r w:rsidRPr="001B7100">
        <w:rPr>
          <w:b/>
          <w:lang w:val="en-GB"/>
        </w:rPr>
        <w:fldChar w:fldCharType="begin"/>
      </w:r>
      <w:r w:rsidRPr="001B7100">
        <w:rPr>
          <w:b/>
          <w:lang w:val="en-GB"/>
        </w:rPr>
        <w:instrText xml:space="preserve"> REF _Ref513824121 \r \h </w:instrText>
      </w:r>
      <w:r>
        <w:rPr>
          <w:b/>
          <w:lang w:val="en-GB"/>
        </w:rPr>
        <w:instrText xml:space="preserve"> \* MERGEFORMAT </w:instrText>
      </w:r>
      <w:r w:rsidRPr="001B7100">
        <w:rPr>
          <w:b/>
          <w:lang w:val="en-GB"/>
        </w:rPr>
      </w:r>
      <w:r w:rsidRPr="001B7100">
        <w:rPr>
          <w:b/>
          <w:lang w:val="en-GB"/>
        </w:rPr>
        <w:fldChar w:fldCharType="separate"/>
      </w:r>
      <w:r w:rsidRPr="001B7100">
        <w:rPr>
          <w:b/>
          <w:lang w:val="en-GB"/>
        </w:rPr>
        <w:t>Proposal 4:</w:t>
      </w:r>
      <w:r w:rsidRPr="001B7100">
        <w:rPr>
          <w:b/>
          <w:lang w:val="en-GB"/>
        </w:rPr>
        <w:fldChar w:fldCharType="end"/>
      </w:r>
      <w:r w:rsidRPr="001B7100">
        <w:rPr>
          <w:b/>
          <w:lang w:val="en-GB"/>
        </w:rPr>
        <w:t xml:space="preserve"> </w:t>
      </w:r>
      <w:r w:rsidRPr="001B7100">
        <w:rPr>
          <w:b/>
          <w:lang w:val="en-GB"/>
        </w:rPr>
        <w:fldChar w:fldCharType="begin"/>
      </w:r>
      <w:r w:rsidRPr="001B7100">
        <w:rPr>
          <w:b/>
          <w:lang w:val="en-GB"/>
        </w:rPr>
        <w:instrText xml:space="preserve"> REF _Ref513824121 \h </w:instrText>
      </w:r>
      <w:r>
        <w:rPr>
          <w:b/>
          <w:lang w:val="en-GB"/>
        </w:rPr>
        <w:instrText xml:space="preserve"> \* MERGEFORMAT </w:instrText>
      </w:r>
      <w:r w:rsidRPr="001B7100">
        <w:rPr>
          <w:b/>
          <w:lang w:val="en-GB"/>
        </w:rPr>
      </w:r>
      <w:r w:rsidRPr="001B7100">
        <w:rPr>
          <w:b/>
          <w:lang w:val="en-GB"/>
        </w:rPr>
        <w:fldChar w:fldCharType="separate"/>
      </w:r>
      <w:r w:rsidRPr="001B7100">
        <w:rPr>
          <w:b/>
        </w:rPr>
        <w:t>For FR2, the time sharing factor between RLM and intra-frequency measurement for the case of full overlapped RLM-RS and SMTC is fixed as 50%.</w:t>
      </w:r>
      <w:r w:rsidRPr="001B7100">
        <w:rPr>
          <w:b/>
          <w:lang w:val="en-GB"/>
        </w:rPr>
        <w:fldChar w:fldCharType="end"/>
      </w:r>
    </w:p>
    <w:p w:rsidR="001B7100" w:rsidRPr="001B7100" w:rsidRDefault="001B7100" w:rsidP="004F3D3B">
      <w:pPr>
        <w:rPr>
          <w:b/>
          <w:lang w:val="en-GB"/>
        </w:rPr>
      </w:pPr>
      <w:r w:rsidRPr="001B7100">
        <w:rPr>
          <w:b/>
          <w:lang w:val="en-GB"/>
        </w:rPr>
        <w:fldChar w:fldCharType="begin"/>
      </w:r>
      <w:r w:rsidRPr="001B7100">
        <w:rPr>
          <w:b/>
          <w:lang w:val="en-GB"/>
        </w:rPr>
        <w:instrText xml:space="preserve"> REF _Ref510798171 \r \h </w:instrText>
      </w:r>
      <w:r>
        <w:rPr>
          <w:b/>
          <w:lang w:val="en-GB"/>
        </w:rPr>
        <w:instrText xml:space="preserve"> \* MERGEFORMAT </w:instrText>
      </w:r>
      <w:r w:rsidRPr="001B7100">
        <w:rPr>
          <w:b/>
          <w:lang w:val="en-GB"/>
        </w:rPr>
      </w:r>
      <w:r w:rsidRPr="001B7100">
        <w:rPr>
          <w:b/>
          <w:lang w:val="en-GB"/>
        </w:rPr>
        <w:fldChar w:fldCharType="separate"/>
      </w:r>
      <w:r w:rsidRPr="001B7100">
        <w:rPr>
          <w:b/>
          <w:lang w:val="en-GB"/>
        </w:rPr>
        <w:t>Proposal 5:</w:t>
      </w:r>
      <w:r w:rsidRPr="001B7100">
        <w:rPr>
          <w:b/>
          <w:lang w:val="en-GB"/>
        </w:rPr>
        <w:fldChar w:fldCharType="end"/>
      </w:r>
      <w:r w:rsidRPr="001B7100">
        <w:rPr>
          <w:b/>
          <w:lang w:val="en-GB"/>
        </w:rPr>
        <w:t xml:space="preserve"> </w:t>
      </w:r>
      <w:r w:rsidRPr="001B7100">
        <w:rPr>
          <w:b/>
          <w:lang w:val="en-GB"/>
        </w:rPr>
        <w:fldChar w:fldCharType="begin"/>
      </w:r>
      <w:r w:rsidRPr="001B7100">
        <w:rPr>
          <w:b/>
          <w:lang w:val="en-GB"/>
        </w:rPr>
        <w:instrText xml:space="preserve"> REF _Ref510798171 \h </w:instrText>
      </w:r>
      <w:r>
        <w:rPr>
          <w:b/>
          <w:lang w:val="en-GB"/>
        </w:rPr>
        <w:instrText xml:space="preserve"> \* MERGEFORMAT </w:instrText>
      </w:r>
      <w:r w:rsidRPr="001B7100">
        <w:rPr>
          <w:b/>
          <w:lang w:val="en-GB"/>
        </w:rPr>
      </w:r>
      <w:r w:rsidRPr="001B7100">
        <w:rPr>
          <w:b/>
          <w:lang w:val="en-GB"/>
        </w:rPr>
        <w:fldChar w:fldCharType="separate"/>
      </w:r>
      <w:r w:rsidRPr="001B7100">
        <w:rPr>
          <w:b/>
        </w:rPr>
        <w:t>Same scaling factors introduced for evaluation period should apply to L1 indication interval.</w:t>
      </w:r>
      <w:r w:rsidRPr="001B7100">
        <w:rPr>
          <w:b/>
          <w:lang w:val="en-GB"/>
        </w:rPr>
        <w:fldChar w:fldCharType="end"/>
      </w:r>
    </w:p>
    <w:p w:rsidR="001B7100" w:rsidRPr="001B7100" w:rsidRDefault="001B7100" w:rsidP="004F3D3B">
      <w:pPr>
        <w:rPr>
          <w:b/>
          <w:lang w:val="en-GB"/>
        </w:rPr>
      </w:pPr>
      <w:r w:rsidRPr="001B7100">
        <w:rPr>
          <w:b/>
          <w:lang w:val="en-GB"/>
        </w:rPr>
        <w:fldChar w:fldCharType="begin"/>
      </w:r>
      <w:r w:rsidRPr="001B7100">
        <w:rPr>
          <w:b/>
          <w:lang w:val="en-GB"/>
        </w:rPr>
        <w:instrText xml:space="preserve"> REF _Ref510798172 \r \h </w:instrText>
      </w:r>
      <w:r>
        <w:rPr>
          <w:b/>
          <w:lang w:val="en-GB"/>
        </w:rPr>
        <w:instrText xml:space="preserve"> \* MERGEFORMAT </w:instrText>
      </w:r>
      <w:r w:rsidRPr="001B7100">
        <w:rPr>
          <w:b/>
          <w:lang w:val="en-GB"/>
        </w:rPr>
      </w:r>
      <w:r w:rsidRPr="001B7100">
        <w:rPr>
          <w:b/>
          <w:lang w:val="en-GB"/>
        </w:rPr>
        <w:fldChar w:fldCharType="separate"/>
      </w:r>
      <w:r w:rsidRPr="001B7100">
        <w:rPr>
          <w:b/>
          <w:lang w:val="en-GB"/>
        </w:rPr>
        <w:t>Proposal 6:</w:t>
      </w:r>
      <w:r w:rsidRPr="001B7100">
        <w:rPr>
          <w:b/>
          <w:lang w:val="en-GB"/>
        </w:rPr>
        <w:fldChar w:fldCharType="end"/>
      </w:r>
      <w:r w:rsidRPr="001B7100">
        <w:rPr>
          <w:b/>
          <w:lang w:val="en-GB"/>
        </w:rPr>
        <w:t xml:space="preserve"> </w:t>
      </w:r>
      <w:r w:rsidRPr="001B7100">
        <w:rPr>
          <w:b/>
          <w:lang w:val="en-GB"/>
        </w:rPr>
        <w:fldChar w:fldCharType="begin"/>
      </w:r>
      <w:r w:rsidRPr="001B7100">
        <w:rPr>
          <w:b/>
          <w:lang w:val="en-GB"/>
        </w:rPr>
        <w:instrText xml:space="preserve"> REF _Ref510798172 \h </w:instrText>
      </w:r>
      <w:r>
        <w:rPr>
          <w:b/>
          <w:lang w:val="en-GB"/>
        </w:rPr>
        <w:instrText xml:space="preserve"> \* MERGEFORMAT </w:instrText>
      </w:r>
      <w:r w:rsidRPr="001B7100">
        <w:rPr>
          <w:b/>
          <w:lang w:val="en-GB"/>
        </w:rPr>
      </w:r>
      <w:r w:rsidRPr="001B7100">
        <w:rPr>
          <w:b/>
          <w:lang w:val="en-GB"/>
        </w:rPr>
        <w:fldChar w:fldCharType="separate"/>
      </w:r>
      <w:r w:rsidRPr="001B7100">
        <w:rPr>
          <w:b/>
          <w:iCs/>
        </w:rPr>
        <w:t>Confirm the maximum number of RLM-RS resources as currently captured in Table 8.1.1-2.</w:t>
      </w:r>
      <w:r w:rsidRPr="001B7100">
        <w:rPr>
          <w:b/>
          <w:lang w:val="en-GB"/>
        </w:rPr>
        <w:fldChar w:fldCharType="end"/>
      </w:r>
    </w:p>
    <w:p w:rsidR="001B7100" w:rsidRPr="001B7100" w:rsidRDefault="001B7100" w:rsidP="004F3D3B">
      <w:pPr>
        <w:rPr>
          <w:b/>
          <w:lang w:val="en-GB"/>
        </w:rPr>
      </w:pPr>
      <w:r w:rsidRPr="001B7100">
        <w:rPr>
          <w:b/>
          <w:lang w:val="en-GB"/>
        </w:rPr>
        <w:fldChar w:fldCharType="begin"/>
      </w:r>
      <w:r w:rsidRPr="001B7100">
        <w:rPr>
          <w:b/>
          <w:lang w:val="en-GB"/>
        </w:rPr>
        <w:instrText xml:space="preserve"> REF _Ref510798173 \r \h </w:instrText>
      </w:r>
      <w:r>
        <w:rPr>
          <w:b/>
          <w:lang w:val="en-GB"/>
        </w:rPr>
        <w:instrText xml:space="preserve"> \* MERGEFORMAT </w:instrText>
      </w:r>
      <w:r w:rsidRPr="001B7100">
        <w:rPr>
          <w:b/>
          <w:lang w:val="en-GB"/>
        </w:rPr>
      </w:r>
      <w:r w:rsidRPr="001B7100">
        <w:rPr>
          <w:b/>
          <w:lang w:val="en-GB"/>
        </w:rPr>
        <w:fldChar w:fldCharType="separate"/>
      </w:r>
      <w:r w:rsidRPr="001B7100">
        <w:rPr>
          <w:b/>
          <w:lang w:val="en-GB"/>
        </w:rPr>
        <w:t>Proposal 7:</w:t>
      </w:r>
      <w:r w:rsidRPr="001B7100">
        <w:rPr>
          <w:b/>
          <w:lang w:val="en-GB"/>
        </w:rPr>
        <w:fldChar w:fldCharType="end"/>
      </w:r>
      <w:r w:rsidRPr="001B7100">
        <w:rPr>
          <w:b/>
          <w:lang w:val="en-GB"/>
        </w:rPr>
        <w:t xml:space="preserve"> </w:t>
      </w:r>
      <w:r w:rsidRPr="001B7100">
        <w:rPr>
          <w:b/>
          <w:lang w:val="en-GB"/>
        </w:rPr>
        <w:fldChar w:fldCharType="begin"/>
      </w:r>
      <w:r w:rsidRPr="001B7100">
        <w:rPr>
          <w:b/>
          <w:lang w:val="en-GB"/>
        </w:rPr>
        <w:instrText xml:space="preserve"> REF _Ref510798173 \h </w:instrText>
      </w:r>
      <w:r>
        <w:rPr>
          <w:b/>
          <w:lang w:val="en-GB"/>
        </w:rPr>
        <w:instrText xml:space="preserve"> \* MERGEFORMAT </w:instrText>
      </w:r>
      <w:r w:rsidRPr="001B7100">
        <w:rPr>
          <w:b/>
          <w:lang w:val="en-GB"/>
        </w:rPr>
      </w:r>
      <w:r w:rsidRPr="001B7100">
        <w:rPr>
          <w:b/>
          <w:lang w:val="en-GB"/>
        </w:rPr>
        <w:fldChar w:fldCharType="separate"/>
      </w:r>
      <w:r w:rsidRPr="001B7100">
        <w:rPr>
          <w:b/>
        </w:rPr>
        <w:t>The same table for PDCCH parameters applies regardless of the RLM-RS SCS.</w:t>
      </w:r>
      <w:r w:rsidRPr="001B7100">
        <w:rPr>
          <w:b/>
          <w:lang w:val="en-GB"/>
        </w:rPr>
        <w:fldChar w:fldCharType="end"/>
      </w:r>
      <w:bookmarkStart w:id="13" w:name="_GoBack"/>
      <w:bookmarkEnd w:id="13"/>
    </w:p>
    <w:p w:rsidR="003B659E" w:rsidRPr="0095295C" w:rsidRDefault="003B659E" w:rsidP="0008612A">
      <w:pPr>
        <w:pStyle w:val="RAN4H1"/>
      </w:pPr>
      <w:r w:rsidRPr="0095295C">
        <w:lastRenderedPageBreak/>
        <w:t>References</w:t>
      </w:r>
    </w:p>
    <w:p w:rsidR="00CF7FE6" w:rsidRDefault="00FC7B92" w:rsidP="00162C40">
      <w:pPr>
        <w:numPr>
          <w:ilvl w:val="0"/>
          <w:numId w:val="1"/>
        </w:numPr>
        <w:overflowPunct w:val="0"/>
        <w:autoSpaceDE w:val="0"/>
        <w:autoSpaceDN w:val="0"/>
        <w:adjustRightInd w:val="0"/>
        <w:spacing w:before="0"/>
        <w:jc w:val="both"/>
        <w:rPr>
          <w:rFonts w:eastAsia="Times New Roman" w:cs="Times New Roman"/>
          <w:szCs w:val="20"/>
          <w:lang w:val="en-GB"/>
        </w:rPr>
      </w:pPr>
      <w:bookmarkStart w:id="14" w:name="_Ref431017336"/>
      <w:bookmarkStart w:id="15" w:name="_Ref513196612"/>
      <w:bookmarkStart w:id="16" w:name="_Ref513710934"/>
      <w:bookmarkStart w:id="17" w:name="_Ref513723949"/>
      <w:bookmarkStart w:id="18" w:name="_Ref513728762"/>
      <w:bookmarkStart w:id="19" w:name="_Ref513815421"/>
      <w:r w:rsidRPr="00866276">
        <w:rPr>
          <w:rFonts w:eastAsia="Times New Roman" w:cs="Times New Roman"/>
          <w:szCs w:val="20"/>
          <w:lang w:val="en-GB"/>
        </w:rPr>
        <w:t>R4-180</w:t>
      </w:r>
      <w:r w:rsidR="00CF7FE6">
        <w:rPr>
          <w:rFonts w:eastAsia="Times New Roman" w:cs="Times New Roman"/>
          <w:szCs w:val="20"/>
          <w:lang w:val="en-GB"/>
        </w:rPr>
        <w:t>55</w:t>
      </w:r>
      <w:r w:rsidR="00162C40">
        <w:rPr>
          <w:rFonts w:eastAsia="Times New Roman" w:cs="Times New Roman"/>
          <w:szCs w:val="20"/>
          <w:lang w:val="en-GB"/>
        </w:rPr>
        <w:t>13</w:t>
      </w:r>
      <w:r w:rsidRPr="00866276">
        <w:rPr>
          <w:rFonts w:eastAsia="Times New Roman" w:cs="Times New Roman"/>
          <w:szCs w:val="20"/>
          <w:lang w:val="en-GB"/>
        </w:rPr>
        <w:t xml:space="preserve">, </w:t>
      </w:r>
      <w:r w:rsidR="00162C40" w:rsidRPr="00162C40">
        <w:rPr>
          <w:rFonts w:eastAsia="Times New Roman" w:cs="Times New Roman"/>
          <w:szCs w:val="20"/>
        </w:rPr>
        <w:t>Ad hoc minutes on NR RLM</w:t>
      </w:r>
      <w:r w:rsidRPr="00866276">
        <w:rPr>
          <w:rFonts w:eastAsia="Times New Roman" w:cs="Times New Roman"/>
          <w:szCs w:val="20"/>
          <w:lang w:val="en-GB"/>
        </w:rPr>
        <w:t xml:space="preserve">, </w:t>
      </w:r>
      <w:bookmarkEnd w:id="14"/>
      <w:bookmarkEnd w:id="15"/>
      <w:bookmarkEnd w:id="16"/>
      <w:bookmarkEnd w:id="17"/>
      <w:bookmarkEnd w:id="18"/>
      <w:bookmarkEnd w:id="19"/>
      <w:r w:rsidR="00162C40" w:rsidRPr="00162C40">
        <w:rPr>
          <w:rFonts w:eastAsia="Times New Roman" w:cs="Times New Roman"/>
          <w:szCs w:val="20"/>
          <w:lang w:val="en-GB"/>
        </w:rPr>
        <w:t>Huawei, HiSilicon</w:t>
      </w:r>
    </w:p>
    <w:p w:rsidR="00162C40" w:rsidRDefault="00162C40" w:rsidP="00162C40">
      <w:pPr>
        <w:numPr>
          <w:ilvl w:val="0"/>
          <w:numId w:val="1"/>
        </w:numPr>
        <w:overflowPunct w:val="0"/>
        <w:autoSpaceDE w:val="0"/>
        <w:autoSpaceDN w:val="0"/>
        <w:adjustRightInd w:val="0"/>
        <w:spacing w:before="0"/>
        <w:jc w:val="both"/>
        <w:rPr>
          <w:rFonts w:eastAsia="Times New Roman" w:cs="Times New Roman"/>
          <w:szCs w:val="20"/>
          <w:lang w:val="en-GB"/>
        </w:rPr>
      </w:pPr>
      <w:bookmarkStart w:id="20" w:name="_Ref513816287"/>
      <w:r w:rsidRPr="00162C40">
        <w:rPr>
          <w:rFonts w:eastAsia="Times New Roman" w:cs="Times New Roman"/>
          <w:szCs w:val="20"/>
          <w:lang w:val="en-GB"/>
        </w:rPr>
        <w:t>R4-1805524</w:t>
      </w:r>
      <w:r>
        <w:rPr>
          <w:rFonts w:eastAsia="Times New Roman" w:cs="Times New Roman"/>
          <w:szCs w:val="20"/>
          <w:lang w:val="en-GB"/>
        </w:rPr>
        <w:t>,</w:t>
      </w:r>
      <w:r w:rsidRPr="00162C40">
        <w:rPr>
          <w:rFonts w:eastAsia="Times New Roman" w:cs="Times New Roman"/>
          <w:szCs w:val="20"/>
          <w:lang w:val="en-GB"/>
        </w:rPr>
        <w:tab/>
        <w:t>CR to section 8.1 for remaining open issues in RLM</w:t>
      </w:r>
      <w:r>
        <w:rPr>
          <w:rFonts w:eastAsia="Times New Roman" w:cs="Times New Roman"/>
          <w:szCs w:val="20"/>
          <w:lang w:val="en-GB"/>
        </w:rPr>
        <w:t xml:space="preserve">, </w:t>
      </w:r>
      <w:r w:rsidRPr="00162C40">
        <w:rPr>
          <w:rFonts w:eastAsia="Times New Roman" w:cs="Times New Roman"/>
          <w:szCs w:val="20"/>
          <w:lang w:val="en-GB"/>
        </w:rPr>
        <w:t>Nokia, Nokia Shanghai Bell</w:t>
      </w:r>
      <w:bookmarkEnd w:id="20"/>
    </w:p>
    <w:p w:rsidR="004F796F" w:rsidRDefault="004F796F" w:rsidP="004F796F">
      <w:pPr>
        <w:numPr>
          <w:ilvl w:val="0"/>
          <w:numId w:val="1"/>
        </w:numPr>
        <w:overflowPunct w:val="0"/>
        <w:autoSpaceDE w:val="0"/>
        <w:autoSpaceDN w:val="0"/>
        <w:adjustRightInd w:val="0"/>
        <w:spacing w:before="0"/>
        <w:jc w:val="both"/>
        <w:rPr>
          <w:rFonts w:eastAsia="Times New Roman" w:cs="Times New Roman"/>
          <w:szCs w:val="20"/>
          <w:lang w:val="en-GB"/>
        </w:rPr>
      </w:pPr>
      <w:bookmarkStart w:id="21" w:name="_Ref513818426"/>
      <w:r>
        <w:rPr>
          <w:rFonts w:eastAsia="Times New Roman" w:cs="Times New Roman"/>
          <w:szCs w:val="20"/>
          <w:lang w:val="en-GB"/>
        </w:rPr>
        <w:t xml:space="preserve">R4-1805501, </w:t>
      </w:r>
      <w:r w:rsidRPr="004F796F">
        <w:rPr>
          <w:rFonts w:eastAsia="Times New Roman" w:cs="Times New Roman"/>
          <w:szCs w:val="20"/>
          <w:lang w:val="en-GB"/>
        </w:rPr>
        <w:t>Summary of simulation results for PDCCH for RLM</w:t>
      </w:r>
      <w:r>
        <w:rPr>
          <w:rFonts w:eastAsia="Times New Roman" w:cs="Times New Roman"/>
          <w:szCs w:val="20"/>
          <w:lang w:val="en-GB"/>
        </w:rPr>
        <w:t>, Ericsson</w:t>
      </w:r>
      <w:bookmarkEnd w:id="21"/>
    </w:p>
    <w:p w:rsidR="0082271A" w:rsidRDefault="0082271A" w:rsidP="0082271A">
      <w:pPr>
        <w:numPr>
          <w:ilvl w:val="0"/>
          <w:numId w:val="1"/>
        </w:numPr>
        <w:overflowPunct w:val="0"/>
        <w:autoSpaceDE w:val="0"/>
        <w:autoSpaceDN w:val="0"/>
        <w:adjustRightInd w:val="0"/>
        <w:spacing w:before="0"/>
        <w:jc w:val="both"/>
        <w:rPr>
          <w:rFonts w:eastAsia="Times New Roman" w:cs="Times New Roman"/>
          <w:szCs w:val="20"/>
          <w:lang w:val="en-GB"/>
        </w:rPr>
      </w:pPr>
      <w:bookmarkStart w:id="22" w:name="_Ref513820068"/>
      <w:r w:rsidRPr="0082271A">
        <w:rPr>
          <w:rFonts w:eastAsia="Times New Roman" w:cs="Times New Roman"/>
          <w:szCs w:val="20"/>
          <w:lang w:val="en-GB"/>
        </w:rPr>
        <w:t>R4-1803688</w:t>
      </w:r>
      <w:r>
        <w:rPr>
          <w:rFonts w:eastAsia="Times New Roman" w:cs="Times New Roman"/>
          <w:szCs w:val="20"/>
          <w:lang w:val="en-GB"/>
        </w:rPr>
        <w:t>,</w:t>
      </w:r>
      <w:r w:rsidRPr="0082271A">
        <w:rPr>
          <w:rFonts w:eastAsia="Times New Roman" w:cs="Times New Roman"/>
          <w:szCs w:val="20"/>
          <w:lang w:val="en-GB"/>
        </w:rPr>
        <w:tab/>
        <w:t>Beam Sweeping in RLM requirement in FR2</w:t>
      </w:r>
      <w:r>
        <w:rPr>
          <w:rFonts w:eastAsia="Times New Roman" w:cs="Times New Roman"/>
          <w:szCs w:val="20"/>
          <w:lang w:val="en-GB"/>
        </w:rPr>
        <w:t xml:space="preserve">, </w:t>
      </w:r>
      <w:r w:rsidRPr="0082271A">
        <w:rPr>
          <w:rFonts w:eastAsia="Times New Roman" w:cs="Times New Roman"/>
          <w:szCs w:val="20"/>
          <w:lang w:val="en-GB"/>
        </w:rPr>
        <w:t>MediaTek inc</w:t>
      </w:r>
      <w:r>
        <w:rPr>
          <w:rFonts w:eastAsia="Times New Roman" w:cs="Times New Roman"/>
          <w:szCs w:val="20"/>
          <w:lang w:val="en-GB"/>
        </w:rPr>
        <w:t>.</w:t>
      </w:r>
      <w:bookmarkEnd w:id="22"/>
    </w:p>
    <w:p w:rsidR="00005259" w:rsidRPr="00B13BFE" w:rsidRDefault="00AB45B4" w:rsidP="00005259">
      <w:pPr>
        <w:numPr>
          <w:ilvl w:val="0"/>
          <w:numId w:val="1"/>
        </w:numPr>
        <w:overflowPunct w:val="0"/>
        <w:autoSpaceDE w:val="0"/>
        <w:autoSpaceDN w:val="0"/>
        <w:adjustRightInd w:val="0"/>
        <w:spacing w:before="0"/>
        <w:jc w:val="both"/>
        <w:rPr>
          <w:rFonts w:eastAsia="Times New Roman" w:cs="Times New Roman"/>
          <w:szCs w:val="20"/>
          <w:lang w:val="en-GB"/>
        </w:rPr>
      </w:pPr>
      <w:bookmarkStart w:id="23" w:name="_Ref513823367"/>
      <w:r>
        <w:t>R4-1806646</w:t>
      </w:r>
      <w:r w:rsidR="00005259">
        <w:rPr>
          <w:rFonts w:eastAsia="Times New Roman" w:cs="Times New Roman"/>
          <w:szCs w:val="20"/>
          <w:lang w:val="en-GB"/>
        </w:rPr>
        <w:t xml:space="preserve">, </w:t>
      </w:r>
      <w:r w:rsidR="00005259" w:rsidRPr="00005259">
        <w:rPr>
          <w:rFonts w:eastAsia="Times New Roman" w:cs="Times New Roman"/>
          <w:szCs w:val="20"/>
          <w:lang w:val="en-GB"/>
        </w:rPr>
        <w:t xml:space="preserve">CR for remaining open issues in </w:t>
      </w:r>
      <w:r w:rsidR="00005259">
        <w:rPr>
          <w:rFonts w:eastAsia="Times New Roman" w:cs="Times New Roman"/>
          <w:szCs w:val="20"/>
          <w:lang w:val="en-GB"/>
        </w:rPr>
        <w:t xml:space="preserve">SSB </w:t>
      </w:r>
      <w:r w:rsidR="00005259" w:rsidRPr="00005259">
        <w:rPr>
          <w:rFonts w:eastAsia="Times New Roman" w:cs="Times New Roman"/>
          <w:szCs w:val="20"/>
          <w:lang w:val="en-GB"/>
        </w:rPr>
        <w:t>RLM, Nokia, Nokia Shanghai Bell</w:t>
      </w:r>
      <w:bookmarkEnd w:id="23"/>
    </w:p>
    <w:p w:rsidR="00866276" w:rsidRPr="00AB45B4" w:rsidRDefault="00866276" w:rsidP="00866276">
      <w:pPr>
        <w:rPr>
          <w:szCs w:val="20"/>
          <w:lang w:val="en-GB"/>
        </w:rPr>
      </w:pPr>
    </w:p>
    <w:sectPr w:rsidR="00866276" w:rsidRPr="00AB45B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777" w:rsidRDefault="00ED4777" w:rsidP="00001C9B">
      <w:pPr>
        <w:spacing w:after="0" w:line="240" w:lineRule="auto"/>
      </w:pPr>
      <w:r>
        <w:separator/>
      </w:r>
    </w:p>
  </w:endnote>
  <w:endnote w:type="continuationSeparator" w:id="0">
    <w:p w:rsidR="00ED4777" w:rsidRDefault="00ED477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777" w:rsidRDefault="00ED4777" w:rsidP="00001C9B">
      <w:pPr>
        <w:spacing w:after="0" w:line="240" w:lineRule="auto"/>
      </w:pPr>
      <w:r>
        <w:separator/>
      </w:r>
    </w:p>
  </w:footnote>
  <w:footnote w:type="continuationSeparator" w:id="0">
    <w:p w:rsidR="00ED4777" w:rsidRDefault="00ED477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9151B1"/>
    <w:multiLevelType w:val="hybridMultilevel"/>
    <w:tmpl w:val="EB1A014C"/>
    <w:lvl w:ilvl="0" w:tplc="6EE6EF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8"/>
  </w:num>
  <w:num w:numId="6">
    <w:abstractNumId w:val="1"/>
  </w:num>
  <w:num w:numId="7">
    <w:abstractNumId w:val="3"/>
  </w:num>
  <w:num w:numId="8">
    <w:abstractNumId w:val="9"/>
  </w:num>
  <w:num w:numId="9">
    <w:abstractNumId w:val="7"/>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5259"/>
    <w:rsid w:val="00006B53"/>
    <w:rsid w:val="000308D2"/>
    <w:rsid w:val="0007101A"/>
    <w:rsid w:val="0008612A"/>
    <w:rsid w:val="000A1D60"/>
    <w:rsid w:val="000B0056"/>
    <w:rsid w:val="000B021D"/>
    <w:rsid w:val="000C5B30"/>
    <w:rsid w:val="000D0EC5"/>
    <w:rsid w:val="000E02C1"/>
    <w:rsid w:val="000E0505"/>
    <w:rsid w:val="00100DF1"/>
    <w:rsid w:val="00107D6F"/>
    <w:rsid w:val="00126990"/>
    <w:rsid w:val="001625F8"/>
    <w:rsid w:val="00162C40"/>
    <w:rsid w:val="001745F8"/>
    <w:rsid w:val="001754B4"/>
    <w:rsid w:val="00176671"/>
    <w:rsid w:val="001838CF"/>
    <w:rsid w:val="001841C4"/>
    <w:rsid w:val="00191266"/>
    <w:rsid w:val="0019443D"/>
    <w:rsid w:val="001B0034"/>
    <w:rsid w:val="001B7100"/>
    <w:rsid w:val="001C5304"/>
    <w:rsid w:val="001E30F6"/>
    <w:rsid w:val="00213824"/>
    <w:rsid w:val="00220ED5"/>
    <w:rsid w:val="00230501"/>
    <w:rsid w:val="002316D0"/>
    <w:rsid w:val="00235F5C"/>
    <w:rsid w:val="00237338"/>
    <w:rsid w:val="00241561"/>
    <w:rsid w:val="002714C1"/>
    <w:rsid w:val="00293297"/>
    <w:rsid w:val="002A37E4"/>
    <w:rsid w:val="002A71D5"/>
    <w:rsid w:val="002B4922"/>
    <w:rsid w:val="002C2D19"/>
    <w:rsid w:val="002D10FA"/>
    <w:rsid w:val="002D4C55"/>
    <w:rsid w:val="002F3989"/>
    <w:rsid w:val="00300C27"/>
    <w:rsid w:val="0032623A"/>
    <w:rsid w:val="003471C5"/>
    <w:rsid w:val="00370383"/>
    <w:rsid w:val="0038214C"/>
    <w:rsid w:val="003A2443"/>
    <w:rsid w:val="003B659E"/>
    <w:rsid w:val="003E7F12"/>
    <w:rsid w:val="00417AA0"/>
    <w:rsid w:val="0043750A"/>
    <w:rsid w:val="00437C60"/>
    <w:rsid w:val="00443559"/>
    <w:rsid w:val="00450F5D"/>
    <w:rsid w:val="00463825"/>
    <w:rsid w:val="004B7B4A"/>
    <w:rsid w:val="004C1EB4"/>
    <w:rsid w:val="004D35C8"/>
    <w:rsid w:val="004D7F9F"/>
    <w:rsid w:val="004E27A4"/>
    <w:rsid w:val="004E5E66"/>
    <w:rsid w:val="004F3D3B"/>
    <w:rsid w:val="004F796F"/>
    <w:rsid w:val="00503B4D"/>
    <w:rsid w:val="00504EE9"/>
    <w:rsid w:val="00510765"/>
    <w:rsid w:val="00512F8C"/>
    <w:rsid w:val="0054442C"/>
    <w:rsid w:val="00547F5E"/>
    <w:rsid w:val="00550285"/>
    <w:rsid w:val="0058317D"/>
    <w:rsid w:val="005836F8"/>
    <w:rsid w:val="005918FA"/>
    <w:rsid w:val="005E61A8"/>
    <w:rsid w:val="005F6419"/>
    <w:rsid w:val="00617400"/>
    <w:rsid w:val="00655EA6"/>
    <w:rsid w:val="00660DC2"/>
    <w:rsid w:val="00664950"/>
    <w:rsid w:val="006764BB"/>
    <w:rsid w:val="00683220"/>
    <w:rsid w:val="00687FA0"/>
    <w:rsid w:val="006A4DAC"/>
    <w:rsid w:val="006B2AF8"/>
    <w:rsid w:val="006B7010"/>
    <w:rsid w:val="006F4187"/>
    <w:rsid w:val="00702B7D"/>
    <w:rsid w:val="007145FF"/>
    <w:rsid w:val="00751515"/>
    <w:rsid w:val="00782462"/>
    <w:rsid w:val="00785232"/>
    <w:rsid w:val="007A6422"/>
    <w:rsid w:val="007C0DA8"/>
    <w:rsid w:val="007C33D9"/>
    <w:rsid w:val="007C3ED0"/>
    <w:rsid w:val="007F6B81"/>
    <w:rsid w:val="00806A76"/>
    <w:rsid w:val="00811C9D"/>
    <w:rsid w:val="008150BC"/>
    <w:rsid w:val="00816C80"/>
    <w:rsid w:val="00820C48"/>
    <w:rsid w:val="00820C57"/>
    <w:rsid w:val="0082271A"/>
    <w:rsid w:val="00835C66"/>
    <w:rsid w:val="00841BCD"/>
    <w:rsid w:val="00866276"/>
    <w:rsid w:val="0088046B"/>
    <w:rsid w:val="008826C1"/>
    <w:rsid w:val="008A23C5"/>
    <w:rsid w:val="008C37E4"/>
    <w:rsid w:val="008C6F57"/>
    <w:rsid w:val="009042BD"/>
    <w:rsid w:val="00912E2D"/>
    <w:rsid w:val="00921C13"/>
    <w:rsid w:val="009249B4"/>
    <w:rsid w:val="00937A19"/>
    <w:rsid w:val="0095476A"/>
    <w:rsid w:val="00977E1D"/>
    <w:rsid w:val="009830D1"/>
    <w:rsid w:val="00985EAF"/>
    <w:rsid w:val="0099686D"/>
    <w:rsid w:val="009B2113"/>
    <w:rsid w:val="009C3226"/>
    <w:rsid w:val="009C4527"/>
    <w:rsid w:val="009F0439"/>
    <w:rsid w:val="00A02AF0"/>
    <w:rsid w:val="00A077CE"/>
    <w:rsid w:val="00A15A9F"/>
    <w:rsid w:val="00A22B78"/>
    <w:rsid w:val="00A25AE5"/>
    <w:rsid w:val="00A37002"/>
    <w:rsid w:val="00A506FD"/>
    <w:rsid w:val="00A85E46"/>
    <w:rsid w:val="00A95C98"/>
    <w:rsid w:val="00AA1B0E"/>
    <w:rsid w:val="00AA1C57"/>
    <w:rsid w:val="00AB45B4"/>
    <w:rsid w:val="00AC21E5"/>
    <w:rsid w:val="00AC2B38"/>
    <w:rsid w:val="00AC5CA7"/>
    <w:rsid w:val="00AD7661"/>
    <w:rsid w:val="00AE56B1"/>
    <w:rsid w:val="00AE6451"/>
    <w:rsid w:val="00B0117E"/>
    <w:rsid w:val="00B13BFE"/>
    <w:rsid w:val="00B16397"/>
    <w:rsid w:val="00B17E6E"/>
    <w:rsid w:val="00B53D00"/>
    <w:rsid w:val="00B5454D"/>
    <w:rsid w:val="00B73862"/>
    <w:rsid w:val="00B749E2"/>
    <w:rsid w:val="00B74C1F"/>
    <w:rsid w:val="00B85AFC"/>
    <w:rsid w:val="00B8606D"/>
    <w:rsid w:val="00BA6E48"/>
    <w:rsid w:val="00BF2218"/>
    <w:rsid w:val="00C04855"/>
    <w:rsid w:val="00C073BD"/>
    <w:rsid w:val="00C1670A"/>
    <w:rsid w:val="00C203DD"/>
    <w:rsid w:val="00C36634"/>
    <w:rsid w:val="00C42272"/>
    <w:rsid w:val="00C63E4C"/>
    <w:rsid w:val="00C74935"/>
    <w:rsid w:val="00C83C46"/>
    <w:rsid w:val="00CB5915"/>
    <w:rsid w:val="00CD7492"/>
    <w:rsid w:val="00CE1EBA"/>
    <w:rsid w:val="00CE2001"/>
    <w:rsid w:val="00CE3A6B"/>
    <w:rsid w:val="00CF5B5D"/>
    <w:rsid w:val="00CF7FE6"/>
    <w:rsid w:val="00D00211"/>
    <w:rsid w:val="00D03FC6"/>
    <w:rsid w:val="00D06309"/>
    <w:rsid w:val="00D24E4B"/>
    <w:rsid w:val="00D351EA"/>
    <w:rsid w:val="00D43403"/>
    <w:rsid w:val="00D62E71"/>
    <w:rsid w:val="00D740CA"/>
    <w:rsid w:val="00D762F2"/>
    <w:rsid w:val="00D85728"/>
    <w:rsid w:val="00DA2080"/>
    <w:rsid w:val="00DA7616"/>
    <w:rsid w:val="00DF2997"/>
    <w:rsid w:val="00E1417F"/>
    <w:rsid w:val="00E20ED2"/>
    <w:rsid w:val="00E529FA"/>
    <w:rsid w:val="00E6410D"/>
    <w:rsid w:val="00E80E17"/>
    <w:rsid w:val="00E8297E"/>
    <w:rsid w:val="00E93772"/>
    <w:rsid w:val="00EA2962"/>
    <w:rsid w:val="00EC1B37"/>
    <w:rsid w:val="00EC7BC3"/>
    <w:rsid w:val="00ED4777"/>
    <w:rsid w:val="00ED7600"/>
    <w:rsid w:val="00EE15DB"/>
    <w:rsid w:val="00EE7CB7"/>
    <w:rsid w:val="00EF236A"/>
    <w:rsid w:val="00EF6F57"/>
    <w:rsid w:val="00F03CC9"/>
    <w:rsid w:val="00F1362C"/>
    <w:rsid w:val="00F3291A"/>
    <w:rsid w:val="00F34499"/>
    <w:rsid w:val="00F44843"/>
    <w:rsid w:val="00F45713"/>
    <w:rsid w:val="00F824F5"/>
    <w:rsid w:val="00F92A15"/>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FB87A"/>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149A-497C-4753-8556-20FE06C4A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4</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42</cp:revision>
  <dcterms:created xsi:type="dcterms:W3CDTF">2018-05-01T11:51:00Z</dcterms:created>
  <dcterms:modified xsi:type="dcterms:W3CDTF">2018-05-14T09:45:00Z</dcterms:modified>
</cp:coreProperties>
</file>