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8C8" w:rsidRPr="00CF195E" w:rsidRDefault="00CB48C8" w:rsidP="00CB48C8">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790CE"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w:t>
      </w:r>
      <w:r>
        <w:rPr>
          <w:b/>
          <w:kern w:val="2"/>
          <w:lang w:eastAsia="zh-CN"/>
        </w:rPr>
        <w:t>4</w:t>
      </w:r>
      <w:r w:rsidRPr="00CF195E">
        <w:rPr>
          <w:b/>
          <w:kern w:val="2"/>
          <w:lang w:eastAsia="zh-CN"/>
        </w:rPr>
        <w:t xml:space="preserve"> Meeting</w:t>
      </w:r>
      <w:r>
        <w:rPr>
          <w:b/>
          <w:kern w:val="2"/>
          <w:lang w:eastAsia="zh-CN"/>
        </w:rPr>
        <w:t xml:space="preserve"> #86</w:t>
      </w:r>
      <w:r w:rsidRPr="00CF195E">
        <w:rPr>
          <w:b/>
          <w:kern w:val="2"/>
          <w:lang w:eastAsia="zh-CN"/>
        </w:rPr>
        <w:tab/>
      </w:r>
      <w:r w:rsidR="00CF34F6" w:rsidRPr="00CF34F6">
        <w:rPr>
          <w:b/>
          <w:kern w:val="2"/>
          <w:lang w:eastAsia="zh-CN"/>
        </w:rPr>
        <w:t>R4-1802956</w:t>
      </w:r>
    </w:p>
    <w:p w:rsidR="00CB48C8" w:rsidRPr="00CF195E" w:rsidRDefault="00CB48C8" w:rsidP="00CB48C8">
      <w:pPr>
        <w:jc w:val="left"/>
        <w:rPr>
          <w:b/>
          <w:kern w:val="2"/>
          <w:lang w:eastAsia="zh-CN"/>
        </w:rPr>
      </w:pPr>
      <w:r>
        <w:rPr>
          <w:b/>
          <w:kern w:val="2"/>
          <w:lang w:eastAsia="zh-CN"/>
        </w:rPr>
        <w:t>Athens, Greece</w:t>
      </w:r>
      <w:r w:rsidRPr="00CF195E">
        <w:rPr>
          <w:b/>
          <w:kern w:val="2"/>
          <w:lang w:eastAsia="zh-CN"/>
        </w:rPr>
        <w:t xml:space="preserve">, </w:t>
      </w:r>
      <w:r>
        <w:rPr>
          <w:b/>
          <w:kern w:val="2"/>
          <w:lang w:eastAsia="zh-CN"/>
        </w:rPr>
        <w:t>February 26-March</w:t>
      </w:r>
      <w:r w:rsidR="00EE28CA">
        <w:rPr>
          <w:b/>
          <w:kern w:val="2"/>
          <w:lang w:eastAsia="zh-CN"/>
        </w:rPr>
        <w:t xml:space="preserve"> </w:t>
      </w:r>
      <w:r>
        <w:rPr>
          <w:b/>
          <w:kern w:val="2"/>
          <w:lang w:eastAsia="zh-CN"/>
        </w:rPr>
        <w:t>2</w:t>
      </w:r>
      <w:r w:rsidRPr="00CF195E">
        <w:rPr>
          <w:b/>
          <w:kern w:val="2"/>
          <w:lang w:eastAsia="zh-CN"/>
        </w:rPr>
        <w:t>, 201</w:t>
      </w:r>
      <w:r>
        <w:rPr>
          <w:b/>
          <w:kern w:val="2"/>
          <w:lang w:eastAsia="zh-CN"/>
        </w:rPr>
        <w:t>8</w:t>
      </w:r>
    </w:p>
    <w:p w:rsidR="00CB48C8" w:rsidRPr="00CF195E" w:rsidRDefault="00CB48C8" w:rsidP="00CB48C8">
      <w:pPr>
        <w:pBdr>
          <w:top w:val="single" w:sz="4" w:space="1" w:color="auto"/>
        </w:pBdr>
        <w:spacing w:after="0"/>
        <w:jc w:val="left"/>
        <w:rPr>
          <w:b/>
          <w:kern w:val="2"/>
          <w:sz w:val="16"/>
          <w:szCs w:val="16"/>
          <w:lang w:eastAsia="zh-CN"/>
        </w:rPr>
      </w:pPr>
    </w:p>
    <w:p w:rsidR="00CB48C8" w:rsidRPr="00CF195E" w:rsidRDefault="00CB48C8" w:rsidP="00CB48C8">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1168D4">
        <w:rPr>
          <w:b/>
          <w:kern w:val="2"/>
          <w:lang w:eastAsia="zh-CN"/>
        </w:rPr>
        <w:t>7.3.2.3</w:t>
      </w:r>
    </w:p>
    <w:p w:rsidR="00CB48C8" w:rsidRPr="00CF195E" w:rsidRDefault="00CB48C8" w:rsidP="00CB48C8">
      <w:pPr>
        <w:spacing w:after="60"/>
        <w:ind w:left="1555" w:hanging="1555"/>
        <w:jc w:val="left"/>
        <w:rPr>
          <w:b/>
          <w:kern w:val="2"/>
          <w:lang w:eastAsia="zh-CN"/>
        </w:rPr>
      </w:pPr>
      <w:r w:rsidRPr="00CF195E">
        <w:rPr>
          <w:b/>
          <w:kern w:val="2"/>
          <w:lang w:eastAsia="zh-CN"/>
        </w:rPr>
        <w:t>Source:</w:t>
      </w:r>
      <w:r w:rsidRPr="00CF195E">
        <w:rPr>
          <w:b/>
          <w:kern w:val="2"/>
          <w:lang w:eastAsia="zh-CN"/>
        </w:rPr>
        <w:tab/>
      </w:r>
      <w:bookmarkStart w:id="0" w:name="OLE_LINK2"/>
      <w:r w:rsidRPr="00CF195E">
        <w:rPr>
          <w:b/>
          <w:kern w:val="2"/>
          <w:lang w:eastAsia="zh-CN"/>
        </w:rPr>
        <w:t>Huawei</w:t>
      </w:r>
      <w:r>
        <w:rPr>
          <w:b/>
          <w:kern w:val="2"/>
          <w:lang w:eastAsia="zh-CN"/>
        </w:rPr>
        <w:t>, HiSilicon</w:t>
      </w:r>
      <w:bookmarkEnd w:id="0"/>
    </w:p>
    <w:p w:rsidR="00CB48C8" w:rsidRPr="00CF195E" w:rsidRDefault="00CB48C8" w:rsidP="00CB48C8">
      <w:pPr>
        <w:spacing w:after="60"/>
        <w:ind w:left="1555" w:hanging="1555"/>
        <w:jc w:val="left"/>
        <w:rPr>
          <w:b/>
          <w:kern w:val="2"/>
          <w:lang w:eastAsia="zh-CN"/>
        </w:rPr>
      </w:pPr>
      <w:r w:rsidRPr="00CF195E">
        <w:rPr>
          <w:b/>
          <w:kern w:val="2"/>
          <w:lang w:eastAsia="zh-CN"/>
        </w:rPr>
        <w:t>Title:</w:t>
      </w:r>
      <w:r w:rsidRPr="00CF195E">
        <w:rPr>
          <w:b/>
          <w:kern w:val="2"/>
          <w:lang w:eastAsia="zh-CN"/>
        </w:rPr>
        <w:tab/>
      </w:r>
      <w:r w:rsidR="001168D4">
        <w:rPr>
          <w:b/>
          <w:kern w:val="2"/>
          <w:lang w:eastAsia="zh-CN"/>
        </w:rPr>
        <w:t>Di</w:t>
      </w:r>
      <w:bookmarkStart w:id="1" w:name="_GoBack"/>
      <w:bookmarkEnd w:id="1"/>
      <w:r w:rsidR="001168D4">
        <w:rPr>
          <w:b/>
          <w:kern w:val="2"/>
          <w:lang w:eastAsia="zh-CN"/>
        </w:rPr>
        <w:t xml:space="preserve">scussion on </w:t>
      </w:r>
      <w:r w:rsidR="001168D4" w:rsidRPr="00F5158E">
        <w:rPr>
          <w:b/>
          <w:kern w:val="2"/>
          <w:lang w:eastAsia="zh-CN"/>
        </w:rPr>
        <w:t xml:space="preserve">RMSI CORESET </w:t>
      </w:r>
      <w:r w:rsidR="001168D4">
        <w:rPr>
          <w:b/>
          <w:kern w:val="2"/>
          <w:lang w:eastAsia="zh-CN"/>
        </w:rPr>
        <w:t>C</w:t>
      </w:r>
      <w:r w:rsidR="001168D4" w:rsidRPr="00F5158E">
        <w:rPr>
          <w:b/>
          <w:kern w:val="2"/>
          <w:lang w:eastAsia="zh-CN"/>
        </w:rPr>
        <w:t>onfigurations</w:t>
      </w:r>
      <w:r w:rsidR="001168D4">
        <w:rPr>
          <w:b/>
          <w:kern w:val="2"/>
          <w:lang w:eastAsia="zh-CN"/>
        </w:rPr>
        <w:t xml:space="preserve"> </w:t>
      </w:r>
    </w:p>
    <w:p w:rsidR="00CB48C8" w:rsidRPr="00CF195E" w:rsidRDefault="00CB48C8" w:rsidP="00CB48C8">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Approval</w:t>
      </w:r>
    </w:p>
    <w:p w:rsidR="00CB48C8" w:rsidRPr="00CF195E" w:rsidRDefault="00CB48C8" w:rsidP="00CB48C8">
      <w:pPr>
        <w:pBdr>
          <w:bottom w:val="single" w:sz="4" w:space="1" w:color="auto"/>
        </w:pBdr>
        <w:spacing w:after="0"/>
        <w:jc w:val="left"/>
        <w:rPr>
          <w:b/>
          <w:kern w:val="2"/>
          <w:sz w:val="16"/>
          <w:szCs w:val="16"/>
          <w:lang w:eastAsia="zh-CN"/>
        </w:rPr>
      </w:pPr>
    </w:p>
    <w:p w:rsidR="00CB48C8" w:rsidRDefault="00CB48C8" w:rsidP="00CB48C8">
      <w:pPr>
        <w:pStyle w:val="Heading1"/>
      </w:pPr>
      <w:bookmarkStart w:id="2" w:name="_Ref124589705"/>
      <w:bookmarkStart w:id="3" w:name="_Ref129681862"/>
      <w:r w:rsidRPr="00CF195E">
        <w:t>Introduction</w:t>
      </w:r>
      <w:bookmarkEnd w:id="2"/>
      <w:bookmarkEnd w:id="3"/>
    </w:p>
    <w:p w:rsidR="009329FF" w:rsidRDefault="009329FF" w:rsidP="009329FF">
      <w:bookmarkStart w:id="4" w:name="_Ref129681832"/>
      <w:r>
        <w:t>I</w:t>
      </w:r>
      <w:r w:rsidR="008665EF">
        <w:t>n the RAN</w:t>
      </w:r>
      <w:r w:rsidR="00F5158E">
        <w:t>1</w:t>
      </w:r>
      <w:r w:rsidR="008665EF">
        <w:t xml:space="preserve">#AH-1801 meeting, </w:t>
      </w:r>
      <w:r w:rsidR="0057574D">
        <w:t>RAN</w:t>
      </w:r>
      <w:r w:rsidR="00F5158E">
        <w:t>1</w:t>
      </w:r>
      <w:r w:rsidR="0057574D">
        <w:t xml:space="preserve"> </w:t>
      </w:r>
      <w:r w:rsidR="00F5158E">
        <w:t xml:space="preserve">applied the SS raster information provided in </w:t>
      </w:r>
      <w:r w:rsidR="00F5158E">
        <w:fldChar w:fldCharType="begin"/>
      </w:r>
      <w:r w:rsidR="00F5158E">
        <w:instrText xml:space="preserve"> REF _Ref506798909 \r \h </w:instrText>
      </w:r>
      <w:r w:rsidR="00F5158E">
        <w:fldChar w:fldCharType="separate"/>
      </w:r>
      <w:r w:rsidR="00A46827">
        <w:t>[2]</w:t>
      </w:r>
      <w:r w:rsidR="00F5158E">
        <w:fldChar w:fldCharType="end"/>
      </w:r>
      <w:r w:rsidR="00F5158E">
        <w:t xml:space="preserve"> for the RMSI CORESET. RAN1 generated an LS asking whether the configuration information for the RMSI is acceptable </w:t>
      </w:r>
      <w:r w:rsidR="00F5158E">
        <w:fldChar w:fldCharType="begin"/>
      </w:r>
      <w:r w:rsidR="00F5158E">
        <w:instrText xml:space="preserve"> REF _Ref506799086 \r \h </w:instrText>
      </w:r>
      <w:r w:rsidR="00F5158E">
        <w:fldChar w:fldCharType="separate"/>
      </w:r>
      <w:r w:rsidR="00A46827">
        <w:t>[1]</w:t>
      </w:r>
      <w:r w:rsidR="00F5158E">
        <w:fldChar w:fldCharType="end"/>
      </w:r>
      <w:r w:rsidR="0057574D">
        <w:t xml:space="preserve">. </w:t>
      </w:r>
    </w:p>
    <w:p w:rsidR="008665EF" w:rsidRPr="00AB0CB2" w:rsidRDefault="00F5158E" w:rsidP="00EE28CA">
      <w:pPr>
        <w:ind w:left="360"/>
        <w:rPr>
          <w:i/>
          <w:sz w:val="20"/>
          <w:szCs w:val="20"/>
        </w:rPr>
      </w:pPr>
      <w:r w:rsidRPr="00F5158E">
        <w:rPr>
          <w:i/>
          <w:sz w:val="20"/>
          <w:szCs w:val="20"/>
        </w:rPr>
        <w:t>RAN1 respectfully asks RAN4 to check if there is any issue with the RMSI CORESET configurations provided in this LS.</w:t>
      </w:r>
    </w:p>
    <w:p w:rsidR="008665EF" w:rsidRPr="008665EF" w:rsidRDefault="008665EF" w:rsidP="008665EF">
      <w:r>
        <w:t xml:space="preserve">This contribution </w:t>
      </w:r>
      <w:r w:rsidR="00F5158E">
        <w:t xml:space="preserve">examines the </w:t>
      </w:r>
      <w:r w:rsidR="00664DEF">
        <w:t xml:space="preserve">implementation described in </w:t>
      </w:r>
      <w:r w:rsidR="00664DEF">
        <w:fldChar w:fldCharType="begin"/>
      </w:r>
      <w:r w:rsidR="00664DEF">
        <w:instrText xml:space="preserve"> REF _Ref505841133 \r \h </w:instrText>
      </w:r>
      <w:r w:rsidR="00664DEF">
        <w:fldChar w:fldCharType="separate"/>
      </w:r>
      <w:r w:rsidR="00A46827">
        <w:t>[3]</w:t>
      </w:r>
      <w:r w:rsidR="00664DEF">
        <w:fldChar w:fldCharType="end"/>
      </w:r>
      <w:r w:rsidR="00664DEF">
        <w:t xml:space="preserve"> and provides a recommendation for any follow up for RAN1.</w:t>
      </w:r>
    </w:p>
    <w:p w:rsidR="00012978" w:rsidRDefault="00012978" w:rsidP="00012978">
      <w:pPr>
        <w:pStyle w:val="Heading1"/>
      </w:pPr>
      <w:r>
        <w:t>Discussion</w:t>
      </w:r>
    </w:p>
    <w:p w:rsidR="002C7A95" w:rsidRDefault="00664DEF" w:rsidP="002C7A95">
      <w:r>
        <w:t>Once the UE demodulates the PBCH, it processes the master information block (MIB) to obtain information about the RMSI CORESET configuration. As part of the detection of the SSB, the UE knows</w:t>
      </w:r>
    </w:p>
    <w:p w:rsidR="00664DEF" w:rsidRDefault="00664DEF" w:rsidP="00664DEF">
      <w:pPr>
        <w:numPr>
          <w:ilvl w:val="0"/>
          <w:numId w:val="23"/>
        </w:numPr>
      </w:pPr>
      <w:r>
        <w:t>Which frequency band (FR1, FR2)</w:t>
      </w:r>
    </w:p>
    <w:p w:rsidR="00664DEF" w:rsidRDefault="00664DEF" w:rsidP="00664DEF">
      <w:pPr>
        <w:numPr>
          <w:ilvl w:val="0"/>
          <w:numId w:val="23"/>
        </w:numPr>
      </w:pPr>
      <w:r>
        <w:t>What SCS was used</w:t>
      </w:r>
    </w:p>
    <w:p w:rsidR="00664DEF" w:rsidRDefault="00664DEF" w:rsidP="00664DEF">
      <w:pPr>
        <w:numPr>
          <w:ilvl w:val="0"/>
          <w:numId w:val="23"/>
        </w:numPr>
      </w:pPr>
      <w:r>
        <w:t>According the GSCN, the maximum bandwidth of the RF band (i.e. it knows the maximum bandwidth of NR1)</w:t>
      </w:r>
    </w:p>
    <w:p w:rsidR="00ED396B" w:rsidRDefault="00ED396B" w:rsidP="00ED396B">
      <w:r>
        <w:t>After processing the MIB, the UE obtains</w:t>
      </w:r>
    </w:p>
    <w:p w:rsidR="00ED396B" w:rsidRDefault="00ED396B" w:rsidP="00ED396B">
      <w:pPr>
        <w:numPr>
          <w:ilvl w:val="0"/>
          <w:numId w:val="23"/>
        </w:numPr>
      </w:pPr>
      <w:r>
        <w:t>SCS for RMSI</w:t>
      </w:r>
    </w:p>
    <w:p w:rsidR="00ED396B" w:rsidRDefault="00ED396B" w:rsidP="00ED396B">
      <w:pPr>
        <w:numPr>
          <w:ilvl w:val="0"/>
          <w:numId w:val="23"/>
        </w:numPr>
      </w:pPr>
      <w:r>
        <w:t xml:space="preserve">8 bit </w:t>
      </w:r>
      <w:r w:rsidRPr="00ED396B">
        <w:rPr>
          <w:i/>
        </w:rPr>
        <w:t>RMSI-PDCCH-</w:t>
      </w:r>
      <w:proofErr w:type="spellStart"/>
      <w:r w:rsidRPr="00ED396B">
        <w:rPr>
          <w:i/>
        </w:rPr>
        <w:t>Config</w:t>
      </w:r>
      <w:proofErr w:type="spellEnd"/>
      <w:r w:rsidR="005B48B8">
        <w:t>. The 4 M</w:t>
      </w:r>
      <w:r>
        <w:t>SBs indicat</w:t>
      </w:r>
      <w:r w:rsidR="005B48B8">
        <w:t xml:space="preserve">e the search space information </w:t>
      </w:r>
      <w:r w:rsidR="00A46827">
        <w:t>for Type0-PDCCH while the 4 LSBs are used for timing</w:t>
      </w:r>
    </w:p>
    <w:p w:rsidR="00A46827" w:rsidRDefault="00A46827" w:rsidP="00A46827">
      <w:pPr>
        <w:pStyle w:val="Heading2"/>
      </w:pPr>
      <w:r>
        <w:t>Bandwidth</w:t>
      </w:r>
    </w:p>
    <w:p w:rsidR="00664DEF" w:rsidRDefault="00664DEF" w:rsidP="00664DEF">
      <w:r>
        <w:t xml:space="preserve">In section 13 of </w:t>
      </w:r>
      <w:r>
        <w:fldChar w:fldCharType="begin"/>
      </w:r>
      <w:r>
        <w:instrText xml:space="preserve"> REF _Ref505841133 \r \h </w:instrText>
      </w:r>
      <w:r>
        <w:fldChar w:fldCharType="separate"/>
      </w:r>
      <w:r w:rsidR="00A46827">
        <w:t>[3]</w:t>
      </w:r>
      <w:r>
        <w:fldChar w:fldCharType="end"/>
      </w:r>
      <w:r>
        <w:t xml:space="preserve">, several tables </w:t>
      </w:r>
      <w:r w:rsidR="00ED396B">
        <w:t>were produced to capture RMSI CORESET information.</w:t>
      </w:r>
      <w:r w:rsidR="005B48B8">
        <w:t xml:space="preserve"> The UE combines the above information to select the correct table.</w:t>
      </w:r>
    </w:p>
    <w:p w:rsidR="00ED396B" w:rsidRDefault="00ED396B" w:rsidP="00ED396B">
      <w:pPr>
        <w:pStyle w:val="Caption"/>
        <w:keepNext/>
      </w:pPr>
      <w:r>
        <w:t xml:space="preserve">Table </w:t>
      </w:r>
      <w:fldSimple w:instr=" SEQ Table \* ARABIC ">
        <w:r w:rsidR="00A46827">
          <w:rPr>
            <w:noProof/>
          </w:rPr>
          <w:t>1</w:t>
        </w:r>
      </w:fldSimple>
      <w:r>
        <w:t>. Tables for Type0-PDCCH</w:t>
      </w:r>
    </w:p>
    <w:tbl>
      <w:tblPr>
        <w:tblStyle w:val="TableGrid"/>
        <w:tblW w:w="0" w:type="auto"/>
        <w:tblLook w:val="04A0" w:firstRow="1" w:lastRow="0" w:firstColumn="1" w:lastColumn="0" w:noHBand="0" w:noVBand="1"/>
      </w:tblPr>
      <w:tblGrid>
        <w:gridCol w:w="867"/>
        <w:gridCol w:w="4384"/>
        <w:gridCol w:w="1024"/>
        <w:gridCol w:w="1025"/>
        <w:gridCol w:w="1025"/>
        <w:gridCol w:w="1025"/>
      </w:tblGrid>
      <w:tr w:rsidR="00ED396B" w:rsidRPr="00ED396B" w:rsidTr="00ED396B">
        <w:tc>
          <w:tcPr>
            <w:tcW w:w="867" w:type="dxa"/>
          </w:tcPr>
          <w:p w:rsidR="00ED396B" w:rsidRPr="00ED396B" w:rsidRDefault="00ED396B" w:rsidP="00ED396B">
            <w:pPr>
              <w:pStyle w:val="TableCell0"/>
              <w:rPr>
                <w:b/>
                <w:sz w:val="16"/>
              </w:rPr>
            </w:pPr>
            <w:r w:rsidRPr="00ED396B">
              <w:rPr>
                <w:b/>
                <w:sz w:val="16"/>
              </w:rPr>
              <w:t>Table</w:t>
            </w:r>
          </w:p>
        </w:tc>
        <w:tc>
          <w:tcPr>
            <w:tcW w:w="4384" w:type="dxa"/>
          </w:tcPr>
          <w:p w:rsidR="00ED396B" w:rsidRPr="00ED396B" w:rsidRDefault="00ED396B" w:rsidP="00ED396B">
            <w:pPr>
              <w:pStyle w:val="TableCell0"/>
              <w:rPr>
                <w:b/>
                <w:sz w:val="16"/>
              </w:rPr>
            </w:pPr>
            <w:r w:rsidRPr="00ED396B">
              <w:rPr>
                <w:b/>
                <w:sz w:val="16"/>
              </w:rPr>
              <w:t>Title</w:t>
            </w:r>
          </w:p>
        </w:tc>
        <w:tc>
          <w:tcPr>
            <w:tcW w:w="1024" w:type="dxa"/>
          </w:tcPr>
          <w:p w:rsidR="00ED396B" w:rsidRPr="00ED396B" w:rsidRDefault="00ED396B" w:rsidP="00ED396B">
            <w:pPr>
              <w:pStyle w:val="TableCell0"/>
              <w:rPr>
                <w:b/>
                <w:sz w:val="16"/>
              </w:rPr>
            </w:pPr>
            <w:r w:rsidRPr="00ED396B">
              <w:rPr>
                <w:b/>
                <w:sz w:val="16"/>
              </w:rPr>
              <w:t>Band</w:t>
            </w:r>
          </w:p>
        </w:tc>
        <w:tc>
          <w:tcPr>
            <w:tcW w:w="1025" w:type="dxa"/>
          </w:tcPr>
          <w:p w:rsidR="00ED396B" w:rsidRPr="00ED396B" w:rsidRDefault="00ED396B" w:rsidP="00ED396B">
            <w:pPr>
              <w:pStyle w:val="TableCell0"/>
              <w:rPr>
                <w:b/>
                <w:sz w:val="16"/>
              </w:rPr>
            </w:pPr>
            <w:r w:rsidRPr="00ED396B">
              <w:rPr>
                <w:b/>
                <w:sz w:val="16"/>
              </w:rPr>
              <w:t>SCS SS, kHz</w:t>
            </w:r>
          </w:p>
        </w:tc>
        <w:tc>
          <w:tcPr>
            <w:tcW w:w="1025" w:type="dxa"/>
          </w:tcPr>
          <w:p w:rsidR="00ED396B" w:rsidRPr="00ED396B" w:rsidRDefault="00ED396B" w:rsidP="00ED396B">
            <w:pPr>
              <w:pStyle w:val="TableCell0"/>
              <w:rPr>
                <w:b/>
                <w:sz w:val="16"/>
              </w:rPr>
            </w:pPr>
            <w:r w:rsidRPr="00ED396B">
              <w:rPr>
                <w:b/>
                <w:sz w:val="16"/>
              </w:rPr>
              <w:t>SCS RMSI, kHz</w:t>
            </w:r>
          </w:p>
        </w:tc>
        <w:tc>
          <w:tcPr>
            <w:tcW w:w="1025" w:type="dxa"/>
          </w:tcPr>
          <w:p w:rsidR="00ED396B" w:rsidRPr="00ED396B" w:rsidRDefault="00ED396B" w:rsidP="00ED396B">
            <w:pPr>
              <w:pStyle w:val="TableCell0"/>
              <w:rPr>
                <w:b/>
                <w:sz w:val="16"/>
              </w:rPr>
            </w:pPr>
            <w:r w:rsidRPr="00ED396B">
              <w:rPr>
                <w:b/>
                <w:sz w:val="16"/>
              </w:rPr>
              <w:t>Min BW, MHz</w:t>
            </w:r>
          </w:p>
        </w:tc>
      </w:tr>
      <w:tr w:rsidR="00ED396B" w:rsidRPr="00ED396B" w:rsidTr="00ED396B">
        <w:tc>
          <w:tcPr>
            <w:tcW w:w="867" w:type="dxa"/>
          </w:tcPr>
          <w:p w:rsidR="00ED396B" w:rsidRPr="00ED396B" w:rsidRDefault="00ED396B" w:rsidP="00ED396B">
            <w:pPr>
              <w:pStyle w:val="TableCell0"/>
              <w:rPr>
                <w:sz w:val="16"/>
              </w:rPr>
            </w:pPr>
            <w:r w:rsidRPr="00ED396B">
              <w:rPr>
                <w:sz w:val="16"/>
              </w:rPr>
              <w:t>13-1</w:t>
            </w:r>
          </w:p>
        </w:tc>
        <w:tc>
          <w:tcPr>
            <w:tcW w:w="4384" w:type="dxa"/>
          </w:tcPr>
          <w:p w:rsidR="00ED396B" w:rsidRPr="00ED396B" w:rsidRDefault="00ED396B" w:rsidP="00ED396B">
            <w:pPr>
              <w:pStyle w:val="TableCell0"/>
              <w:rPr>
                <w:sz w:val="16"/>
              </w:rPr>
            </w:pPr>
            <w:r w:rsidRPr="00ED396B">
              <w:rPr>
                <w:sz w:val="16"/>
              </w:rPr>
              <w:t>Set of resource blocks and slot symbols of control resource set for Type0-PDCCH search space when {SS/PBCH block, PDCCH} subcarrier spacing is {15, 15} kHz with minimum channel bandwidth 5 MHz</w:t>
            </w:r>
          </w:p>
        </w:tc>
        <w:tc>
          <w:tcPr>
            <w:tcW w:w="1024" w:type="dxa"/>
          </w:tcPr>
          <w:p w:rsidR="00ED396B" w:rsidRPr="00ED396B" w:rsidRDefault="00ED396B" w:rsidP="00ED396B">
            <w:pPr>
              <w:pStyle w:val="TableCell0"/>
              <w:rPr>
                <w:sz w:val="16"/>
              </w:rPr>
            </w:pPr>
            <w:r w:rsidRPr="00ED396B">
              <w:rPr>
                <w:sz w:val="16"/>
              </w:rPr>
              <w:t>FR1</w:t>
            </w:r>
          </w:p>
        </w:tc>
        <w:tc>
          <w:tcPr>
            <w:tcW w:w="1025" w:type="dxa"/>
          </w:tcPr>
          <w:p w:rsidR="00ED396B" w:rsidRPr="00ED396B" w:rsidRDefault="00ED396B" w:rsidP="00ED396B">
            <w:pPr>
              <w:pStyle w:val="TableCell0"/>
              <w:rPr>
                <w:sz w:val="16"/>
              </w:rPr>
            </w:pPr>
            <w:r w:rsidRPr="00ED396B">
              <w:rPr>
                <w:sz w:val="16"/>
              </w:rPr>
              <w:t>15</w:t>
            </w:r>
          </w:p>
        </w:tc>
        <w:tc>
          <w:tcPr>
            <w:tcW w:w="1025" w:type="dxa"/>
          </w:tcPr>
          <w:p w:rsidR="00ED396B" w:rsidRPr="00ED396B" w:rsidRDefault="00ED396B" w:rsidP="00ED396B">
            <w:pPr>
              <w:pStyle w:val="TableCell0"/>
              <w:rPr>
                <w:sz w:val="16"/>
              </w:rPr>
            </w:pPr>
            <w:r w:rsidRPr="00ED396B">
              <w:rPr>
                <w:sz w:val="16"/>
              </w:rPr>
              <w:t>15</w:t>
            </w:r>
          </w:p>
        </w:tc>
        <w:tc>
          <w:tcPr>
            <w:tcW w:w="1025" w:type="dxa"/>
          </w:tcPr>
          <w:p w:rsidR="00ED396B" w:rsidRPr="00ED396B" w:rsidRDefault="00ED396B" w:rsidP="00ED396B">
            <w:pPr>
              <w:pStyle w:val="TableCell0"/>
              <w:rPr>
                <w:sz w:val="16"/>
              </w:rPr>
            </w:pPr>
            <w:r w:rsidRPr="00ED396B">
              <w:rPr>
                <w:sz w:val="16"/>
              </w:rPr>
              <w:t>5</w:t>
            </w:r>
          </w:p>
        </w:tc>
      </w:tr>
      <w:tr w:rsidR="00ED396B" w:rsidRPr="00ED396B" w:rsidTr="00ED396B">
        <w:tc>
          <w:tcPr>
            <w:tcW w:w="867" w:type="dxa"/>
          </w:tcPr>
          <w:p w:rsidR="00ED396B" w:rsidRPr="00ED396B" w:rsidRDefault="00ED396B" w:rsidP="00ED396B">
            <w:pPr>
              <w:pStyle w:val="TableCell0"/>
              <w:rPr>
                <w:sz w:val="16"/>
              </w:rPr>
            </w:pPr>
            <w:r w:rsidRPr="00ED396B">
              <w:rPr>
                <w:sz w:val="16"/>
              </w:rPr>
              <w:t>13-2</w:t>
            </w:r>
          </w:p>
        </w:tc>
        <w:tc>
          <w:tcPr>
            <w:tcW w:w="4384" w:type="dxa"/>
          </w:tcPr>
          <w:p w:rsidR="00ED396B" w:rsidRPr="00ED396B" w:rsidRDefault="00ED396B" w:rsidP="00ED396B">
            <w:pPr>
              <w:pStyle w:val="TableCell0"/>
              <w:rPr>
                <w:sz w:val="16"/>
              </w:rPr>
            </w:pPr>
            <w:r w:rsidRPr="00ED396B">
              <w:rPr>
                <w:sz w:val="16"/>
              </w:rPr>
              <w:t>Set of resource blocks and slot symbols of control resource set for Type0-PDCCH search space when {SS/PBCH block, PDCCH} subcarrier spacing is {15, 30} kHz with minimum channel bandwidth 5 MHz</w:t>
            </w:r>
          </w:p>
        </w:tc>
        <w:tc>
          <w:tcPr>
            <w:tcW w:w="1024" w:type="dxa"/>
          </w:tcPr>
          <w:p w:rsidR="00ED396B" w:rsidRPr="00ED396B" w:rsidRDefault="00ED396B" w:rsidP="00ED396B">
            <w:pPr>
              <w:pStyle w:val="TableCell0"/>
              <w:rPr>
                <w:sz w:val="16"/>
              </w:rPr>
            </w:pPr>
            <w:r w:rsidRPr="00ED396B">
              <w:rPr>
                <w:sz w:val="16"/>
              </w:rPr>
              <w:t>FR1</w:t>
            </w:r>
          </w:p>
        </w:tc>
        <w:tc>
          <w:tcPr>
            <w:tcW w:w="1025" w:type="dxa"/>
          </w:tcPr>
          <w:p w:rsidR="00ED396B" w:rsidRPr="00ED396B" w:rsidRDefault="00ED396B" w:rsidP="00ED396B">
            <w:pPr>
              <w:pStyle w:val="TableCell0"/>
              <w:rPr>
                <w:sz w:val="16"/>
              </w:rPr>
            </w:pPr>
            <w:r w:rsidRPr="00ED396B">
              <w:rPr>
                <w:sz w:val="16"/>
              </w:rPr>
              <w:t>15</w:t>
            </w:r>
          </w:p>
        </w:tc>
        <w:tc>
          <w:tcPr>
            <w:tcW w:w="1025" w:type="dxa"/>
          </w:tcPr>
          <w:p w:rsidR="00ED396B" w:rsidRPr="00ED396B" w:rsidRDefault="00ED396B" w:rsidP="00ED396B">
            <w:pPr>
              <w:pStyle w:val="TableCell0"/>
              <w:rPr>
                <w:sz w:val="16"/>
              </w:rPr>
            </w:pPr>
            <w:r w:rsidRPr="00ED396B">
              <w:rPr>
                <w:sz w:val="16"/>
              </w:rPr>
              <w:t>30</w:t>
            </w:r>
          </w:p>
        </w:tc>
        <w:tc>
          <w:tcPr>
            <w:tcW w:w="1025" w:type="dxa"/>
          </w:tcPr>
          <w:p w:rsidR="00ED396B" w:rsidRPr="00ED396B" w:rsidRDefault="00ED396B" w:rsidP="00ED396B">
            <w:pPr>
              <w:pStyle w:val="TableCell0"/>
              <w:rPr>
                <w:sz w:val="16"/>
              </w:rPr>
            </w:pPr>
            <w:r w:rsidRPr="00ED396B">
              <w:rPr>
                <w:sz w:val="16"/>
              </w:rPr>
              <w:t>5</w:t>
            </w:r>
          </w:p>
        </w:tc>
      </w:tr>
      <w:tr w:rsidR="00ED396B" w:rsidRPr="00ED396B" w:rsidTr="00ED396B">
        <w:tc>
          <w:tcPr>
            <w:tcW w:w="867" w:type="dxa"/>
          </w:tcPr>
          <w:p w:rsidR="00ED396B" w:rsidRPr="00ED396B" w:rsidRDefault="00ED396B" w:rsidP="00ED396B">
            <w:pPr>
              <w:pStyle w:val="TableCell0"/>
              <w:rPr>
                <w:sz w:val="16"/>
              </w:rPr>
            </w:pPr>
            <w:r w:rsidRPr="00ED396B">
              <w:rPr>
                <w:sz w:val="16"/>
              </w:rPr>
              <w:t>13-3</w:t>
            </w:r>
          </w:p>
        </w:tc>
        <w:tc>
          <w:tcPr>
            <w:tcW w:w="4384" w:type="dxa"/>
          </w:tcPr>
          <w:p w:rsidR="00ED396B" w:rsidRPr="00ED396B" w:rsidRDefault="00ED396B" w:rsidP="00ED396B">
            <w:pPr>
              <w:pStyle w:val="TableCell0"/>
              <w:rPr>
                <w:sz w:val="16"/>
              </w:rPr>
            </w:pPr>
            <w:r w:rsidRPr="00ED396B">
              <w:rPr>
                <w:sz w:val="16"/>
              </w:rPr>
              <w:t xml:space="preserve">Set of resource blocks and slot symbols of control resource set for Type0-PDCCH search space when {SS/PBCH block, PDCCH} subcarrier spacing is {30, 15} kHz with minimum </w:t>
            </w:r>
            <w:r w:rsidRPr="00ED396B">
              <w:rPr>
                <w:sz w:val="16"/>
              </w:rPr>
              <w:lastRenderedPageBreak/>
              <w:t>channel bandwidth 5 MHz or 10 MHz</w:t>
            </w:r>
          </w:p>
        </w:tc>
        <w:tc>
          <w:tcPr>
            <w:tcW w:w="1024" w:type="dxa"/>
          </w:tcPr>
          <w:p w:rsidR="00ED396B" w:rsidRPr="00ED396B" w:rsidRDefault="00ED396B" w:rsidP="00ED396B">
            <w:pPr>
              <w:pStyle w:val="TableCell0"/>
              <w:rPr>
                <w:sz w:val="16"/>
              </w:rPr>
            </w:pPr>
            <w:r w:rsidRPr="00ED396B">
              <w:rPr>
                <w:sz w:val="16"/>
              </w:rPr>
              <w:lastRenderedPageBreak/>
              <w:t>FR1</w:t>
            </w:r>
          </w:p>
        </w:tc>
        <w:tc>
          <w:tcPr>
            <w:tcW w:w="1025" w:type="dxa"/>
          </w:tcPr>
          <w:p w:rsidR="00ED396B" w:rsidRPr="00ED396B" w:rsidRDefault="00ED396B" w:rsidP="00ED396B">
            <w:pPr>
              <w:pStyle w:val="TableCell0"/>
              <w:rPr>
                <w:sz w:val="16"/>
              </w:rPr>
            </w:pPr>
            <w:r w:rsidRPr="00ED396B">
              <w:rPr>
                <w:sz w:val="16"/>
              </w:rPr>
              <w:t>30</w:t>
            </w:r>
          </w:p>
        </w:tc>
        <w:tc>
          <w:tcPr>
            <w:tcW w:w="1025" w:type="dxa"/>
          </w:tcPr>
          <w:p w:rsidR="00ED396B" w:rsidRPr="00ED396B" w:rsidRDefault="00ED396B" w:rsidP="00ED396B">
            <w:pPr>
              <w:pStyle w:val="TableCell0"/>
              <w:rPr>
                <w:sz w:val="16"/>
              </w:rPr>
            </w:pPr>
            <w:r w:rsidRPr="00ED396B">
              <w:rPr>
                <w:sz w:val="16"/>
              </w:rPr>
              <w:t>15</w:t>
            </w:r>
          </w:p>
        </w:tc>
        <w:tc>
          <w:tcPr>
            <w:tcW w:w="1025" w:type="dxa"/>
          </w:tcPr>
          <w:p w:rsidR="00ED396B" w:rsidRPr="00ED396B" w:rsidRDefault="00ED396B" w:rsidP="00ED396B">
            <w:pPr>
              <w:pStyle w:val="TableCell0"/>
              <w:rPr>
                <w:sz w:val="16"/>
              </w:rPr>
            </w:pPr>
            <w:r w:rsidRPr="00ED396B">
              <w:rPr>
                <w:sz w:val="16"/>
              </w:rPr>
              <w:t>5 or 10</w:t>
            </w:r>
          </w:p>
        </w:tc>
      </w:tr>
      <w:tr w:rsidR="00ED396B" w:rsidRPr="00ED396B" w:rsidTr="00ED396B">
        <w:tc>
          <w:tcPr>
            <w:tcW w:w="867" w:type="dxa"/>
          </w:tcPr>
          <w:p w:rsidR="00ED396B" w:rsidRPr="00ED396B" w:rsidRDefault="00ED396B" w:rsidP="00ED396B">
            <w:pPr>
              <w:pStyle w:val="TableCell0"/>
              <w:rPr>
                <w:sz w:val="16"/>
              </w:rPr>
            </w:pPr>
            <w:r w:rsidRPr="00ED396B">
              <w:rPr>
                <w:sz w:val="16"/>
              </w:rPr>
              <w:t>13-4</w:t>
            </w:r>
          </w:p>
        </w:tc>
        <w:tc>
          <w:tcPr>
            <w:tcW w:w="4384" w:type="dxa"/>
          </w:tcPr>
          <w:p w:rsidR="00ED396B" w:rsidRPr="00ED396B" w:rsidRDefault="00ED396B" w:rsidP="00ED396B">
            <w:pPr>
              <w:pStyle w:val="TableCell0"/>
              <w:rPr>
                <w:sz w:val="16"/>
              </w:rPr>
            </w:pPr>
            <w:r w:rsidRPr="00ED396B">
              <w:rPr>
                <w:sz w:val="16"/>
              </w:rPr>
              <w:t>Set of resource blocks and slot symbols of control resource set for Type0-PDCCH search space when {SS/PBCH block, PDCCH} subcarrier spacing is {30, 30} kHz with minimum channel bandwidth 5 MHz or 10 MHz</w:t>
            </w:r>
          </w:p>
        </w:tc>
        <w:tc>
          <w:tcPr>
            <w:tcW w:w="1024" w:type="dxa"/>
          </w:tcPr>
          <w:p w:rsidR="00ED396B" w:rsidRPr="00ED396B" w:rsidRDefault="00ED396B" w:rsidP="00ED396B">
            <w:pPr>
              <w:pStyle w:val="TableCell0"/>
              <w:rPr>
                <w:sz w:val="16"/>
              </w:rPr>
            </w:pPr>
            <w:r>
              <w:rPr>
                <w:sz w:val="16"/>
              </w:rPr>
              <w:t>FR1</w:t>
            </w:r>
          </w:p>
        </w:tc>
        <w:tc>
          <w:tcPr>
            <w:tcW w:w="1025" w:type="dxa"/>
          </w:tcPr>
          <w:p w:rsidR="00ED396B" w:rsidRPr="00ED396B" w:rsidRDefault="00ED396B" w:rsidP="00ED396B">
            <w:pPr>
              <w:pStyle w:val="TableCell0"/>
              <w:rPr>
                <w:sz w:val="16"/>
              </w:rPr>
            </w:pPr>
            <w:r>
              <w:rPr>
                <w:sz w:val="16"/>
              </w:rPr>
              <w:t>30</w:t>
            </w:r>
          </w:p>
        </w:tc>
        <w:tc>
          <w:tcPr>
            <w:tcW w:w="1025" w:type="dxa"/>
          </w:tcPr>
          <w:p w:rsidR="00ED396B" w:rsidRPr="00ED396B" w:rsidRDefault="00ED396B" w:rsidP="00ED396B">
            <w:pPr>
              <w:pStyle w:val="TableCell0"/>
              <w:rPr>
                <w:sz w:val="16"/>
              </w:rPr>
            </w:pPr>
            <w:r>
              <w:rPr>
                <w:sz w:val="16"/>
              </w:rPr>
              <w:t>30</w:t>
            </w:r>
          </w:p>
        </w:tc>
        <w:tc>
          <w:tcPr>
            <w:tcW w:w="1025" w:type="dxa"/>
          </w:tcPr>
          <w:p w:rsidR="00ED396B" w:rsidRPr="00ED396B" w:rsidRDefault="00ED396B" w:rsidP="00ED396B">
            <w:pPr>
              <w:pStyle w:val="TableCell0"/>
              <w:rPr>
                <w:sz w:val="16"/>
              </w:rPr>
            </w:pPr>
            <w:r>
              <w:rPr>
                <w:sz w:val="16"/>
              </w:rPr>
              <w:t>5 or 10</w:t>
            </w:r>
          </w:p>
        </w:tc>
      </w:tr>
      <w:tr w:rsidR="00ED396B" w:rsidRPr="00ED396B" w:rsidTr="00ED396B">
        <w:tc>
          <w:tcPr>
            <w:tcW w:w="867" w:type="dxa"/>
          </w:tcPr>
          <w:p w:rsidR="00ED396B" w:rsidRPr="00ED396B" w:rsidRDefault="00ED396B" w:rsidP="00ED396B">
            <w:pPr>
              <w:pStyle w:val="TableCell0"/>
              <w:rPr>
                <w:sz w:val="16"/>
              </w:rPr>
            </w:pPr>
            <w:r>
              <w:rPr>
                <w:sz w:val="16"/>
              </w:rPr>
              <w:t>13-5</w:t>
            </w:r>
          </w:p>
        </w:tc>
        <w:tc>
          <w:tcPr>
            <w:tcW w:w="4384" w:type="dxa"/>
          </w:tcPr>
          <w:p w:rsidR="00ED396B" w:rsidRPr="00ED396B" w:rsidRDefault="00ED396B" w:rsidP="00ED396B">
            <w:pPr>
              <w:pStyle w:val="TableCell0"/>
              <w:rPr>
                <w:sz w:val="16"/>
              </w:rPr>
            </w:pPr>
            <w:r w:rsidRPr="00ED396B">
              <w:rPr>
                <w:sz w:val="16"/>
              </w:rPr>
              <w:t>Set of resource blocks and slot symbols of control resource set for Type0-PDCCH search space when {SS/PBCH block, PDCCH} subcarrier spacing is {30, 15} kHz with minimum channel bandwidth 40MHz</w:t>
            </w:r>
          </w:p>
        </w:tc>
        <w:tc>
          <w:tcPr>
            <w:tcW w:w="1024" w:type="dxa"/>
          </w:tcPr>
          <w:p w:rsidR="00ED396B" w:rsidRPr="00ED396B" w:rsidRDefault="00ED396B" w:rsidP="00ED396B">
            <w:pPr>
              <w:pStyle w:val="TableCell0"/>
              <w:rPr>
                <w:sz w:val="16"/>
              </w:rPr>
            </w:pPr>
            <w:r>
              <w:rPr>
                <w:sz w:val="16"/>
              </w:rPr>
              <w:t>FR1</w:t>
            </w:r>
          </w:p>
        </w:tc>
        <w:tc>
          <w:tcPr>
            <w:tcW w:w="1025" w:type="dxa"/>
          </w:tcPr>
          <w:p w:rsidR="00ED396B" w:rsidRPr="00ED396B" w:rsidRDefault="00ED396B" w:rsidP="00ED396B">
            <w:pPr>
              <w:pStyle w:val="TableCell0"/>
              <w:rPr>
                <w:sz w:val="16"/>
              </w:rPr>
            </w:pPr>
            <w:r>
              <w:rPr>
                <w:sz w:val="16"/>
              </w:rPr>
              <w:t>30</w:t>
            </w:r>
          </w:p>
        </w:tc>
        <w:tc>
          <w:tcPr>
            <w:tcW w:w="1025" w:type="dxa"/>
          </w:tcPr>
          <w:p w:rsidR="00ED396B" w:rsidRPr="00ED396B" w:rsidRDefault="00ED396B" w:rsidP="00ED396B">
            <w:pPr>
              <w:pStyle w:val="TableCell0"/>
              <w:rPr>
                <w:sz w:val="16"/>
              </w:rPr>
            </w:pPr>
            <w:r>
              <w:rPr>
                <w:sz w:val="16"/>
              </w:rPr>
              <w:t>15</w:t>
            </w:r>
          </w:p>
        </w:tc>
        <w:tc>
          <w:tcPr>
            <w:tcW w:w="1025" w:type="dxa"/>
          </w:tcPr>
          <w:p w:rsidR="00ED396B" w:rsidRPr="00ED396B" w:rsidRDefault="00ED396B" w:rsidP="00ED396B">
            <w:pPr>
              <w:pStyle w:val="TableCell0"/>
              <w:rPr>
                <w:sz w:val="16"/>
              </w:rPr>
            </w:pPr>
            <w:r>
              <w:rPr>
                <w:sz w:val="16"/>
              </w:rPr>
              <w:t>40</w:t>
            </w:r>
          </w:p>
        </w:tc>
      </w:tr>
      <w:tr w:rsidR="00ED396B" w:rsidRPr="00ED396B" w:rsidTr="00ED396B">
        <w:tc>
          <w:tcPr>
            <w:tcW w:w="867" w:type="dxa"/>
          </w:tcPr>
          <w:p w:rsidR="00ED396B" w:rsidRPr="00ED396B" w:rsidRDefault="00ED396B" w:rsidP="00ED396B">
            <w:pPr>
              <w:pStyle w:val="TableCell0"/>
              <w:rPr>
                <w:sz w:val="16"/>
              </w:rPr>
            </w:pPr>
            <w:r>
              <w:rPr>
                <w:sz w:val="16"/>
              </w:rPr>
              <w:t>13-6</w:t>
            </w:r>
          </w:p>
        </w:tc>
        <w:tc>
          <w:tcPr>
            <w:tcW w:w="4384" w:type="dxa"/>
          </w:tcPr>
          <w:p w:rsidR="00ED396B" w:rsidRPr="00ED396B" w:rsidRDefault="00ED396B" w:rsidP="00ED396B">
            <w:pPr>
              <w:pStyle w:val="TableCell0"/>
              <w:rPr>
                <w:sz w:val="16"/>
              </w:rPr>
            </w:pPr>
            <w:r w:rsidRPr="00ED396B">
              <w:rPr>
                <w:sz w:val="16"/>
              </w:rPr>
              <w:t>Set of resource blocks and slot symbols of control resource set for Type0-PDCCH search space when {SS/PBCH block, PDCCH} subcarrier spacing is {30, 30} kHz with minimum channel bandwidth 40MHz</w:t>
            </w:r>
          </w:p>
        </w:tc>
        <w:tc>
          <w:tcPr>
            <w:tcW w:w="1024" w:type="dxa"/>
          </w:tcPr>
          <w:p w:rsidR="00ED396B" w:rsidRPr="00ED396B" w:rsidRDefault="00ED396B" w:rsidP="00ED396B">
            <w:pPr>
              <w:pStyle w:val="TableCell0"/>
              <w:rPr>
                <w:sz w:val="16"/>
              </w:rPr>
            </w:pPr>
            <w:r>
              <w:rPr>
                <w:sz w:val="16"/>
              </w:rPr>
              <w:t>FR1</w:t>
            </w:r>
          </w:p>
        </w:tc>
        <w:tc>
          <w:tcPr>
            <w:tcW w:w="1025" w:type="dxa"/>
          </w:tcPr>
          <w:p w:rsidR="00ED396B" w:rsidRPr="00ED396B" w:rsidRDefault="00ED396B" w:rsidP="00ED396B">
            <w:pPr>
              <w:pStyle w:val="TableCell0"/>
              <w:rPr>
                <w:sz w:val="16"/>
              </w:rPr>
            </w:pPr>
            <w:r>
              <w:rPr>
                <w:sz w:val="16"/>
              </w:rPr>
              <w:t>30</w:t>
            </w:r>
          </w:p>
        </w:tc>
        <w:tc>
          <w:tcPr>
            <w:tcW w:w="1025" w:type="dxa"/>
          </w:tcPr>
          <w:p w:rsidR="00ED396B" w:rsidRPr="00ED396B" w:rsidRDefault="00ED396B" w:rsidP="00ED396B">
            <w:pPr>
              <w:pStyle w:val="TableCell0"/>
              <w:rPr>
                <w:sz w:val="16"/>
              </w:rPr>
            </w:pPr>
            <w:r>
              <w:rPr>
                <w:sz w:val="16"/>
              </w:rPr>
              <w:t>30</w:t>
            </w:r>
          </w:p>
        </w:tc>
        <w:tc>
          <w:tcPr>
            <w:tcW w:w="1025" w:type="dxa"/>
          </w:tcPr>
          <w:p w:rsidR="00ED396B" w:rsidRPr="00ED396B" w:rsidRDefault="00ED396B" w:rsidP="00ED396B">
            <w:pPr>
              <w:pStyle w:val="TableCell0"/>
              <w:rPr>
                <w:sz w:val="16"/>
              </w:rPr>
            </w:pPr>
            <w:r>
              <w:rPr>
                <w:sz w:val="16"/>
              </w:rPr>
              <w:t>40</w:t>
            </w:r>
          </w:p>
        </w:tc>
      </w:tr>
      <w:tr w:rsidR="00ED396B" w:rsidRPr="00ED396B" w:rsidTr="00ED396B">
        <w:tc>
          <w:tcPr>
            <w:tcW w:w="867" w:type="dxa"/>
          </w:tcPr>
          <w:p w:rsidR="00ED396B" w:rsidRPr="00ED396B" w:rsidRDefault="00ED396B" w:rsidP="00ED396B">
            <w:pPr>
              <w:pStyle w:val="TableCell0"/>
              <w:rPr>
                <w:sz w:val="16"/>
              </w:rPr>
            </w:pPr>
            <w:r>
              <w:rPr>
                <w:sz w:val="16"/>
              </w:rPr>
              <w:t>13-7</w:t>
            </w:r>
          </w:p>
        </w:tc>
        <w:tc>
          <w:tcPr>
            <w:tcW w:w="4384" w:type="dxa"/>
          </w:tcPr>
          <w:p w:rsidR="00ED396B" w:rsidRPr="00ED396B" w:rsidRDefault="00ED396B" w:rsidP="00ED396B">
            <w:pPr>
              <w:pStyle w:val="TableCell0"/>
              <w:rPr>
                <w:sz w:val="16"/>
              </w:rPr>
            </w:pPr>
            <w:r w:rsidRPr="00ED396B">
              <w:rPr>
                <w:sz w:val="16"/>
              </w:rPr>
              <w:t>Set of resource blocks and slot symbols of control resource set for Type0-PDCCH search space when {SS/PBCH block, PDCCH} subcarrier spacing is {120, 60} kHz</w:t>
            </w:r>
          </w:p>
        </w:tc>
        <w:tc>
          <w:tcPr>
            <w:tcW w:w="1024" w:type="dxa"/>
          </w:tcPr>
          <w:p w:rsidR="00ED396B" w:rsidRPr="00ED396B" w:rsidRDefault="00ED396B" w:rsidP="00ED396B">
            <w:pPr>
              <w:pStyle w:val="TableCell0"/>
              <w:rPr>
                <w:sz w:val="16"/>
              </w:rPr>
            </w:pPr>
            <w:r>
              <w:rPr>
                <w:sz w:val="16"/>
              </w:rPr>
              <w:t>FR2</w:t>
            </w:r>
          </w:p>
        </w:tc>
        <w:tc>
          <w:tcPr>
            <w:tcW w:w="1025" w:type="dxa"/>
          </w:tcPr>
          <w:p w:rsidR="00ED396B" w:rsidRPr="00ED396B" w:rsidRDefault="00ED396B" w:rsidP="00ED396B">
            <w:pPr>
              <w:pStyle w:val="TableCell0"/>
              <w:rPr>
                <w:sz w:val="16"/>
              </w:rPr>
            </w:pPr>
            <w:r>
              <w:rPr>
                <w:sz w:val="16"/>
              </w:rPr>
              <w:t>120</w:t>
            </w:r>
          </w:p>
        </w:tc>
        <w:tc>
          <w:tcPr>
            <w:tcW w:w="1025" w:type="dxa"/>
          </w:tcPr>
          <w:p w:rsidR="00ED396B" w:rsidRPr="00ED396B" w:rsidRDefault="00ED396B" w:rsidP="00ED396B">
            <w:pPr>
              <w:pStyle w:val="TableCell0"/>
              <w:rPr>
                <w:sz w:val="16"/>
              </w:rPr>
            </w:pPr>
            <w:r>
              <w:rPr>
                <w:sz w:val="16"/>
              </w:rPr>
              <w:t>60</w:t>
            </w:r>
          </w:p>
        </w:tc>
        <w:tc>
          <w:tcPr>
            <w:tcW w:w="1025" w:type="dxa"/>
          </w:tcPr>
          <w:p w:rsidR="00ED396B" w:rsidRPr="00ED396B" w:rsidRDefault="00ED396B" w:rsidP="00ED396B">
            <w:pPr>
              <w:pStyle w:val="TableCell0"/>
              <w:rPr>
                <w:sz w:val="16"/>
              </w:rPr>
            </w:pPr>
          </w:p>
        </w:tc>
      </w:tr>
      <w:tr w:rsidR="00ED396B" w:rsidRPr="00ED396B" w:rsidTr="00ED396B">
        <w:tc>
          <w:tcPr>
            <w:tcW w:w="867" w:type="dxa"/>
          </w:tcPr>
          <w:p w:rsidR="00ED396B" w:rsidRDefault="00ED396B" w:rsidP="00ED396B">
            <w:pPr>
              <w:pStyle w:val="TableCell0"/>
              <w:rPr>
                <w:sz w:val="16"/>
              </w:rPr>
            </w:pPr>
            <w:r>
              <w:rPr>
                <w:sz w:val="16"/>
              </w:rPr>
              <w:t>13-8</w:t>
            </w:r>
          </w:p>
        </w:tc>
        <w:tc>
          <w:tcPr>
            <w:tcW w:w="4384" w:type="dxa"/>
          </w:tcPr>
          <w:p w:rsidR="00ED396B" w:rsidRPr="00ED396B" w:rsidRDefault="00ED396B" w:rsidP="00ED396B">
            <w:pPr>
              <w:pStyle w:val="TableCell0"/>
              <w:rPr>
                <w:sz w:val="16"/>
              </w:rPr>
            </w:pPr>
            <w:r w:rsidRPr="00ED396B">
              <w:rPr>
                <w:sz w:val="16"/>
              </w:rPr>
              <w:t>Set of resource blocks and slot symbols of control resource set for Type0-PDCCH search space when {SS/PBCH block, PDCCH} subcarrier spacing is {120, 120} kHz</w:t>
            </w:r>
          </w:p>
        </w:tc>
        <w:tc>
          <w:tcPr>
            <w:tcW w:w="1024" w:type="dxa"/>
          </w:tcPr>
          <w:p w:rsidR="00ED396B" w:rsidRDefault="00ED396B" w:rsidP="00ED396B">
            <w:pPr>
              <w:pStyle w:val="TableCell0"/>
              <w:rPr>
                <w:sz w:val="16"/>
              </w:rPr>
            </w:pPr>
            <w:r>
              <w:rPr>
                <w:sz w:val="16"/>
              </w:rPr>
              <w:t>FR2</w:t>
            </w:r>
          </w:p>
        </w:tc>
        <w:tc>
          <w:tcPr>
            <w:tcW w:w="1025" w:type="dxa"/>
          </w:tcPr>
          <w:p w:rsidR="00ED396B" w:rsidRDefault="00ED396B" w:rsidP="00ED396B">
            <w:pPr>
              <w:pStyle w:val="TableCell0"/>
              <w:rPr>
                <w:sz w:val="16"/>
              </w:rPr>
            </w:pPr>
            <w:r>
              <w:rPr>
                <w:sz w:val="16"/>
              </w:rPr>
              <w:t>120</w:t>
            </w:r>
          </w:p>
        </w:tc>
        <w:tc>
          <w:tcPr>
            <w:tcW w:w="1025" w:type="dxa"/>
          </w:tcPr>
          <w:p w:rsidR="00ED396B" w:rsidRDefault="00ED396B" w:rsidP="00ED396B">
            <w:pPr>
              <w:pStyle w:val="TableCell0"/>
              <w:rPr>
                <w:sz w:val="16"/>
              </w:rPr>
            </w:pPr>
            <w:r>
              <w:rPr>
                <w:sz w:val="16"/>
              </w:rPr>
              <w:t>120</w:t>
            </w:r>
          </w:p>
        </w:tc>
        <w:tc>
          <w:tcPr>
            <w:tcW w:w="1025" w:type="dxa"/>
          </w:tcPr>
          <w:p w:rsidR="00ED396B" w:rsidRPr="00ED396B" w:rsidRDefault="00ED396B" w:rsidP="00ED396B">
            <w:pPr>
              <w:pStyle w:val="TableCell0"/>
              <w:rPr>
                <w:sz w:val="16"/>
              </w:rPr>
            </w:pPr>
          </w:p>
        </w:tc>
      </w:tr>
      <w:tr w:rsidR="00ED396B" w:rsidRPr="00ED396B" w:rsidTr="00ED396B">
        <w:tc>
          <w:tcPr>
            <w:tcW w:w="867" w:type="dxa"/>
          </w:tcPr>
          <w:p w:rsidR="00ED396B" w:rsidRDefault="00ED396B" w:rsidP="00ED396B">
            <w:pPr>
              <w:pStyle w:val="TableCell0"/>
              <w:rPr>
                <w:sz w:val="16"/>
              </w:rPr>
            </w:pPr>
            <w:r>
              <w:rPr>
                <w:sz w:val="16"/>
              </w:rPr>
              <w:t>13-9</w:t>
            </w:r>
          </w:p>
        </w:tc>
        <w:tc>
          <w:tcPr>
            <w:tcW w:w="4384" w:type="dxa"/>
          </w:tcPr>
          <w:p w:rsidR="00ED396B" w:rsidRPr="00ED396B" w:rsidRDefault="00ED396B" w:rsidP="00ED396B">
            <w:pPr>
              <w:pStyle w:val="TableCell0"/>
              <w:rPr>
                <w:sz w:val="16"/>
              </w:rPr>
            </w:pPr>
            <w:r w:rsidRPr="00ED396B">
              <w:rPr>
                <w:sz w:val="16"/>
              </w:rPr>
              <w:t>Set of resource blocks and slot symbols of control resource set for Type0-PDCCH search space when {SS/PBCH block, PDCCH} subcarrier spacing is {240, 60} kHz</w:t>
            </w:r>
          </w:p>
        </w:tc>
        <w:tc>
          <w:tcPr>
            <w:tcW w:w="1024" w:type="dxa"/>
          </w:tcPr>
          <w:p w:rsidR="00ED396B" w:rsidRDefault="00ED396B" w:rsidP="00ED396B">
            <w:pPr>
              <w:pStyle w:val="TableCell0"/>
              <w:rPr>
                <w:sz w:val="16"/>
              </w:rPr>
            </w:pPr>
            <w:r>
              <w:rPr>
                <w:sz w:val="16"/>
              </w:rPr>
              <w:t>FR2</w:t>
            </w:r>
          </w:p>
        </w:tc>
        <w:tc>
          <w:tcPr>
            <w:tcW w:w="1025" w:type="dxa"/>
          </w:tcPr>
          <w:p w:rsidR="00ED396B" w:rsidRDefault="00ED396B" w:rsidP="00ED396B">
            <w:pPr>
              <w:pStyle w:val="TableCell0"/>
              <w:rPr>
                <w:sz w:val="16"/>
              </w:rPr>
            </w:pPr>
            <w:r>
              <w:rPr>
                <w:sz w:val="16"/>
              </w:rPr>
              <w:t>240</w:t>
            </w:r>
          </w:p>
        </w:tc>
        <w:tc>
          <w:tcPr>
            <w:tcW w:w="1025" w:type="dxa"/>
          </w:tcPr>
          <w:p w:rsidR="00ED396B" w:rsidRDefault="00ED396B" w:rsidP="00ED396B">
            <w:pPr>
              <w:pStyle w:val="TableCell0"/>
              <w:rPr>
                <w:sz w:val="16"/>
              </w:rPr>
            </w:pPr>
            <w:r>
              <w:rPr>
                <w:sz w:val="16"/>
              </w:rPr>
              <w:t>60</w:t>
            </w:r>
          </w:p>
        </w:tc>
        <w:tc>
          <w:tcPr>
            <w:tcW w:w="1025" w:type="dxa"/>
          </w:tcPr>
          <w:p w:rsidR="00ED396B" w:rsidRPr="00ED396B" w:rsidRDefault="00ED396B" w:rsidP="00ED396B">
            <w:pPr>
              <w:pStyle w:val="TableCell0"/>
              <w:rPr>
                <w:sz w:val="16"/>
              </w:rPr>
            </w:pPr>
          </w:p>
        </w:tc>
      </w:tr>
      <w:tr w:rsidR="00ED396B" w:rsidRPr="00ED396B" w:rsidTr="00ED396B">
        <w:tc>
          <w:tcPr>
            <w:tcW w:w="867" w:type="dxa"/>
          </w:tcPr>
          <w:p w:rsidR="00ED396B" w:rsidRDefault="00ED396B" w:rsidP="00ED396B">
            <w:pPr>
              <w:pStyle w:val="TableCell0"/>
              <w:rPr>
                <w:sz w:val="16"/>
              </w:rPr>
            </w:pPr>
            <w:r>
              <w:rPr>
                <w:sz w:val="16"/>
              </w:rPr>
              <w:t>13-10</w:t>
            </w:r>
          </w:p>
        </w:tc>
        <w:tc>
          <w:tcPr>
            <w:tcW w:w="4384" w:type="dxa"/>
          </w:tcPr>
          <w:p w:rsidR="00ED396B" w:rsidRPr="00ED396B" w:rsidRDefault="00ED396B" w:rsidP="00ED396B">
            <w:pPr>
              <w:pStyle w:val="TableCell0"/>
              <w:rPr>
                <w:sz w:val="16"/>
              </w:rPr>
            </w:pPr>
            <w:r w:rsidRPr="00ED396B">
              <w:rPr>
                <w:sz w:val="16"/>
              </w:rPr>
              <w:t>Set of resource blocks and slot symbols of control resource set for Type0-PDCCH search space when {SS/PBCH block, PDCCH} subcarrier spacing is {240, 120} kHz</w:t>
            </w:r>
          </w:p>
        </w:tc>
        <w:tc>
          <w:tcPr>
            <w:tcW w:w="1024" w:type="dxa"/>
          </w:tcPr>
          <w:p w:rsidR="00ED396B" w:rsidRDefault="00ED396B" w:rsidP="00ED396B">
            <w:pPr>
              <w:pStyle w:val="TableCell0"/>
              <w:rPr>
                <w:sz w:val="16"/>
              </w:rPr>
            </w:pPr>
            <w:r>
              <w:rPr>
                <w:sz w:val="16"/>
              </w:rPr>
              <w:t>FR2</w:t>
            </w:r>
          </w:p>
        </w:tc>
        <w:tc>
          <w:tcPr>
            <w:tcW w:w="1025" w:type="dxa"/>
          </w:tcPr>
          <w:p w:rsidR="00ED396B" w:rsidRDefault="00ED396B" w:rsidP="00ED396B">
            <w:pPr>
              <w:pStyle w:val="TableCell0"/>
              <w:rPr>
                <w:sz w:val="16"/>
              </w:rPr>
            </w:pPr>
            <w:r>
              <w:rPr>
                <w:sz w:val="16"/>
              </w:rPr>
              <w:t>240</w:t>
            </w:r>
          </w:p>
        </w:tc>
        <w:tc>
          <w:tcPr>
            <w:tcW w:w="1025" w:type="dxa"/>
          </w:tcPr>
          <w:p w:rsidR="00ED396B" w:rsidRDefault="00ED396B" w:rsidP="00ED396B">
            <w:pPr>
              <w:pStyle w:val="TableCell0"/>
              <w:rPr>
                <w:sz w:val="16"/>
              </w:rPr>
            </w:pPr>
            <w:r>
              <w:rPr>
                <w:sz w:val="16"/>
              </w:rPr>
              <w:t>120</w:t>
            </w:r>
          </w:p>
        </w:tc>
        <w:tc>
          <w:tcPr>
            <w:tcW w:w="1025" w:type="dxa"/>
          </w:tcPr>
          <w:p w:rsidR="00ED396B" w:rsidRPr="00ED396B" w:rsidRDefault="00ED396B" w:rsidP="00ED396B">
            <w:pPr>
              <w:pStyle w:val="TableCell0"/>
              <w:rPr>
                <w:sz w:val="16"/>
              </w:rPr>
            </w:pPr>
          </w:p>
        </w:tc>
      </w:tr>
    </w:tbl>
    <w:p w:rsidR="00ED396B" w:rsidRPr="005B48B8" w:rsidRDefault="00ED396B" w:rsidP="005B48B8"/>
    <w:p w:rsidR="00496189" w:rsidRDefault="00496189" w:rsidP="00496189">
      <w:r>
        <w:t xml:space="preserve">Recalling section 5 of </w:t>
      </w:r>
      <w:r w:rsidRPr="005B48B8">
        <w:fldChar w:fldCharType="begin"/>
      </w:r>
      <w:r w:rsidRPr="005B48B8">
        <w:instrText xml:space="preserve"> REF _Ref506800599 \r \h  \* MERGEFORMAT </w:instrText>
      </w:r>
      <w:r w:rsidRPr="005B48B8">
        <w:fldChar w:fldCharType="separate"/>
      </w:r>
      <w:r w:rsidRPr="00496189">
        <w:t>[4</w:t>
      </w:r>
      <w:r>
        <w:t>]</w:t>
      </w:r>
      <w:r w:rsidRPr="005B48B8">
        <w:fldChar w:fldCharType="end"/>
      </w:r>
      <w:r>
        <w:t>, there are minimum bandwidths as a function of SCS.</w:t>
      </w:r>
    </w:p>
    <w:p w:rsidR="005B48B8" w:rsidRPr="005B48B8" w:rsidRDefault="005B48B8" w:rsidP="005B48B8">
      <w:pPr>
        <w:rPr>
          <w:b/>
          <w:i/>
        </w:rPr>
      </w:pPr>
      <w:r w:rsidRPr="005B48B8">
        <w:rPr>
          <w:b/>
          <w:i/>
        </w:rPr>
        <w:t>Observation 1. The minimum bandwidth for the SSB with 30 kHz SCS is 10 MHz</w:t>
      </w:r>
      <w:r w:rsidR="00A46827">
        <w:rPr>
          <w:b/>
          <w:i/>
        </w:rPr>
        <w:t xml:space="preserve">, not 5 </w:t>
      </w:r>
      <w:proofErr w:type="spellStart"/>
      <w:r w:rsidR="00A46827">
        <w:rPr>
          <w:b/>
          <w:i/>
        </w:rPr>
        <w:t>MHz</w:t>
      </w:r>
      <w:r w:rsidRPr="005B48B8">
        <w:rPr>
          <w:b/>
          <w:i/>
        </w:rPr>
        <w:t>.</w:t>
      </w:r>
      <w:proofErr w:type="spellEnd"/>
    </w:p>
    <w:p w:rsidR="005B48B8" w:rsidRDefault="005B48B8" w:rsidP="005B48B8">
      <w:r>
        <w:t>RAN1 should be informed about the possible impact with 10 MHz minimum BW</w:t>
      </w:r>
    </w:p>
    <w:p w:rsidR="005B48B8" w:rsidRPr="005B48B8" w:rsidRDefault="005B48B8" w:rsidP="005B48B8">
      <w:pPr>
        <w:rPr>
          <w:b/>
          <w:i/>
        </w:rPr>
      </w:pPr>
      <w:r>
        <w:rPr>
          <w:b/>
          <w:i/>
        </w:rPr>
        <w:t>Proposal 1</w:t>
      </w:r>
      <w:r w:rsidRPr="005B48B8">
        <w:rPr>
          <w:b/>
          <w:i/>
        </w:rPr>
        <w:t xml:space="preserve">. </w:t>
      </w:r>
      <w:r>
        <w:rPr>
          <w:b/>
          <w:i/>
        </w:rPr>
        <w:t xml:space="preserve">An LS </w:t>
      </w:r>
      <w:r w:rsidR="00A46827">
        <w:rPr>
          <w:b/>
          <w:i/>
        </w:rPr>
        <w:t xml:space="preserve">may be needed to </w:t>
      </w:r>
      <w:r>
        <w:rPr>
          <w:b/>
          <w:i/>
        </w:rPr>
        <w:t>inform RAN1 that 5 MHz BW for 30 kHz SCS for the SSB is not supported</w:t>
      </w:r>
      <w:r w:rsidRPr="005B48B8">
        <w:rPr>
          <w:b/>
          <w:i/>
        </w:rPr>
        <w:t>.</w:t>
      </w:r>
    </w:p>
    <w:p w:rsidR="005B48B8" w:rsidRDefault="00C61756" w:rsidP="005B48B8">
      <w:r>
        <w:t>Each table indicates a multiplex pattern, size of the CORESET, duration of the CORESET, and the starting location of the CORESET with respect to the SSB.</w:t>
      </w:r>
    </w:p>
    <w:p w:rsidR="00CE1560" w:rsidRPr="00CE1560" w:rsidRDefault="00C61756" w:rsidP="00CE1560">
      <w:pPr>
        <w:rPr>
          <w:b/>
          <w:i/>
        </w:rPr>
      </w:pPr>
      <w:r w:rsidRPr="005B48B8">
        <w:rPr>
          <w:b/>
          <w:i/>
        </w:rPr>
        <w:t xml:space="preserve">Observation </w:t>
      </w:r>
      <w:r>
        <w:rPr>
          <w:b/>
          <w:i/>
        </w:rPr>
        <w:t>2</w:t>
      </w:r>
      <w:r w:rsidRPr="005B48B8">
        <w:rPr>
          <w:b/>
          <w:i/>
        </w:rPr>
        <w:t xml:space="preserve">. The minimum bandwidth for the </w:t>
      </w:r>
      <w:r>
        <w:rPr>
          <w:b/>
          <w:i/>
        </w:rPr>
        <w:t>RMSI CORESET is 24 RBs (15 kHz SCS).</w:t>
      </w:r>
    </w:p>
    <w:p w:rsidR="00A46827" w:rsidRDefault="00A46827" w:rsidP="00A46827">
      <w:pPr>
        <w:pStyle w:val="Heading2"/>
      </w:pPr>
      <w:r>
        <w:t>Time location</w:t>
      </w:r>
    </w:p>
    <w:p w:rsidR="00CE1560" w:rsidRDefault="00CE1560" w:rsidP="00CE1560">
      <w:r>
        <w:t>There are several implications of the tables:</w:t>
      </w:r>
    </w:p>
    <w:p w:rsidR="00CE1560" w:rsidRDefault="00CE1560" w:rsidP="00CE1560">
      <w:pPr>
        <w:numPr>
          <w:ilvl w:val="0"/>
          <w:numId w:val="24"/>
        </w:numPr>
      </w:pPr>
      <w:r>
        <w:t>If the SSB is 20 PRBs, then there is a bandwidth increase. Either the UE always uses 24 PRBs even for the SSB or performs a BW switch.</w:t>
      </w:r>
    </w:p>
    <w:p w:rsidR="00CE1560" w:rsidRDefault="00CE1560" w:rsidP="00CE1560">
      <w:pPr>
        <w:numPr>
          <w:ilvl w:val="0"/>
          <w:numId w:val="24"/>
        </w:numPr>
      </w:pPr>
      <w:r>
        <w:t>The SSB is not in the center of the RMSI CORESET band. The UE may have to perform a center frequency shift after detecting the SSB.</w:t>
      </w:r>
    </w:p>
    <w:p w:rsidR="00CE1560" w:rsidRDefault="00CE1560" w:rsidP="00CE1560">
      <w:pPr>
        <w:numPr>
          <w:ilvl w:val="0"/>
          <w:numId w:val="24"/>
        </w:numPr>
      </w:pPr>
      <w:r>
        <w:t>Obviously there may be a change in numerology.</w:t>
      </w:r>
    </w:p>
    <w:p w:rsidR="00C61756" w:rsidRDefault="00C61756" w:rsidP="00C61756">
      <w:r>
        <w:t>The time location of the RMSI with respect to the SSB should allow baseband processing time as well as time for any switching operation.</w:t>
      </w:r>
      <w:r w:rsidR="00F6191D">
        <w:t xml:space="preserve"> There is some discussion in section 13</w:t>
      </w:r>
      <w:r w:rsidR="00F6191D" w:rsidRPr="00F6191D">
        <w:t xml:space="preserve"> </w:t>
      </w:r>
      <w:r w:rsidR="00F6191D">
        <w:t xml:space="preserve">of 38.213 </w:t>
      </w:r>
      <w:r w:rsidR="00F6191D">
        <w:fldChar w:fldCharType="begin"/>
      </w:r>
      <w:r w:rsidR="00F6191D">
        <w:instrText xml:space="preserve"> REF _Ref505841133 \r \h </w:instrText>
      </w:r>
      <w:r w:rsidR="00F6191D">
        <w:fldChar w:fldCharType="separate"/>
      </w:r>
      <w:r w:rsidR="00A46827">
        <w:t>[3]</w:t>
      </w:r>
      <w:r w:rsidR="00F6191D">
        <w:fldChar w:fldCharType="end"/>
      </w:r>
      <w:r w:rsidR="00F6191D">
        <w:t>.</w:t>
      </w:r>
      <w:r w:rsidR="00A46827">
        <w:t xml:space="preserve"> The list of tables in summarized in </w:t>
      </w:r>
      <w:r w:rsidR="00A46827">
        <w:fldChar w:fldCharType="begin"/>
      </w:r>
      <w:r w:rsidR="00A46827">
        <w:instrText xml:space="preserve"> REF _Ref506802369 \h </w:instrText>
      </w:r>
      <w:r w:rsidR="00A46827">
        <w:fldChar w:fldCharType="separate"/>
      </w:r>
      <w:r w:rsidR="00A46827">
        <w:t xml:space="preserve">Table </w:t>
      </w:r>
      <w:r w:rsidR="00A46827">
        <w:rPr>
          <w:noProof/>
        </w:rPr>
        <w:t>2</w:t>
      </w:r>
      <w:r w:rsidR="00A46827">
        <w:fldChar w:fldCharType="end"/>
      </w:r>
      <w:r w:rsidR="00A46827">
        <w:t>.</w:t>
      </w:r>
    </w:p>
    <w:p w:rsidR="00F6191D" w:rsidRPr="00EE28CA" w:rsidRDefault="00F6191D" w:rsidP="00F6191D">
      <w:pPr>
        <w:ind w:left="432"/>
        <w:jc w:val="left"/>
        <w:rPr>
          <w:i/>
          <w:sz w:val="18"/>
        </w:rPr>
      </w:pPr>
      <w:r w:rsidRPr="00EE28CA">
        <w:rPr>
          <w:i/>
          <w:sz w:val="18"/>
        </w:rPr>
        <w:t xml:space="preserve">For the SS/PBCH block and control resource set (CORESET) multiplexing pattern 1, a UE monitors PDCCH in the Type0-PDCCH common search space over two consecutive slots starting from </w:t>
      </w:r>
      <w:proofErr w:type="gramStart"/>
      <w:r w:rsidRPr="00EE28CA">
        <w:rPr>
          <w:i/>
          <w:sz w:val="18"/>
        </w:rPr>
        <w:t xml:space="preserve">slot </w:t>
      </w:r>
      <w:proofErr w:type="gramEnd"/>
      <w:r w:rsidRPr="00EE28CA">
        <w:rPr>
          <w:i/>
          <w:position w:val="-10"/>
          <w:sz w:val="18"/>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45pt" o:ole="">
            <v:imagedata r:id="rId6" o:title=""/>
          </v:shape>
          <o:OLEObject Type="Embed" ProgID="Equation.3" ShapeID="_x0000_i1025" DrawAspect="Content" ObjectID="_1580547956" r:id="rId7"/>
        </w:object>
      </w:r>
      <w:r w:rsidRPr="00EE28CA">
        <w:rPr>
          <w:i/>
          <w:sz w:val="18"/>
        </w:rPr>
        <w:t xml:space="preserve">. For SS/PBCH block with </w:t>
      </w:r>
      <w:proofErr w:type="gramStart"/>
      <w:r w:rsidRPr="00EE28CA">
        <w:rPr>
          <w:i/>
          <w:sz w:val="18"/>
        </w:rPr>
        <w:t xml:space="preserve">index </w:t>
      </w:r>
      <w:proofErr w:type="gramEnd"/>
      <w:r w:rsidRPr="00EE28CA">
        <w:rPr>
          <w:i/>
          <w:position w:val="-6"/>
          <w:sz w:val="18"/>
        </w:rPr>
        <w:object w:dxaOrig="139" w:dyaOrig="240">
          <v:shape id="_x0000_i1026" type="#_x0000_t75" style="width:6.85pt;height:12pt" o:ole="">
            <v:imagedata r:id="rId8" o:title=""/>
          </v:shape>
          <o:OLEObject Type="Embed" ProgID="Equation.3" ShapeID="_x0000_i1026" DrawAspect="Content" ObjectID="_1580547957" r:id="rId9"/>
        </w:object>
      </w:r>
      <w:r w:rsidRPr="00EE28CA">
        <w:rPr>
          <w:i/>
          <w:sz w:val="18"/>
        </w:rPr>
        <w:t xml:space="preserve">, the UE determines an index of slot </w:t>
      </w:r>
      <w:r w:rsidRPr="00EE28CA">
        <w:rPr>
          <w:i/>
          <w:position w:val="-10"/>
          <w:sz w:val="18"/>
        </w:rPr>
        <w:object w:dxaOrig="240" w:dyaOrig="300">
          <v:shape id="_x0000_i1027" type="#_x0000_t75" style="width:12pt;height:15.45pt" o:ole="">
            <v:imagedata r:id="rId6" o:title=""/>
          </v:shape>
          <o:OLEObject Type="Embed" ProgID="Equation.3" ShapeID="_x0000_i1027" DrawAspect="Content" ObjectID="_1580547958" r:id="rId10"/>
        </w:object>
      </w:r>
      <w:r w:rsidRPr="00EE28CA">
        <w:rPr>
          <w:i/>
          <w:sz w:val="18"/>
        </w:rPr>
        <w:t xml:space="preserve"> as </w:t>
      </w:r>
      <w:r w:rsidRPr="00EE28CA">
        <w:rPr>
          <w:i/>
          <w:position w:val="-10"/>
          <w:sz w:val="18"/>
        </w:rPr>
        <w:object w:dxaOrig="2720" w:dyaOrig="340">
          <v:shape id="_x0000_i1028" type="#_x0000_t75" style="width:136.3pt;height:17.15pt" o:ole="">
            <v:imagedata r:id="rId11" o:title=""/>
          </v:shape>
          <o:OLEObject Type="Embed" ProgID="Equation.3" ShapeID="_x0000_i1028" DrawAspect="Content" ObjectID="_1580547959" r:id="rId12"/>
        </w:object>
      </w:r>
      <w:r w:rsidRPr="00EE28CA">
        <w:rPr>
          <w:i/>
          <w:sz w:val="18"/>
        </w:rPr>
        <w:t xml:space="preserve"> located in a frame with system frame number (SFN) </w:t>
      </w:r>
      <w:r w:rsidRPr="00EE28CA">
        <w:rPr>
          <w:i/>
          <w:position w:val="-10"/>
          <w:sz w:val="18"/>
        </w:rPr>
        <w:object w:dxaOrig="540" w:dyaOrig="300">
          <v:shape id="_x0000_i1029" type="#_x0000_t75" style="width:27pt;height:15.45pt" o:ole="">
            <v:imagedata r:id="rId13" o:title=""/>
          </v:shape>
          <o:OLEObject Type="Embed" ProgID="Equation.3" ShapeID="_x0000_i1029" DrawAspect="Content" ObjectID="_1580547960" r:id="rId14"/>
        </w:object>
      </w:r>
      <w:r w:rsidRPr="00EE28CA">
        <w:rPr>
          <w:i/>
          <w:sz w:val="18"/>
        </w:rPr>
        <w:t xml:space="preserve"> satisfying </w:t>
      </w:r>
      <w:r w:rsidRPr="00EE28CA">
        <w:rPr>
          <w:i/>
          <w:position w:val="-10"/>
          <w:sz w:val="18"/>
        </w:rPr>
        <w:object w:dxaOrig="1380" w:dyaOrig="300">
          <v:shape id="_x0000_i1030" type="#_x0000_t75" style="width:69pt;height:15.45pt" o:ole="">
            <v:imagedata r:id="rId15" o:title=""/>
          </v:shape>
          <o:OLEObject Type="Embed" ProgID="Equation.3" ShapeID="_x0000_i1030" DrawAspect="Content" ObjectID="_1580547961" r:id="rId16"/>
        </w:object>
      </w:r>
      <w:r w:rsidRPr="00EE28CA">
        <w:rPr>
          <w:i/>
          <w:sz w:val="18"/>
        </w:rPr>
        <w:t xml:space="preserve"> if </w:t>
      </w:r>
      <w:r w:rsidRPr="00EE28CA">
        <w:rPr>
          <w:i/>
          <w:position w:val="-10"/>
          <w:sz w:val="18"/>
        </w:rPr>
        <w:object w:dxaOrig="2980" w:dyaOrig="340">
          <v:shape id="_x0000_i1031" type="#_x0000_t75" style="width:149.15pt;height:17.15pt" o:ole="">
            <v:imagedata r:id="rId17" o:title=""/>
          </v:shape>
          <o:OLEObject Type="Embed" ProgID="Equation.3" ShapeID="_x0000_i1031" DrawAspect="Content" ObjectID="_1580547962" r:id="rId18"/>
        </w:object>
      </w:r>
      <w:r w:rsidRPr="00EE28CA">
        <w:rPr>
          <w:i/>
          <w:sz w:val="18"/>
        </w:rPr>
        <w:t xml:space="preserve"> or in a frame with SFN satisfying </w:t>
      </w:r>
      <w:r w:rsidRPr="00EE28CA">
        <w:rPr>
          <w:i/>
          <w:position w:val="-10"/>
          <w:sz w:val="18"/>
        </w:rPr>
        <w:object w:dxaOrig="1320" w:dyaOrig="300">
          <v:shape id="_x0000_i1032" type="#_x0000_t75" style="width:65.15pt;height:15.45pt" o:ole="">
            <v:imagedata r:id="rId19" o:title=""/>
          </v:shape>
          <o:OLEObject Type="Embed" ProgID="Equation.3" ShapeID="_x0000_i1032" DrawAspect="Content" ObjectID="_1580547963" r:id="rId20"/>
        </w:object>
      </w:r>
      <w:r w:rsidRPr="00EE28CA">
        <w:rPr>
          <w:i/>
          <w:sz w:val="18"/>
        </w:rPr>
        <w:t xml:space="preserve"> if </w:t>
      </w:r>
      <w:r w:rsidRPr="00EE28CA">
        <w:rPr>
          <w:i/>
          <w:position w:val="-10"/>
          <w:sz w:val="18"/>
        </w:rPr>
        <w:object w:dxaOrig="2940" w:dyaOrig="340">
          <v:shape id="_x0000_i1033" type="#_x0000_t75" style="width:147.85pt;height:17.15pt" o:ole="">
            <v:imagedata r:id="rId21" o:title=""/>
          </v:shape>
          <o:OLEObject Type="Embed" ProgID="Equation.3" ShapeID="_x0000_i1033" DrawAspect="Content" ObjectID="_1580547964" r:id="rId22"/>
        </w:object>
      </w:r>
      <w:r w:rsidRPr="00EE28CA">
        <w:rPr>
          <w:i/>
          <w:sz w:val="18"/>
        </w:rPr>
        <w:t xml:space="preserve">. </w:t>
      </w:r>
      <w:r w:rsidRPr="00EE28CA">
        <w:rPr>
          <w:i/>
          <w:position w:val="-4"/>
          <w:sz w:val="18"/>
        </w:rPr>
        <w:object w:dxaOrig="279" w:dyaOrig="220">
          <v:shape id="_x0000_i1034" type="#_x0000_t75" style="width:14.15pt;height:11.15pt" o:ole="">
            <v:imagedata r:id="rId23" o:title=""/>
          </v:shape>
          <o:OLEObject Type="Embed" ProgID="Equation.3" ShapeID="_x0000_i1034" DrawAspect="Content" ObjectID="_1580547965" r:id="rId24"/>
        </w:object>
      </w:r>
      <w:r w:rsidRPr="00EE28CA">
        <w:rPr>
          <w:i/>
          <w:sz w:val="18"/>
        </w:rPr>
        <w:t xml:space="preserve"> </w:t>
      </w:r>
      <w:proofErr w:type="gramStart"/>
      <w:r w:rsidRPr="00EE28CA">
        <w:rPr>
          <w:i/>
          <w:sz w:val="18"/>
        </w:rPr>
        <w:t>and</w:t>
      </w:r>
      <w:proofErr w:type="gramEnd"/>
      <w:r w:rsidRPr="00EE28CA">
        <w:rPr>
          <w:i/>
          <w:sz w:val="18"/>
        </w:rPr>
        <w:t xml:space="preserve"> </w:t>
      </w:r>
      <w:r w:rsidRPr="00EE28CA">
        <w:rPr>
          <w:i/>
          <w:position w:val="-6"/>
          <w:sz w:val="18"/>
        </w:rPr>
        <w:object w:dxaOrig="220" w:dyaOrig="240">
          <v:shape id="_x0000_i1035" type="#_x0000_t75" style="width:10.7pt;height:12pt" o:ole="">
            <v:imagedata r:id="rId25" o:title=""/>
          </v:shape>
          <o:OLEObject Type="Embed" ProgID="Equation.3" ShapeID="_x0000_i1035" DrawAspect="Content" ObjectID="_1580547966" r:id="rId26"/>
        </w:object>
      </w:r>
      <w:r w:rsidRPr="00EE28CA">
        <w:rPr>
          <w:i/>
          <w:sz w:val="18"/>
        </w:rPr>
        <w:t xml:space="preserve"> are provided by Tables 13-11 and 13-12, and </w:t>
      </w:r>
      <w:r w:rsidRPr="00EE28CA">
        <w:rPr>
          <w:i/>
          <w:position w:val="-10"/>
          <w:sz w:val="18"/>
        </w:rPr>
        <w:object w:dxaOrig="1080" w:dyaOrig="300">
          <v:shape id="_x0000_i1036" type="#_x0000_t75" style="width:53.55pt;height:15.45pt" o:ole="">
            <v:imagedata r:id="rId27" o:title=""/>
          </v:shape>
          <o:OLEObject Type="Embed" ProgID="Equation.3" ShapeID="_x0000_i1036" DrawAspect="Content" ObjectID="_1580547967" r:id="rId28"/>
        </w:object>
      </w:r>
      <w:r w:rsidRPr="00EE28CA">
        <w:rPr>
          <w:i/>
          <w:sz w:val="18"/>
        </w:rPr>
        <w:t xml:space="preserve"> based on the subcarrier spacing for PDCCH receptions in the control resource set [4, TS 38.211]. The index for the first symbol of the control resource set in slot </w:t>
      </w:r>
      <w:r w:rsidRPr="00EE28CA">
        <w:rPr>
          <w:i/>
          <w:position w:val="-10"/>
          <w:sz w:val="18"/>
        </w:rPr>
        <w:object w:dxaOrig="260" w:dyaOrig="300">
          <v:shape id="_x0000_i1037" type="#_x0000_t75" style="width:13.3pt;height:15.45pt" o:ole="">
            <v:imagedata r:id="rId29" o:title=""/>
          </v:shape>
          <o:OLEObject Type="Embed" ProgID="Equation.3" ShapeID="_x0000_i1037" DrawAspect="Content" ObjectID="_1580547968" r:id="rId30"/>
        </w:object>
      </w:r>
      <w:r w:rsidRPr="00EE28CA">
        <w:rPr>
          <w:i/>
          <w:sz w:val="18"/>
        </w:rPr>
        <w:t xml:space="preserve"> is the first symbol index provided by Tables 13-11 and 13-12.</w:t>
      </w:r>
    </w:p>
    <w:p w:rsidR="00F6191D" w:rsidRPr="00EE28CA" w:rsidRDefault="00F6191D" w:rsidP="00F6191D">
      <w:pPr>
        <w:ind w:left="432"/>
        <w:jc w:val="left"/>
        <w:rPr>
          <w:i/>
          <w:sz w:val="18"/>
        </w:rPr>
      </w:pPr>
      <w:r w:rsidRPr="00EE28CA">
        <w:rPr>
          <w:i/>
          <w:sz w:val="18"/>
        </w:rPr>
        <w:t xml:space="preserve">For the SS/PBCH block and control resource set multiplexing patterns 2 and 3, a UE monitors PDCCH in the Type0-PDCCH common search space over one slot with Type0-PDCCH common search space periodicity equal to the periodicity of SS/PBCH block. For a SS/PBCH block with </w:t>
      </w:r>
      <w:proofErr w:type="gramStart"/>
      <w:r w:rsidRPr="00EE28CA">
        <w:rPr>
          <w:i/>
          <w:sz w:val="18"/>
        </w:rPr>
        <w:t xml:space="preserve">index </w:t>
      </w:r>
      <w:proofErr w:type="gramEnd"/>
      <w:r w:rsidRPr="00EE28CA">
        <w:rPr>
          <w:i/>
          <w:position w:val="-6"/>
          <w:sz w:val="18"/>
        </w:rPr>
        <w:object w:dxaOrig="139" w:dyaOrig="240">
          <v:shape id="_x0000_i1038" type="#_x0000_t75" style="width:6.85pt;height:12pt" o:ole="">
            <v:imagedata r:id="rId8" o:title=""/>
          </v:shape>
          <o:OLEObject Type="Embed" ProgID="Equation.3" ShapeID="_x0000_i1038" DrawAspect="Content" ObjectID="_1580547969" r:id="rId31"/>
        </w:object>
      </w:r>
      <w:r w:rsidRPr="00EE28CA">
        <w:rPr>
          <w:i/>
          <w:sz w:val="18"/>
        </w:rPr>
        <w:t xml:space="preserve">, the UE determines the slot index </w:t>
      </w:r>
      <w:r w:rsidRPr="00EE28CA">
        <w:rPr>
          <w:i/>
          <w:position w:val="-12"/>
          <w:sz w:val="18"/>
        </w:rPr>
        <w:object w:dxaOrig="279" w:dyaOrig="360">
          <v:shape id="_x0000_i1039" type="#_x0000_t75" style="width:11.55pt;height:15.45pt" o:ole="">
            <v:imagedata r:id="rId32" o:title=""/>
          </v:shape>
          <o:OLEObject Type="Embed" ProgID="Equation.DSMT4" ShapeID="_x0000_i1039" DrawAspect="Content" ObjectID="_1580547970" r:id="rId33"/>
        </w:object>
      </w:r>
      <w:r w:rsidRPr="00EE28CA">
        <w:rPr>
          <w:i/>
          <w:sz w:val="18"/>
        </w:rPr>
        <w:t xml:space="preserve"> and </w:t>
      </w:r>
      <w:r w:rsidRPr="00EE28CA">
        <w:rPr>
          <w:i/>
          <w:position w:val="-10"/>
          <w:sz w:val="18"/>
        </w:rPr>
        <w:object w:dxaOrig="540" w:dyaOrig="300">
          <v:shape id="_x0000_i1040" type="#_x0000_t75" style="width:27pt;height:15.45pt" o:ole="">
            <v:imagedata r:id="rId34" o:title=""/>
          </v:shape>
          <o:OLEObject Type="Embed" ProgID="Equation.3" ShapeID="_x0000_i1040" DrawAspect="Content" ObjectID="_1580547971" r:id="rId35"/>
        </w:object>
      </w:r>
      <w:r w:rsidRPr="00EE28CA">
        <w:rPr>
          <w:i/>
          <w:sz w:val="18"/>
        </w:rPr>
        <w:t xml:space="preserve"> based on parameter provided by Tables 13-13 through 13-15.</w:t>
      </w:r>
    </w:p>
    <w:p w:rsidR="00F6191D" w:rsidRDefault="00F6191D" w:rsidP="00F6191D">
      <w:pPr>
        <w:pStyle w:val="Caption"/>
        <w:keepNext/>
      </w:pPr>
      <w:bookmarkStart w:id="5" w:name="_Ref506802369"/>
      <w:r>
        <w:t xml:space="preserve">Table </w:t>
      </w:r>
      <w:fldSimple w:instr=" SEQ Table \* ARABIC ">
        <w:r w:rsidR="00A46827">
          <w:rPr>
            <w:noProof/>
          </w:rPr>
          <w:t>2</w:t>
        </w:r>
      </w:fldSimple>
      <w:bookmarkEnd w:id="5"/>
      <w:r>
        <w:t xml:space="preserve">. Tables for </w:t>
      </w:r>
      <w:r w:rsidR="00A46827">
        <w:t>timing</w:t>
      </w:r>
    </w:p>
    <w:tbl>
      <w:tblPr>
        <w:tblStyle w:val="TableGrid"/>
        <w:tblW w:w="0" w:type="auto"/>
        <w:tblLook w:val="04A0" w:firstRow="1" w:lastRow="0" w:firstColumn="1" w:lastColumn="0" w:noHBand="0" w:noVBand="1"/>
      </w:tblPr>
      <w:tblGrid>
        <w:gridCol w:w="863"/>
        <w:gridCol w:w="4335"/>
        <w:gridCol w:w="1018"/>
        <w:gridCol w:w="1017"/>
        <w:gridCol w:w="1020"/>
        <w:gridCol w:w="1097"/>
      </w:tblGrid>
      <w:tr w:rsidR="00F6191D" w:rsidRPr="00ED396B" w:rsidTr="00F6191D">
        <w:tc>
          <w:tcPr>
            <w:tcW w:w="863" w:type="dxa"/>
          </w:tcPr>
          <w:p w:rsidR="00F6191D" w:rsidRPr="00ED396B" w:rsidRDefault="00F6191D" w:rsidP="005A17F0">
            <w:pPr>
              <w:pStyle w:val="TableCell0"/>
              <w:rPr>
                <w:b/>
                <w:sz w:val="16"/>
              </w:rPr>
            </w:pPr>
            <w:r w:rsidRPr="00ED396B">
              <w:rPr>
                <w:b/>
                <w:sz w:val="16"/>
              </w:rPr>
              <w:t>Table</w:t>
            </w:r>
          </w:p>
        </w:tc>
        <w:tc>
          <w:tcPr>
            <w:tcW w:w="4335" w:type="dxa"/>
          </w:tcPr>
          <w:p w:rsidR="00F6191D" w:rsidRPr="00ED396B" w:rsidRDefault="00F6191D" w:rsidP="005A17F0">
            <w:pPr>
              <w:pStyle w:val="TableCell0"/>
              <w:rPr>
                <w:b/>
                <w:sz w:val="16"/>
              </w:rPr>
            </w:pPr>
            <w:r w:rsidRPr="00ED396B">
              <w:rPr>
                <w:b/>
                <w:sz w:val="16"/>
              </w:rPr>
              <w:t>Title</w:t>
            </w:r>
          </w:p>
        </w:tc>
        <w:tc>
          <w:tcPr>
            <w:tcW w:w="1018" w:type="dxa"/>
          </w:tcPr>
          <w:p w:rsidR="00F6191D" w:rsidRPr="00ED396B" w:rsidRDefault="00F6191D" w:rsidP="005A17F0">
            <w:pPr>
              <w:pStyle w:val="TableCell0"/>
              <w:rPr>
                <w:b/>
                <w:sz w:val="16"/>
              </w:rPr>
            </w:pPr>
            <w:r w:rsidRPr="00ED396B">
              <w:rPr>
                <w:b/>
                <w:sz w:val="16"/>
              </w:rPr>
              <w:t>Band</w:t>
            </w:r>
          </w:p>
        </w:tc>
        <w:tc>
          <w:tcPr>
            <w:tcW w:w="1017" w:type="dxa"/>
          </w:tcPr>
          <w:p w:rsidR="00F6191D" w:rsidRPr="00ED396B" w:rsidRDefault="00F6191D" w:rsidP="005A17F0">
            <w:pPr>
              <w:pStyle w:val="TableCell0"/>
              <w:rPr>
                <w:b/>
                <w:sz w:val="16"/>
              </w:rPr>
            </w:pPr>
            <w:r w:rsidRPr="00ED396B">
              <w:rPr>
                <w:b/>
                <w:sz w:val="16"/>
              </w:rPr>
              <w:t>SCS SS, kHz</w:t>
            </w:r>
          </w:p>
        </w:tc>
        <w:tc>
          <w:tcPr>
            <w:tcW w:w="1020" w:type="dxa"/>
          </w:tcPr>
          <w:p w:rsidR="00F6191D" w:rsidRPr="00ED396B" w:rsidRDefault="00F6191D" w:rsidP="005A17F0">
            <w:pPr>
              <w:pStyle w:val="TableCell0"/>
              <w:rPr>
                <w:b/>
                <w:sz w:val="16"/>
              </w:rPr>
            </w:pPr>
            <w:r w:rsidRPr="00ED396B">
              <w:rPr>
                <w:b/>
                <w:sz w:val="16"/>
              </w:rPr>
              <w:t>SCS RMSI, kHz</w:t>
            </w:r>
          </w:p>
        </w:tc>
        <w:tc>
          <w:tcPr>
            <w:tcW w:w="1097" w:type="dxa"/>
          </w:tcPr>
          <w:p w:rsidR="00F6191D" w:rsidRPr="00ED396B" w:rsidRDefault="00F6191D" w:rsidP="005A17F0">
            <w:pPr>
              <w:pStyle w:val="TableCell0"/>
              <w:rPr>
                <w:b/>
                <w:sz w:val="16"/>
              </w:rPr>
            </w:pPr>
            <w:r>
              <w:rPr>
                <w:b/>
                <w:sz w:val="16"/>
              </w:rPr>
              <w:t>Multiplexing Pattern</w:t>
            </w:r>
          </w:p>
        </w:tc>
      </w:tr>
      <w:tr w:rsidR="00F6191D" w:rsidRPr="00ED396B" w:rsidTr="00F6191D">
        <w:tc>
          <w:tcPr>
            <w:tcW w:w="863" w:type="dxa"/>
          </w:tcPr>
          <w:p w:rsidR="00F6191D" w:rsidRPr="00ED396B" w:rsidRDefault="00F6191D" w:rsidP="005A17F0">
            <w:pPr>
              <w:pStyle w:val="TableCell0"/>
              <w:rPr>
                <w:sz w:val="16"/>
              </w:rPr>
            </w:pPr>
            <w:r w:rsidRPr="00ED396B">
              <w:rPr>
                <w:sz w:val="16"/>
              </w:rPr>
              <w:t>13-1</w:t>
            </w:r>
            <w:r>
              <w:rPr>
                <w:sz w:val="16"/>
              </w:rPr>
              <w:t>1</w:t>
            </w:r>
          </w:p>
        </w:tc>
        <w:tc>
          <w:tcPr>
            <w:tcW w:w="4335" w:type="dxa"/>
          </w:tcPr>
          <w:p w:rsidR="00F6191D" w:rsidRPr="00ED396B" w:rsidRDefault="00F6191D" w:rsidP="005A17F0">
            <w:pPr>
              <w:pStyle w:val="TableCell0"/>
              <w:rPr>
                <w:sz w:val="16"/>
              </w:rPr>
            </w:pPr>
            <w:r w:rsidRPr="00F6191D">
              <w:rPr>
                <w:sz w:val="16"/>
              </w:rPr>
              <w:t>Parameters for PDCCH monitoring occasions for Type0-PDCCH common search space - SS/PBCH block and control resource set multiplexing pattern 1 and frequency range 1</w:t>
            </w:r>
          </w:p>
        </w:tc>
        <w:tc>
          <w:tcPr>
            <w:tcW w:w="1018" w:type="dxa"/>
          </w:tcPr>
          <w:p w:rsidR="00F6191D" w:rsidRPr="00ED396B" w:rsidRDefault="00F6191D" w:rsidP="005A17F0">
            <w:pPr>
              <w:pStyle w:val="TableCell0"/>
              <w:rPr>
                <w:sz w:val="16"/>
              </w:rPr>
            </w:pPr>
            <w:r w:rsidRPr="00ED396B">
              <w:rPr>
                <w:sz w:val="16"/>
              </w:rPr>
              <w:t>FR1</w:t>
            </w:r>
          </w:p>
        </w:tc>
        <w:tc>
          <w:tcPr>
            <w:tcW w:w="1017" w:type="dxa"/>
          </w:tcPr>
          <w:p w:rsidR="00F6191D" w:rsidRPr="00ED396B" w:rsidRDefault="00F6191D" w:rsidP="005A17F0">
            <w:pPr>
              <w:pStyle w:val="TableCell0"/>
              <w:rPr>
                <w:sz w:val="16"/>
              </w:rPr>
            </w:pPr>
            <w:r w:rsidRPr="00ED396B">
              <w:rPr>
                <w:sz w:val="16"/>
              </w:rPr>
              <w:t>15</w:t>
            </w:r>
          </w:p>
        </w:tc>
        <w:tc>
          <w:tcPr>
            <w:tcW w:w="1020" w:type="dxa"/>
          </w:tcPr>
          <w:p w:rsidR="00F6191D" w:rsidRPr="00ED396B" w:rsidRDefault="00F6191D" w:rsidP="005A17F0">
            <w:pPr>
              <w:pStyle w:val="TableCell0"/>
              <w:rPr>
                <w:sz w:val="16"/>
              </w:rPr>
            </w:pPr>
            <w:r w:rsidRPr="00ED396B">
              <w:rPr>
                <w:sz w:val="16"/>
              </w:rPr>
              <w:t>15</w:t>
            </w:r>
          </w:p>
        </w:tc>
        <w:tc>
          <w:tcPr>
            <w:tcW w:w="1097" w:type="dxa"/>
          </w:tcPr>
          <w:p w:rsidR="00F6191D" w:rsidRPr="00ED396B" w:rsidRDefault="00F6191D" w:rsidP="005A17F0">
            <w:pPr>
              <w:pStyle w:val="TableCell0"/>
              <w:rPr>
                <w:sz w:val="16"/>
              </w:rPr>
            </w:pPr>
            <w:r>
              <w:rPr>
                <w:sz w:val="16"/>
              </w:rPr>
              <w:t>1</w:t>
            </w:r>
          </w:p>
        </w:tc>
      </w:tr>
      <w:tr w:rsidR="00F6191D" w:rsidRPr="00ED396B" w:rsidTr="00F6191D">
        <w:tc>
          <w:tcPr>
            <w:tcW w:w="863" w:type="dxa"/>
          </w:tcPr>
          <w:p w:rsidR="00F6191D" w:rsidRPr="00ED396B" w:rsidRDefault="00F6191D" w:rsidP="005A17F0">
            <w:pPr>
              <w:pStyle w:val="TableCell0"/>
              <w:rPr>
                <w:sz w:val="16"/>
              </w:rPr>
            </w:pPr>
            <w:r w:rsidRPr="00ED396B">
              <w:rPr>
                <w:sz w:val="16"/>
              </w:rPr>
              <w:t>13-</w:t>
            </w:r>
            <w:r>
              <w:rPr>
                <w:sz w:val="16"/>
              </w:rPr>
              <w:t>12</w:t>
            </w:r>
          </w:p>
        </w:tc>
        <w:tc>
          <w:tcPr>
            <w:tcW w:w="4335" w:type="dxa"/>
          </w:tcPr>
          <w:p w:rsidR="00F6191D" w:rsidRPr="00F6191D" w:rsidRDefault="00F6191D" w:rsidP="00F6191D">
            <w:pPr>
              <w:pStyle w:val="TableCell0"/>
              <w:rPr>
                <w:sz w:val="16"/>
              </w:rPr>
            </w:pPr>
            <w:r w:rsidRPr="00F6191D">
              <w:rPr>
                <w:sz w:val="16"/>
              </w:rPr>
              <w:t>Parameters for PDCCH monitoring occasions for Type0-PDCCH common search space - SS/PBCH block and control resource set multiplexing pattern 1 and frequency range 2</w:t>
            </w:r>
          </w:p>
        </w:tc>
        <w:tc>
          <w:tcPr>
            <w:tcW w:w="1018" w:type="dxa"/>
          </w:tcPr>
          <w:p w:rsidR="00F6191D" w:rsidRPr="00ED396B" w:rsidRDefault="00F6191D" w:rsidP="005A17F0">
            <w:pPr>
              <w:pStyle w:val="TableCell0"/>
              <w:rPr>
                <w:sz w:val="16"/>
              </w:rPr>
            </w:pPr>
            <w:r w:rsidRPr="00ED396B">
              <w:rPr>
                <w:sz w:val="16"/>
              </w:rPr>
              <w:t>FR</w:t>
            </w:r>
            <w:r>
              <w:rPr>
                <w:sz w:val="16"/>
              </w:rPr>
              <w:t>2</w:t>
            </w:r>
          </w:p>
        </w:tc>
        <w:tc>
          <w:tcPr>
            <w:tcW w:w="1017" w:type="dxa"/>
          </w:tcPr>
          <w:p w:rsidR="00F6191D" w:rsidRPr="00ED396B" w:rsidRDefault="00F6191D" w:rsidP="005A17F0">
            <w:pPr>
              <w:pStyle w:val="TableCell0"/>
              <w:rPr>
                <w:sz w:val="16"/>
              </w:rPr>
            </w:pPr>
            <w:r w:rsidRPr="00ED396B">
              <w:rPr>
                <w:sz w:val="16"/>
              </w:rPr>
              <w:t>15</w:t>
            </w:r>
          </w:p>
        </w:tc>
        <w:tc>
          <w:tcPr>
            <w:tcW w:w="1020" w:type="dxa"/>
          </w:tcPr>
          <w:p w:rsidR="00F6191D" w:rsidRPr="00ED396B" w:rsidRDefault="00F6191D" w:rsidP="005A17F0">
            <w:pPr>
              <w:pStyle w:val="TableCell0"/>
              <w:rPr>
                <w:sz w:val="16"/>
              </w:rPr>
            </w:pPr>
            <w:r w:rsidRPr="00ED396B">
              <w:rPr>
                <w:sz w:val="16"/>
              </w:rPr>
              <w:t>30</w:t>
            </w:r>
          </w:p>
        </w:tc>
        <w:tc>
          <w:tcPr>
            <w:tcW w:w="1097" w:type="dxa"/>
          </w:tcPr>
          <w:p w:rsidR="00F6191D" w:rsidRPr="00ED396B" w:rsidRDefault="00F6191D" w:rsidP="005A17F0">
            <w:pPr>
              <w:pStyle w:val="TableCell0"/>
              <w:rPr>
                <w:sz w:val="16"/>
              </w:rPr>
            </w:pPr>
            <w:r>
              <w:rPr>
                <w:sz w:val="16"/>
              </w:rPr>
              <w:t>1</w:t>
            </w:r>
          </w:p>
        </w:tc>
      </w:tr>
      <w:tr w:rsidR="00F6191D" w:rsidRPr="00ED396B" w:rsidTr="00F6191D">
        <w:tc>
          <w:tcPr>
            <w:tcW w:w="863" w:type="dxa"/>
          </w:tcPr>
          <w:p w:rsidR="00F6191D" w:rsidRPr="00ED396B" w:rsidRDefault="00F6191D" w:rsidP="005A17F0">
            <w:pPr>
              <w:pStyle w:val="TableCell0"/>
              <w:rPr>
                <w:sz w:val="16"/>
              </w:rPr>
            </w:pPr>
            <w:r>
              <w:rPr>
                <w:sz w:val="16"/>
              </w:rPr>
              <w:t>13-13</w:t>
            </w:r>
          </w:p>
        </w:tc>
        <w:tc>
          <w:tcPr>
            <w:tcW w:w="4335" w:type="dxa"/>
          </w:tcPr>
          <w:p w:rsidR="00F6191D" w:rsidRPr="00F6191D" w:rsidRDefault="00F6191D" w:rsidP="00F6191D">
            <w:pPr>
              <w:pStyle w:val="TableCell0"/>
              <w:rPr>
                <w:sz w:val="16"/>
              </w:rPr>
            </w:pPr>
            <w:r w:rsidRPr="00F6191D">
              <w:rPr>
                <w:sz w:val="16"/>
              </w:rPr>
              <w:t xml:space="preserve">PDCCH monitoring occasions for Type0-PDCCH common search space - SS/PBCH block and control resource set multiplexing pattern 2 and {SS/PBCH block, PDCCH} subcarrier spacing {120, 60} kHz </w:t>
            </w:r>
          </w:p>
        </w:tc>
        <w:tc>
          <w:tcPr>
            <w:tcW w:w="1018" w:type="dxa"/>
          </w:tcPr>
          <w:p w:rsidR="00F6191D" w:rsidRPr="00ED396B" w:rsidRDefault="00F6191D" w:rsidP="005A17F0">
            <w:pPr>
              <w:pStyle w:val="TableCell0"/>
              <w:rPr>
                <w:sz w:val="16"/>
              </w:rPr>
            </w:pPr>
            <w:r>
              <w:rPr>
                <w:sz w:val="16"/>
              </w:rPr>
              <w:t>FR2</w:t>
            </w:r>
          </w:p>
        </w:tc>
        <w:tc>
          <w:tcPr>
            <w:tcW w:w="1017" w:type="dxa"/>
          </w:tcPr>
          <w:p w:rsidR="00F6191D" w:rsidRPr="00ED396B" w:rsidRDefault="00F6191D" w:rsidP="005A17F0">
            <w:pPr>
              <w:pStyle w:val="TableCell0"/>
              <w:rPr>
                <w:sz w:val="16"/>
              </w:rPr>
            </w:pPr>
            <w:r>
              <w:rPr>
                <w:sz w:val="16"/>
              </w:rPr>
              <w:t>120</w:t>
            </w:r>
          </w:p>
        </w:tc>
        <w:tc>
          <w:tcPr>
            <w:tcW w:w="1020" w:type="dxa"/>
          </w:tcPr>
          <w:p w:rsidR="00F6191D" w:rsidRPr="00ED396B" w:rsidRDefault="00F6191D" w:rsidP="005A17F0">
            <w:pPr>
              <w:pStyle w:val="TableCell0"/>
              <w:rPr>
                <w:sz w:val="16"/>
              </w:rPr>
            </w:pPr>
            <w:r>
              <w:rPr>
                <w:sz w:val="16"/>
              </w:rPr>
              <w:t>60</w:t>
            </w:r>
          </w:p>
        </w:tc>
        <w:tc>
          <w:tcPr>
            <w:tcW w:w="1097" w:type="dxa"/>
          </w:tcPr>
          <w:p w:rsidR="00F6191D" w:rsidRPr="00ED396B" w:rsidRDefault="00A46827" w:rsidP="005A17F0">
            <w:pPr>
              <w:pStyle w:val="TableCell0"/>
              <w:rPr>
                <w:sz w:val="16"/>
              </w:rPr>
            </w:pPr>
            <w:r>
              <w:rPr>
                <w:sz w:val="16"/>
              </w:rPr>
              <w:t>2</w:t>
            </w:r>
          </w:p>
        </w:tc>
      </w:tr>
      <w:tr w:rsidR="00F6191D" w:rsidRPr="00ED396B" w:rsidTr="00F6191D">
        <w:tc>
          <w:tcPr>
            <w:tcW w:w="863" w:type="dxa"/>
          </w:tcPr>
          <w:p w:rsidR="00F6191D" w:rsidRDefault="00F6191D" w:rsidP="005A17F0">
            <w:pPr>
              <w:pStyle w:val="TableCell0"/>
              <w:rPr>
                <w:sz w:val="16"/>
              </w:rPr>
            </w:pPr>
            <w:r>
              <w:rPr>
                <w:sz w:val="16"/>
              </w:rPr>
              <w:t>13-15</w:t>
            </w:r>
          </w:p>
        </w:tc>
        <w:tc>
          <w:tcPr>
            <w:tcW w:w="4335" w:type="dxa"/>
          </w:tcPr>
          <w:p w:rsidR="00F6191D" w:rsidRPr="00F6191D" w:rsidRDefault="00F6191D" w:rsidP="00F6191D">
            <w:pPr>
              <w:pStyle w:val="TableCell0"/>
              <w:rPr>
                <w:sz w:val="16"/>
              </w:rPr>
            </w:pPr>
            <w:r w:rsidRPr="00F6191D">
              <w:rPr>
                <w:sz w:val="16"/>
              </w:rPr>
              <w:t xml:space="preserve">PDCCH monitoring occasions for Type0-PDCCH common search space - SS/PBCH block and control resource set multiplexing pattern 3 and {SS/PBCH block, PDCCH} subcarrier spacing {120, 120} kHz </w:t>
            </w:r>
          </w:p>
        </w:tc>
        <w:tc>
          <w:tcPr>
            <w:tcW w:w="1018" w:type="dxa"/>
          </w:tcPr>
          <w:p w:rsidR="00F6191D" w:rsidRDefault="00F6191D" w:rsidP="005A17F0">
            <w:pPr>
              <w:pStyle w:val="TableCell0"/>
              <w:rPr>
                <w:sz w:val="16"/>
              </w:rPr>
            </w:pPr>
            <w:r>
              <w:rPr>
                <w:sz w:val="16"/>
              </w:rPr>
              <w:t>FR2</w:t>
            </w:r>
          </w:p>
        </w:tc>
        <w:tc>
          <w:tcPr>
            <w:tcW w:w="1017" w:type="dxa"/>
          </w:tcPr>
          <w:p w:rsidR="00F6191D" w:rsidRDefault="00F6191D" w:rsidP="005A17F0">
            <w:pPr>
              <w:pStyle w:val="TableCell0"/>
              <w:rPr>
                <w:sz w:val="16"/>
              </w:rPr>
            </w:pPr>
            <w:r>
              <w:rPr>
                <w:sz w:val="16"/>
              </w:rPr>
              <w:t>120</w:t>
            </w:r>
          </w:p>
        </w:tc>
        <w:tc>
          <w:tcPr>
            <w:tcW w:w="1020" w:type="dxa"/>
          </w:tcPr>
          <w:p w:rsidR="00F6191D" w:rsidRDefault="00F6191D" w:rsidP="005A17F0">
            <w:pPr>
              <w:pStyle w:val="TableCell0"/>
              <w:rPr>
                <w:sz w:val="16"/>
              </w:rPr>
            </w:pPr>
            <w:r>
              <w:rPr>
                <w:sz w:val="16"/>
              </w:rPr>
              <w:t>120</w:t>
            </w:r>
          </w:p>
        </w:tc>
        <w:tc>
          <w:tcPr>
            <w:tcW w:w="1097" w:type="dxa"/>
          </w:tcPr>
          <w:p w:rsidR="00F6191D" w:rsidRPr="00ED396B" w:rsidRDefault="00A46827" w:rsidP="005A17F0">
            <w:pPr>
              <w:pStyle w:val="TableCell0"/>
              <w:rPr>
                <w:sz w:val="16"/>
              </w:rPr>
            </w:pPr>
            <w:r>
              <w:rPr>
                <w:sz w:val="16"/>
              </w:rPr>
              <w:t>3</w:t>
            </w:r>
          </w:p>
        </w:tc>
      </w:tr>
      <w:tr w:rsidR="00F6191D" w:rsidRPr="00ED396B" w:rsidTr="00F6191D">
        <w:tc>
          <w:tcPr>
            <w:tcW w:w="863" w:type="dxa"/>
          </w:tcPr>
          <w:p w:rsidR="00F6191D" w:rsidRDefault="00F6191D" w:rsidP="005A17F0">
            <w:pPr>
              <w:pStyle w:val="TableCell0"/>
              <w:rPr>
                <w:sz w:val="16"/>
              </w:rPr>
            </w:pPr>
            <w:r>
              <w:rPr>
                <w:sz w:val="16"/>
              </w:rPr>
              <w:t>13-14</w:t>
            </w:r>
          </w:p>
        </w:tc>
        <w:tc>
          <w:tcPr>
            <w:tcW w:w="4335" w:type="dxa"/>
          </w:tcPr>
          <w:p w:rsidR="00F6191D" w:rsidRPr="00F6191D" w:rsidRDefault="00F6191D" w:rsidP="00F6191D">
            <w:pPr>
              <w:pStyle w:val="TableCell0"/>
              <w:rPr>
                <w:sz w:val="16"/>
              </w:rPr>
            </w:pPr>
            <w:r w:rsidRPr="00F6191D">
              <w:rPr>
                <w:sz w:val="16"/>
              </w:rPr>
              <w:t xml:space="preserve">PDCCH monitoring occasions for Type0-PDCCH common search space - SS/PBCH block and control resource set multiplexing pattern 2 and {SS/PBCH block, PDCCH} subcarrier spacing {240, 120} kHz </w:t>
            </w:r>
          </w:p>
        </w:tc>
        <w:tc>
          <w:tcPr>
            <w:tcW w:w="1018" w:type="dxa"/>
          </w:tcPr>
          <w:p w:rsidR="00F6191D" w:rsidRDefault="00F6191D" w:rsidP="005A17F0">
            <w:pPr>
              <w:pStyle w:val="TableCell0"/>
              <w:rPr>
                <w:sz w:val="16"/>
              </w:rPr>
            </w:pPr>
            <w:r>
              <w:rPr>
                <w:sz w:val="16"/>
              </w:rPr>
              <w:t>FR2</w:t>
            </w:r>
          </w:p>
        </w:tc>
        <w:tc>
          <w:tcPr>
            <w:tcW w:w="1017" w:type="dxa"/>
          </w:tcPr>
          <w:p w:rsidR="00F6191D" w:rsidRDefault="00F6191D" w:rsidP="005A17F0">
            <w:pPr>
              <w:pStyle w:val="TableCell0"/>
              <w:rPr>
                <w:sz w:val="16"/>
              </w:rPr>
            </w:pPr>
            <w:r>
              <w:rPr>
                <w:sz w:val="16"/>
              </w:rPr>
              <w:t>240</w:t>
            </w:r>
          </w:p>
        </w:tc>
        <w:tc>
          <w:tcPr>
            <w:tcW w:w="1020" w:type="dxa"/>
          </w:tcPr>
          <w:p w:rsidR="00F6191D" w:rsidRDefault="00F6191D" w:rsidP="005A17F0">
            <w:pPr>
              <w:pStyle w:val="TableCell0"/>
              <w:rPr>
                <w:sz w:val="16"/>
              </w:rPr>
            </w:pPr>
            <w:r>
              <w:rPr>
                <w:sz w:val="16"/>
              </w:rPr>
              <w:t>120</w:t>
            </w:r>
          </w:p>
        </w:tc>
        <w:tc>
          <w:tcPr>
            <w:tcW w:w="1097" w:type="dxa"/>
          </w:tcPr>
          <w:p w:rsidR="00F6191D" w:rsidRPr="00ED396B" w:rsidRDefault="00A46827" w:rsidP="005A17F0">
            <w:pPr>
              <w:pStyle w:val="TableCell0"/>
              <w:rPr>
                <w:sz w:val="16"/>
              </w:rPr>
            </w:pPr>
            <w:r>
              <w:rPr>
                <w:sz w:val="16"/>
              </w:rPr>
              <w:t>2</w:t>
            </w:r>
          </w:p>
        </w:tc>
      </w:tr>
    </w:tbl>
    <w:p w:rsidR="00F6191D" w:rsidRDefault="00F6191D" w:rsidP="00C61756"/>
    <w:p w:rsidR="00A46827" w:rsidRPr="005B48B8" w:rsidRDefault="00A46827" w:rsidP="00A46827">
      <w:pPr>
        <w:rPr>
          <w:b/>
          <w:i/>
        </w:rPr>
      </w:pPr>
      <w:r>
        <w:rPr>
          <w:b/>
          <w:i/>
        </w:rPr>
        <w:t>Proposal 2</w:t>
      </w:r>
      <w:r w:rsidRPr="005B48B8">
        <w:rPr>
          <w:b/>
          <w:i/>
        </w:rPr>
        <w:t xml:space="preserve">. </w:t>
      </w:r>
      <w:r>
        <w:rPr>
          <w:b/>
          <w:i/>
        </w:rPr>
        <w:t>The time between the SSB block and RMSI CORESET should be verified to determine whether the minimum timing values are met.</w:t>
      </w:r>
    </w:p>
    <w:p w:rsidR="00CB48C8" w:rsidRDefault="00CB48C8" w:rsidP="00CB48C8">
      <w:pPr>
        <w:pStyle w:val="Heading1"/>
      </w:pPr>
      <w:r w:rsidRPr="00CF195E">
        <w:t>Conclusions</w:t>
      </w:r>
    </w:p>
    <w:p w:rsidR="00E11E66" w:rsidRDefault="00A46827" w:rsidP="00EE28CA">
      <w:r>
        <w:t>An analysis of 38.213 indicates</w:t>
      </w:r>
      <w:r w:rsidR="00CE1560">
        <w:t>:</w:t>
      </w:r>
    </w:p>
    <w:p w:rsidR="00A46827" w:rsidRPr="005B48B8" w:rsidRDefault="00A46827" w:rsidP="00A46827">
      <w:pPr>
        <w:rPr>
          <w:b/>
          <w:i/>
        </w:rPr>
      </w:pPr>
      <w:r w:rsidRPr="005B48B8">
        <w:rPr>
          <w:b/>
          <w:i/>
        </w:rPr>
        <w:t>Observation 1. The minimum bandwidth for the SSB with 30 kHz SCS is 10 MHz</w:t>
      </w:r>
      <w:r w:rsidR="00496189">
        <w:rPr>
          <w:b/>
          <w:i/>
        </w:rPr>
        <w:t>, not 5 MHz</w:t>
      </w:r>
      <w:r w:rsidRPr="005B48B8">
        <w:rPr>
          <w:b/>
          <w:i/>
        </w:rPr>
        <w:t>.</w:t>
      </w:r>
    </w:p>
    <w:p w:rsidR="00CE1560" w:rsidRPr="005B48B8" w:rsidRDefault="00CE1560" w:rsidP="00CE1560">
      <w:pPr>
        <w:rPr>
          <w:b/>
          <w:i/>
        </w:rPr>
      </w:pPr>
      <w:r w:rsidRPr="005B48B8">
        <w:rPr>
          <w:b/>
          <w:i/>
        </w:rPr>
        <w:t xml:space="preserve">Observation </w:t>
      </w:r>
      <w:r>
        <w:rPr>
          <w:b/>
          <w:i/>
        </w:rPr>
        <w:t>2</w:t>
      </w:r>
      <w:r w:rsidRPr="005B48B8">
        <w:rPr>
          <w:b/>
          <w:i/>
        </w:rPr>
        <w:t xml:space="preserve">. The minimum bandwidth for the </w:t>
      </w:r>
      <w:r>
        <w:rPr>
          <w:b/>
          <w:i/>
        </w:rPr>
        <w:t>RMSI CORESET is 24 RBs (15 kHz SCS).</w:t>
      </w:r>
    </w:p>
    <w:p w:rsidR="00A46827" w:rsidRDefault="00CE1560" w:rsidP="00A46827">
      <w:r>
        <w:t>An LS may be needed.</w:t>
      </w:r>
    </w:p>
    <w:p w:rsidR="00A46827" w:rsidRPr="005B48B8" w:rsidRDefault="00A46827" w:rsidP="00A46827">
      <w:pPr>
        <w:rPr>
          <w:b/>
          <w:i/>
        </w:rPr>
      </w:pPr>
      <w:r>
        <w:rPr>
          <w:b/>
          <w:i/>
        </w:rPr>
        <w:t>Proposal 1</w:t>
      </w:r>
      <w:r w:rsidRPr="005B48B8">
        <w:rPr>
          <w:b/>
          <w:i/>
        </w:rPr>
        <w:t xml:space="preserve">. </w:t>
      </w:r>
      <w:r>
        <w:rPr>
          <w:b/>
          <w:i/>
        </w:rPr>
        <w:t>An LS may be needed to inform RAN1 that 5 MHz BW for 30 kHz SCS for the SSB is not supported</w:t>
      </w:r>
      <w:r w:rsidRPr="005B48B8">
        <w:rPr>
          <w:b/>
          <w:i/>
        </w:rPr>
        <w:t>.</w:t>
      </w:r>
    </w:p>
    <w:p w:rsidR="00A46827" w:rsidRDefault="00CE1560" w:rsidP="00A46827">
      <w:r>
        <w:t>Additional analysis is needed to check timing considerations.</w:t>
      </w:r>
    </w:p>
    <w:p w:rsidR="00A46827" w:rsidRPr="005B48B8" w:rsidRDefault="00A46827" w:rsidP="00A46827">
      <w:pPr>
        <w:rPr>
          <w:b/>
          <w:i/>
        </w:rPr>
      </w:pPr>
      <w:r>
        <w:rPr>
          <w:b/>
          <w:i/>
        </w:rPr>
        <w:t>Proposal 2</w:t>
      </w:r>
      <w:r w:rsidRPr="005B48B8">
        <w:rPr>
          <w:b/>
          <w:i/>
        </w:rPr>
        <w:t xml:space="preserve">. </w:t>
      </w:r>
      <w:r>
        <w:rPr>
          <w:b/>
          <w:i/>
        </w:rPr>
        <w:t>The time between the SSB block and RMSI CORESET should be verified to determine whether the minimum timing values are met.</w:t>
      </w:r>
    </w:p>
    <w:p w:rsidR="00CB48C8" w:rsidRPr="00CF195E" w:rsidRDefault="00CB48C8" w:rsidP="00CB48C8">
      <w:pPr>
        <w:pStyle w:val="Heading1"/>
        <w:numPr>
          <w:ilvl w:val="0"/>
          <w:numId w:val="0"/>
        </w:numPr>
        <w:ind w:left="432" w:hanging="432"/>
      </w:pPr>
      <w:bookmarkStart w:id="6" w:name="_Ref124589665"/>
      <w:bookmarkStart w:id="7" w:name="_Ref71620620"/>
      <w:bookmarkStart w:id="8" w:name="_Ref124671424"/>
      <w:r w:rsidRPr="00CF195E">
        <w:t>References</w:t>
      </w:r>
    </w:p>
    <w:p w:rsidR="00CB48C8" w:rsidRDefault="00F5158E" w:rsidP="00F5158E">
      <w:pPr>
        <w:pStyle w:val="References"/>
      </w:pPr>
      <w:bookmarkStart w:id="9" w:name="_Ref505841322"/>
      <w:bookmarkStart w:id="10" w:name="_Ref506799086"/>
      <w:bookmarkStart w:id="11" w:name="_Ref497729980"/>
      <w:bookmarkEnd w:id="4"/>
      <w:bookmarkEnd w:id="6"/>
      <w:bookmarkEnd w:id="7"/>
      <w:bookmarkEnd w:id="8"/>
      <w:r w:rsidRPr="00F5158E">
        <w:t>R4-1801414</w:t>
      </w:r>
      <w:r>
        <w:t>, “</w:t>
      </w:r>
      <w:r w:rsidRPr="00F5158E">
        <w:t>LS on RMSI CORESET configurations</w:t>
      </w:r>
      <w:r>
        <w:t>”</w:t>
      </w:r>
      <w:r w:rsidR="00806653">
        <w:t>, RAN</w:t>
      </w:r>
      <w:r>
        <w:t>1</w:t>
      </w:r>
      <w:r w:rsidR="00806653">
        <w:t>#AH-1801, Jan. 22-26, 2018</w:t>
      </w:r>
      <w:bookmarkEnd w:id="9"/>
      <w:r w:rsidR="008665EF">
        <w:t>.</w:t>
      </w:r>
      <w:bookmarkEnd w:id="10"/>
    </w:p>
    <w:p w:rsidR="0079171B" w:rsidRDefault="00F5158E" w:rsidP="00F5158E">
      <w:pPr>
        <w:pStyle w:val="References"/>
      </w:pPr>
      <w:bookmarkStart w:id="12" w:name="_Ref505841121"/>
      <w:bookmarkStart w:id="13" w:name="_Ref506798909"/>
      <w:r w:rsidRPr="00F5158E">
        <w:t>R4-1714295</w:t>
      </w:r>
      <w:r w:rsidR="001C110F">
        <w:t xml:space="preserve">, </w:t>
      </w:r>
      <w:bookmarkEnd w:id="12"/>
      <w:r>
        <w:t>“</w:t>
      </w:r>
      <w:r w:rsidRPr="00F5158E">
        <w:t>LS on channel raster and SS raster</w:t>
      </w:r>
      <w:r>
        <w:t xml:space="preserve">”, </w:t>
      </w:r>
      <w:r w:rsidRPr="00F5158E">
        <w:t>RAN4, Huawei</w:t>
      </w:r>
      <w:r>
        <w:t>, Nov. 27- Dec. 1, 2017</w:t>
      </w:r>
      <w:bookmarkEnd w:id="13"/>
    </w:p>
    <w:p w:rsidR="001C110F" w:rsidRDefault="001C110F" w:rsidP="001C110F">
      <w:pPr>
        <w:pStyle w:val="References"/>
      </w:pPr>
      <w:bookmarkStart w:id="14" w:name="_Ref505841133"/>
      <w:r>
        <w:t>3</w:t>
      </w:r>
      <w:r w:rsidR="00F771C6">
        <w:t>8</w:t>
      </w:r>
      <w:r>
        <w:t>.213, “</w:t>
      </w:r>
      <w:r w:rsidRPr="001C110F">
        <w:t>Physical layer procedures</w:t>
      </w:r>
      <w:r>
        <w:t>”</w:t>
      </w:r>
      <w:bookmarkEnd w:id="14"/>
    </w:p>
    <w:p w:rsidR="00DC4218" w:rsidRDefault="00DC4218" w:rsidP="001C110F">
      <w:pPr>
        <w:pStyle w:val="References"/>
      </w:pPr>
      <w:bookmarkStart w:id="15" w:name="_Ref506198957"/>
      <w:bookmarkStart w:id="16" w:name="_Ref506800599"/>
      <w:r>
        <w:t>38.</w:t>
      </w:r>
      <w:bookmarkEnd w:id="15"/>
      <w:r w:rsidR="005B48B8">
        <w:t>104</w:t>
      </w:r>
      <w:bookmarkEnd w:id="16"/>
    </w:p>
    <w:bookmarkEnd w:id="11"/>
    <w:p w:rsidR="00CB48C8" w:rsidRDefault="00CB48C8"/>
    <w:sectPr w:rsidR="00CB48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3C6C44"/>
    <w:multiLevelType w:val="hybridMultilevel"/>
    <w:tmpl w:val="DA1C01D4"/>
    <w:lvl w:ilvl="0" w:tplc="8E8632F6">
      <w:start w:val="1"/>
      <w:numFmt w:val="bullet"/>
      <w:pStyle w:val="Agreement2"/>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713E62"/>
    <w:multiLevelType w:val="hybridMultilevel"/>
    <w:tmpl w:val="FF40CD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D79B3"/>
    <w:multiLevelType w:val="hybridMultilevel"/>
    <w:tmpl w:val="49D83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7E434D"/>
    <w:multiLevelType w:val="hybridMultilevel"/>
    <w:tmpl w:val="93A6D4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752C8"/>
    <w:multiLevelType w:val="hybridMultilevel"/>
    <w:tmpl w:val="11F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56D6C"/>
    <w:multiLevelType w:val="hybridMultilevel"/>
    <w:tmpl w:val="8DC41B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15:restartNumberingAfterBreak="0">
    <w:nsid w:val="2BB62BBE"/>
    <w:multiLevelType w:val="hybridMultilevel"/>
    <w:tmpl w:val="B7109A48"/>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4"/>
        </w:tabs>
        <w:ind w:left="864"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B90474"/>
    <w:multiLevelType w:val="hybridMultilevel"/>
    <w:tmpl w:val="1B34FF04"/>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ACB1CA8"/>
    <w:multiLevelType w:val="hybridMultilevel"/>
    <w:tmpl w:val="2DAC9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8021CD"/>
    <w:multiLevelType w:val="hybridMultilevel"/>
    <w:tmpl w:val="789C58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874230"/>
    <w:multiLevelType w:val="hybridMultilevel"/>
    <w:tmpl w:val="190C3210"/>
    <w:lvl w:ilvl="0" w:tplc="DE923398">
      <w:start w:val="1"/>
      <w:numFmt w:val="bullet"/>
      <w:pStyle w:val="Agreement"/>
      <w:lvlText w:val=""/>
      <w:lvlJc w:val="left"/>
      <w:pPr>
        <w:ind w:left="720" w:hanging="360"/>
      </w:pPr>
      <w:rPr>
        <w:rFonts w:ascii="Symbol" w:hAnsi="Symbol" w:hint="default"/>
      </w:rPr>
    </w:lvl>
    <w:lvl w:ilvl="1" w:tplc="B652070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B11A7"/>
    <w:multiLevelType w:val="hybridMultilevel"/>
    <w:tmpl w:val="DF009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7D173F"/>
    <w:multiLevelType w:val="hybridMultilevel"/>
    <w:tmpl w:val="F9283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6F0B2F"/>
    <w:multiLevelType w:val="hybridMultilevel"/>
    <w:tmpl w:val="8AE62FEE"/>
    <w:lvl w:ilvl="0" w:tplc="5CBAAD9A">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E95243"/>
    <w:multiLevelType w:val="hybridMultilevel"/>
    <w:tmpl w:val="1568B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F27D3"/>
    <w:multiLevelType w:val="hybridMultilevel"/>
    <w:tmpl w:val="15F2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2"/>
  </w:num>
  <w:num w:numId="4">
    <w:abstractNumId w:val="20"/>
  </w:num>
  <w:num w:numId="5">
    <w:abstractNumId w:val="9"/>
  </w:num>
  <w:num w:numId="6">
    <w:abstractNumId w:val="11"/>
  </w:num>
  <w:num w:numId="7">
    <w:abstractNumId w:val="6"/>
  </w:num>
  <w:num w:numId="8">
    <w:abstractNumId w:val="4"/>
  </w:num>
  <w:num w:numId="9">
    <w:abstractNumId w:val="15"/>
  </w:num>
  <w:num w:numId="10">
    <w:abstractNumId w:val="1"/>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6"/>
  </w:num>
  <w:num w:numId="13">
    <w:abstractNumId w:val="2"/>
  </w:num>
  <w:num w:numId="14">
    <w:abstractNumId w:val="15"/>
  </w:num>
  <w:num w:numId="15">
    <w:abstractNumId w:val="7"/>
  </w:num>
  <w:num w:numId="16">
    <w:abstractNumId w:val="14"/>
  </w:num>
  <w:num w:numId="17">
    <w:abstractNumId w:val="5"/>
  </w:num>
  <w:num w:numId="18">
    <w:abstractNumId w:val="19"/>
  </w:num>
  <w:num w:numId="19">
    <w:abstractNumId w:val="8"/>
  </w:num>
  <w:num w:numId="20">
    <w:abstractNumId w:val="13"/>
  </w:num>
  <w:num w:numId="21">
    <w:abstractNumId w:val="21"/>
  </w:num>
  <w:num w:numId="22">
    <w:abstractNumId w:val="3"/>
  </w:num>
  <w:num w:numId="23">
    <w:abstractNumId w:val="18"/>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E05"/>
    <w:rsid w:val="00001EB5"/>
    <w:rsid w:val="00012281"/>
    <w:rsid w:val="00012978"/>
    <w:rsid w:val="0001624C"/>
    <w:rsid w:val="000176C4"/>
    <w:rsid w:val="000845C3"/>
    <w:rsid w:val="000848D1"/>
    <w:rsid w:val="000A42E5"/>
    <w:rsid w:val="000E2A9F"/>
    <w:rsid w:val="00103898"/>
    <w:rsid w:val="00106DD0"/>
    <w:rsid w:val="001168D4"/>
    <w:rsid w:val="001271BA"/>
    <w:rsid w:val="00164F73"/>
    <w:rsid w:val="001761FC"/>
    <w:rsid w:val="00191A18"/>
    <w:rsid w:val="001A38E6"/>
    <w:rsid w:val="001B3BB2"/>
    <w:rsid w:val="001B79B3"/>
    <w:rsid w:val="001C110F"/>
    <w:rsid w:val="001D1E05"/>
    <w:rsid w:val="001D6303"/>
    <w:rsid w:val="001D6688"/>
    <w:rsid w:val="001E00F8"/>
    <w:rsid w:val="001E7E43"/>
    <w:rsid w:val="002151A7"/>
    <w:rsid w:val="00235F3F"/>
    <w:rsid w:val="00251517"/>
    <w:rsid w:val="00255E22"/>
    <w:rsid w:val="00260866"/>
    <w:rsid w:val="00264558"/>
    <w:rsid w:val="002B51E8"/>
    <w:rsid w:val="002C0C99"/>
    <w:rsid w:val="002C7A95"/>
    <w:rsid w:val="002E64E6"/>
    <w:rsid w:val="002F70AD"/>
    <w:rsid w:val="00316CE5"/>
    <w:rsid w:val="00321016"/>
    <w:rsid w:val="00324529"/>
    <w:rsid w:val="0033271B"/>
    <w:rsid w:val="00356B86"/>
    <w:rsid w:val="0038423E"/>
    <w:rsid w:val="00397300"/>
    <w:rsid w:val="003A655A"/>
    <w:rsid w:val="003D3CDD"/>
    <w:rsid w:val="003F60A4"/>
    <w:rsid w:val="004071A0"/>
    <w:rsid w:val="004142E4"/>
    <w:rsid w:val="004427E5"/>
    <w:rsid w:val="00461F85"/>
    <w:rsid w:val="00483E1E"/>
    <w:rsid w:val="004956FC"/>
    <w:rsid w:val="00496189"/>
    <w:rsid w:val="00497F75"/>
    <w:rsid w:val="004D51E6"/>
    <w:rsid w:val="004D5A60"/>
    <w:rsid w:val="004F3201"/>
    <w:rsid w:val="0051685F"/>
    <w:rsid w:val="0057574D"/>
    <w:rsid w:val="005A01B1"/>
    <w:rsid w:val="005A6D71"/>
    <w:rsid w:val="005B48B8"/>
    <w:rsid w:val="005D7999"/>
    <w:rsid w:val="005E1CA7"/>
    <w:rsid w:val="005E4B19"/>
    <w:rsid w:val="006176EC"/>
    <w:rsid w:val="00624BCD"/>
    <w:rsid w:val="00624D89"/>
    <w:rsid w:val="006274AF"/>
    <w:rsid w:val="00642BF8"/>
    <w:rsid w:val="00643BB1"/>
    <w:rsid w:val="00656950"/>
    <w:rsid w:val="00661FF7"/>
    <w:rsid w:val="00664DEF"/>
    <w:rsid w:val="006675F2"/>
    <w:rsid w:val="00670906"/>
    <w:rsid w:val="00671DD6"/>
    <w:rsid w:val="006A3A9A"/>
    <w:rsid w:val="006A7E18"/>
    <w:rsid w:val="006B0B25"/>
    <w:rsid w:val="006B6860"/>
    <w:rsid w:val="006B70DB"/>
    <w:rsid w:val="006C5028"/>
    <w:rsid w:val="006D326E"/>
    <w:rsid w:val="006E4B20"/>
    <w:rsid w:val="00715024"/>
    <w:rsid w:val="00727CDD"/>
    <w:rsid w:val="00756C4D"/>
    <w:rsid w:val="00763D81"/>
    <w:rsid w:val="0077216E"/>
    <w:rsid w:val="00773FE3"/>
    <w:rsid w:val="0079171B"/>
    <w:rsid w:val="007B519F"/>
    <w:rsid w:val="00803334"/>
    <w:rsid w:val="00806653"/>
    <w:rsid w:val="008665EF"/>
    <w:rsid w:val="00880908"/>
    <w:rsid w:val="00881E5D"/>
    <w:rsid w:val="00890A36"/>
    <w:rsid w:val="008941D5"/>
    <w:rsid w:val="008A78A7"/>
    <w:rsid w:val="008C2B7D"/>
    <w:rsid w:val="008E35E6"/>
    <w:rsid w:val="00900B63"/>
    <w:rsid w:val="00917FC8"/>
    <w:rsid w:val="009329FF"/>
    <w:rsid w:val="00945A8A"/>
    <w:rsid w:val="009606D7"/>
    <w:rsid w:val="00985FF8"/>
    <w:rsid w:val="009F02D4"/>
    <w:rsid w:val="00A273C6"/>
    <w:rsid w:val="00A46827"/>
    <w:rsid w:val="00A65B68"/>
    <w:rsid w:val="00A861AA"/>
    <w:rsid w:val="00A96D79"/>
    <w:rsid w:val="00AB0CB2"/>
    <w:rsid w:val="00AB2799"/>
    <w:rsid w:val="00B442BD"/>
    <w:rsid w:val="00B47AD8"/>
    <w:rsid w:val="00B62F69"/>
    <w:rsid w:val="00B6417E"/>
    <w:rsid w:val="00B86056"/>
    <w:rsid w:val="00B93A69"/>
    <w:rsid w:val="00BA50E3"/>
    <w:rsid w:val="00BB59C7"/>
    <w:rsid w:val="00BB7395"/>
    <w:rsid w:val="00BE52E6"/>
    <w:rsid w:val="00BE5A0D"/>
    <w:rsid w:val="00BF3373"/>
    <w:rsid w:val="00C06F7F"/>
    <w:rsid w:val="00C073F5"/>
    <w:rsid w:val="00C16B70"/>
    <w:rsid w:val="00C53D2B"/>
    <w:rsid w:val="00C61756"/>
    <w:rsid w:val="00C71DF4"/>
    <w:rsid w:val="00C74CB0"/>
    <w:rsid w:val="00C74D5A"/>
    <w:rsid w:val="00C76F04"/>
    <w:rsid w:val="00C87AD4"/>
    <w:rsid w:val="00CA1316"/>
    <w:rsid w:val="00CA5AA1"/>
    <w:rsid w:val="00CA5D0F"/>
    <w:rsid w:val="00CB48C8"/>
    <w:rsid w:val="00CE1560"/>
    <w:rsid w:val="00CE2042"/>
    <w:rsid w:val="00CF3462"/>
    <w:rsid w:val="00CF34F6"/>
    <w:rsid w:val="00D05549"/>
    <w:rsid w:val="00D13BBA"/>
    <w:rsid w:val="00D21AD7"/>
    <w:rsid w:val="00D81DFB"/>
    <w:rsid w:val="00D921C5"/>
    <w:rsid w:val="00D94E98"/>
    <w:rsid w:val="00DC4218"/>
    <w:rsid w:val="00E1055B"/>
    <w:rsid w:val="00E11E66"/>
    <w:rsid w:val="00E24172"/>
    <w:rsid w:val="00E575AF"/>
    <w:rsid w:val="00E57DF5"/>
    <w:rsid w:val="00E607E0"/>
    <w:rsid w:val="00E74960"/>
    <w:rsid w:val="00EA30B0"/>
    <w:rsid w:val="00EA54FD"/>
    <w:rsid w:val="00EC1E03"/>
    <w:rsid w:val="00EC6DF5"/>
    <w:rsid w:val="00EC6EA8"/>
    <w:rsid w:val="00ED396B"/>
    <w:rsid w:val="00ED7B34"/>
    <w:rsid w:val="00EE28CA"/>
    <w:rsid w:val="00EF10B1"/>
    <w:rsid w:val="00F14965"/>
    <w:rsid w:val="00F1668C"/>
    <w:rsid w:val="00F36D5B"/>
    <w:rsid w:val="00F45158"/>
    <w:rsid w:val="00F5158E"/>
    <w:rsid w:val="00F6191D"/>
    <w:rsid w:val="00F75736"/>
    <w:rsid w:val="00F771C6"/>
    <w:rsid w:val="00FA1F78"/>
    <w:rsid w:val="00FA7940"/>
    <w:rsid w:val="00FB051D"/>
    <w:rsid w:val="00FD3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A354EF-4A6D-46B0-AD2C-D305A1BD7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8C8"/>
    <w:pPr>
      <w:jc w:val="both"/>
    </w:pPr>
  </w:style>
  <w:style w:type="paragraph" w:styleId="Heading1">
    <w:name w:val="heading 1"/>
    <w:basedOn w:val="Normal"/>
    <w:next w:val="Normal"/>
    <w:link w:val="Heading1Char"/>
    <w:qFormat/>
    <w:rsid w:val="00CB48C8"/>
    <w:pPr>
      <w:keepNext/>
      <w:numPr>
        <w:numId w:val="2"/>
      </w:numPr>
      <w:tabs>
        <w:tab w:val="clear" w:pos="432"/>
      </w:tabs>
      <w:autoSpaceDE w:val="0"/>
      <w:autoSpaceDN w:val="0"/>
      <w:adjustRightInd w:val="0"/>
      <w:snapToGrid w:val="0"/>
      <w:spacing w:before="120"/>
      <w:outlineLvl w:val="0"/>
    </w:pPr>
    <w:rPr>
      <w:rFonts w:eastAsiaTheme="minorEastAsia"/>
      <w:b/>
      <w:bCs/>
      <w:sz w:val="28"/>
      <w:szCs w:val="28"/>
    </w:rPr>
  </w:style>
  <w:style w:type="paragraph" w:styleId="Heading2">
    <w:name w:val="heading 2"/>
    <w:basedOn w:val="Normal"/>
    <w:next w:val="Normal"/>
    <w:link w:val="Heading2Char"/>
    <w:qFormat/>
    <w:rsid w:val="00CB48C8"/>
    <w:pPr>
      <w:keepNext/>
      <w:numPr>
        <w:ilvl w:val="1"/>
        <w:numId w:val="2"/>
      </w:numPr>
      <w:tabs>
        <w:tab w:val="clear" w:pos="864"/>
      </w:tabs>
      <w:autoSpaceDE w:val="0"/>
      <w:autoSpaceDN w:val="0"/>
      <w:adjustRightInd w:val="0"/>
      <w:snapToGrid w:val="0"/>
      <w:spacing w:before="120"/>
      <w:ind w:left="576"/>
      <w:outlineLvl w:val="1"/>
    </w:pPr>
    <w:rPr>
      <w:rFonts w:eastAsiaTheme="minorEastAsia"/>
      <w:b/>
      <w:bCs/>
      <w:sz w:val="24"/>
    </w:rPr>
  </w:style>
  <w:style w:type="paragraph" w:styleId="Heading3">
    <w:name w:val="heading 3"/>
    <w:basedOn w:val="Normal"/>
    <w:next w:val="Normal"/>
    <w:link w:val="Heading3Char"/>
    <w:qFormat/>
    <w:rsid w:val="00CB48C8"/>
    <w:pPr>
      <w:keepNext/>
      <w:numPr>
        <w:ilvl w:val="2"/>
        <w:numId w:val="2"/>
      </w:numPr>
      <w:tabs>
        <w:tab w:val="clear" w:pos="720"/>
      </w:tabs>
      <w:autoSpaceDE w:val="0"/>
      <w:autoSpaceDN w:val="0"/>
      <w:adjustRightInd w:val="0"/>
      <w:snapToGrid w:val="0"/>
      <w:spacing w:before="120"/>
      <w:outlineLvl w:val="2"/>
    </w:pPr>
    <w:rPr>
      <w:rFonts w:eastAsiaTheme="minorEastAsia"/>
      <w:b/>
    </w:rPr>
  </w:style>
  <w:style w:type="paragraph" w:styleId="Heading4">
    <w:name w:val="heading 4"/>
    <w:basedOn w:val="Normal"/>
    <w:next w:val="Normal"/>
    <w:link w:val="Heading4Char"/>
    <w:qFormat/>
    <w:rsid w:val="00CB48C8"/>
    <w:pPr>
      <w:keepNext/>
      <w:numPr>
        <w:ilvl w:val="3"/>
        <w:numId w:val="2"/>
      </w:numPr>
      <w:tabs>
        <w:tab w:val="clear" w:pos="864"/>
      </w:tabs>
      <w:autoSpaceDE w:val="0"/>
      <w:autoSpaceDN w:val="0"/>
      <w:adjustRightInd w:val="0"/>
      <w:snapToGrid w:val="0"/>
      <w:spacing w:before="120"/>
      <w:ind w:left="720" w:hanging="720"/>
      <w:outlineLvl w:val="3"/>
    </w:pPr>
    <w:rPr>
      <w:rFonts w:eastAsiaTheme="minorEastAsia"/>
      <w:b/>
      <w:bCs/>
      <w:szCs w:val="28"/>
    </w:rPr>
  </w:style>
  <w:style w:type="paragraph" w:styleId="Heading5">
    <w:name w:val="heading 5"/>
    <w:basedOn w:val="Normal"/>
    <w:next w:val="Normal"/>
    <w:link w:val="Heading5Char"/>
    <w:qFormat/>
    <w:rsid w:val="00CB48C8"/>
    <w:pPr>
      <w:keepNext/>
      <w:numPr>
        <w:ilvl w:val="4"/>
        <w:numId w:val="2"/>
      </w:numPr>
      <w:tabs>
        <w:tab w:val="clear" w:pos="1008"/>
      </w:tabs>
      <w:autoSpaceDE w:val="0"/>
      <w:autoSpaceDN w:val="0"/>
      <w:adjustRightInd w:val="0"/>
      <w:snapToGrid w:val="0"/>
      <w:spacing w:before="120"/>
      <w:ind w:left="720" w:hanging="720"/>
      <w:outlineLvl w:val="4"/>
    </w:pPr>
    <w:rPr>
      <w:rFonts w:eastAsiaTheme="minorEastAsia"/>
      <w:b/>
      <w:bCs/>
      <w:i/>
      <w:iCs/>
      <w:szCs w:val="26"/>
    </w:rPr>
  </w:style>
  <w:style w:type="paragraph" w:styleId="Heading6">
    <w:name w:val="heading 6"/>
    <w:basedOn w:val="Normal"/>
    <w:next w:val="Normal"/>
    <w:link w:val="Heading6Char"/>
    <w:qFormat/>
    <w:rsid w:val="00CB48C8"/>
    <w:pPr>
      <w:numPr>
        <w:ilvl w:val="5"/>
        <w:numId w:val="2"/>
      </w:numPr>
      <w:autoSpaceDE w:val="0"/>
      <w:autoSpaceDN w:val="0"/>
      <w:adjustRightInd w:val="0"/>
      <w:snapToGrid w:val="0"/>
      <w:spacing w:before="240" w:after="60"/>
      <w:outlineLvl w:val="5"/>
    </w:pPr>
    <w:rPr>
      <w:rFonts w:eastAsiaTheme="minorEastAsia"/>
      <w:b/>
      <w:bCs/>
    </w:rPr>
  </w:style>
  <w:style w:type="paragraph" w:styleId="Heading7">
    <w:name w:val="heading 7"/>
    <w:basedOn w:val="Normal"/>
    <w:next w:val="Normal"/>
    <w:link w:val="Heading7Char"/>
    <w:qFormat/>
    <w:rsid w:val="00CB48C8"/>
    <w:pPr>
      <w:numPr>
        <w:ilvl w:val="6"/>
        <w:numId w:val="2"/>
      </w:numPr>
      <w:autoSpaceDE w:val="0"/>
      <w:autoSpaceDN w:val="0"/>
      <w:adjustRightInd w:val="0"/>
      <w:snapToGrid w:val="0"/>
      <w:spacing w:before="240" w:after="60"/>
      <w:outlineLvl w:val="6"/>
    </w:pPr>
    <w:rPr>
      <w:rFonts w:eastAsiaTheme="minorEastAsia"/>
      <w:sz w:val="24"/>
      <w:szCs w:val="24"/>
    </w:rPr>
  </w:style>
  <w:style w:type="paragraph" w:styleId="Heading8">
    <w:name w:val="heading 8"/>
    <w:basedOn w:val="Normal"/>
    <w:next w:val="Normal"/>
    <w:link w:val="Heading8Char"/>
    <w:qFormat/>
    <w:rsid w:val="00CB48C8"/>
    <w:pPr>
      <w:numPr>
        <w:ilvl w:val="7"/>
        <w:numId w:val="2"/>
      </w:numPr>
      <w:autoSpaceDE w:val="0"/>
      <w:autoSpaceDN w:val="0"/>
      <w:adjustRightInd w:val="0"/>
      <w:snapToGrid w:val="0"/>
      <w:spacing w:before="240" w:after="60"/>
      <w:outlineLvl w:val="7"/>
    </w:pPr>
    <w:rPr>
      <w:rFonts w:eastAsiaTheme="minorEastAsia"/>
      <w:i/>
      <w:iCs/>
      <w:sz w:val="24"/>
      <w:szCs w:val="24"/>
    </w:rPr>
  </w:style>
  <w:style w:type="paragraph" w:styleId="Heading9">
    <w:name w:val="heading 9"/>
    <w:basedOn w:val="Normal"/>
    <w:next w:val="Normal"/>
    <w:link w:val="Heading9Char"/>
    <w:qFormat/>
    <w:rsid w:val="00CB48C8"/>
    <w:pPr>
      <w:numPr>
        <w:ilvl w:val="8"/>
        <w:numId w:val="2"/>
      </w:numPr>
      <w:autoSpaceDE w:val="0"/>
      <w:autoSpaceDN w:val="0"/>
      <w:adjustRightInd w:val="0"/>
      <w:snapToGrid w:val="0"/>
      <w:spacing w:before="240" w:after="60"/>
      <w:outlineLvl w:val="8"/>
    </w:pPr>
    <w:rPr>
      <w:rFonts w:ascii="Arial" w:eastAsiaTheme="minorEastAsia"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8C8"/>
    <w:rPr>
      <w:rFonts w:eastAsiaTheme="minorEastAsia"/>
      <w:b/>
      <w:bCs/>
      <w:sz w:val="28"/>
      <w:szCs w:val="28"/>
    </w:rPr>
  </w:style>
  <w:style w:type="character" w:customStyle="1" w:styleId="Heading2Char">
    <w:name w:val="Heading 2 Char"/>
    <w:basedOn w:val="DefaultParagraphFont"/>
    <w:link w:val="Heading2"/>
    <w:rsid w:val="00CB48C8"/>
    <w:rPr>
      <w:rFonts w:eastAsiaTheme="minorEastAsia"/>
      <w:b/>
      <w:bCs/>
      <w:sz w:val="24"/>
    </w:rPr>
  </w:style>
  <w:style w:type="character" w:customStyle="1" w:styleId="Heading3Char">
    <w:name w:val="Heading 3 Char"/>
    <w:basedOn w:val="DefaultParagraphFont"/>
    <w:link w:val="Heading3"/>
    <w:rsid w:val="00CB48C8"/>
    <w:rPr>
      <w:rFonts w:eastAsiaTheme="minorEastAsia"/>
      <w:b/>
    </w:rPr>
  </w:style>
  <w:style w:type="character" w:customStyle="1" w:styleId="Heading4Char">
    <w:name w:val="Heading 4 Char"/>
    <w:basedOn w:val="DefaultParagraphFont"/>
    <w:link w:val="Heading4"/>
    <w:rsid w:val="00CB48C8"/>
    <w:rPr>
      <w:rFonts w:eastAsiaTheme="minorEastAsia"/>
      <w:b/>
      <w:bCs/>
      <w:szCs w:val="28"/>
    </w:rPr>
  </w:style>
  <w:style w:type="character" w:customStyle="1" w:styleId="Heading5Char">
    <w:name w:val="Heading 5 Char"/>
    <w:basedOn w:val="DefaultParagraphFont"/>
    <w:link w:val="Heading5"/>
    <w:rsid w:val="00CB48C8"/>
    <w:rPr>
      <w:rFonts w:eastAsiaTheme="minorEastAsia"/>
      <w:b/>
      <w:bCs/>
      <w:i/>
      <w:iCs/>
      <w:szCs w:val="26"/>
    </w:rPr>
  </w:style>
  <w:style w:type="character" w:customStyle="1" w:styleId="Heading6Char">
    <w:name w:val="Heading 6 Char"/>
    <w:basedOn w:val="DefaultParagraphFont"/>
    <w:link w:val="Heading6"/>
    <w:rsid w:val="00CB48C8"/>
    <w:rPr>
      <w:rFonts w:eastAsiaTheme="minorEastAsia"/>
      <w:b/>
      <w:bCs/>
    </w:rPr>
  </w:style>
  <w:style w:type="character" w:customStyle="1" w:styleId="Heading7Char">
    <w:name w:val="Heading 7 Char"/>
    <w:basedOn w:val="DefaultParagraphFont"/>
    <w:link w:val="Heading7"/>
    <w:rsid w:val="00CB48C8"/>
    <w:rPr>
      <w:rFonts w:eastAsiaTheme="minorEastAsia"/>
      <w:sz w:val="24"/>
      <w:szCs w:val="24"/>
    </w:rPr>
  </w:style>
  <w:style w:type="character" w:customStyle="1" w:styleId="Heading8Char">
    <w:name w:val="Heading 8 Char"/>
    <w:basedOn w:val="DefaultParagraphFont"/>
    <w:link w:val="Heading8"/>
    <w:rsid w:val="00CB48C8"/>
    <w:rPr>
      <w:rFonts w:eastAsiaTheme="minorEastAsia"/>
      <w:i/>
      <w:iCs/>
      <w:sz w:val="24"/>
      <w:szCs w:val="24"/>
    </w:rPr>
  </w:style>
  <w:style w:type="character" w:customStyle="1" w:styleId="Heading9Char">
    <w:name w:val="Heading 9 Char"/>
    <w:basedOn w:val="DefaultParagraphFont"/>
    <w:link w:val="Heading9"/>
    <w:rsid w:val="00CB48C8"/>
    <w:rPr>
      <w:rFonts w:ascii="Arial" w:eastAsiaTheme="minorEastAsia" w:hAnsi="Arial" w:cs="Arial"/>
    </w:rPr>
  </w:style>
  <w:style w:type="paragraph" w:styleId="Caption">
    <w:name w:val="caption"/>
    <w:aliases w:val="cap"/>
    <w:basedOn w:val="Normal"/>
    <w:next w:val="Normal"/>
    <w:link w:val="CaptionChar"/>
    <w:uiPriority w:val="35"/>
    <w:qFormat/>
    <w:rsid w:val="00CB48C8"/>
    <w:pPr>
      <w:autoSpaceDE w:val="0"/>
      <w:autoSpaceDN w:val="0"/>
      <w:adjustRightInd w:val="0"/>
      <w:snapToGrid w:val="0"/>
      <w:jc w:val="center"/>
    </w:pPr>
    <w:rPr>
      <w:rFonts w:eastAsiaTheme="minorEastAsia"/>
      <w:b/>
      <w:bCs/>
      <w:sz w:val="20"/>
      <w:szCs w:val="20"/>
    </w:rPr>
  </w:style>
  <w:style w:type="character" w:customStyle="1" w:styleId="CaptionChar">
    <w:name w:val="Caption Char"/>
    <w:aliases w:val="cap Char"/>
    <w:link w:val="Caption"/>
    <w:rsid w:val="00CB48C8"/>
    <w:rPr>
      <w:rFonts w:eastAsiaTheme="minorEastAsia"/>
      <w:b/>
      <w:bCs/>
      <w:sz w:val="20"/>
      <w:szCs w:val="20"/>
    </w:rPr>
  </w:style>
  <w:style w:type="paragraph" w:customStyle="1" w:styleId="References">
    <w:name w:val="References"/>
    <w:basedOn w:val="Normal"/>
    <w:qFormat/>
    <w:rsid w:val="00CB48C8"/>
    <w:pPr>
      <w:numPr>
        <w:numId w:val="1"/>
      </w:numPr>
      <w:autoSpaceDE w:val="0"/>
      <w:autoSpaceDN w:val="0"/>
      <w:snapToGrid w:val="0"/>
      <w:spacing w:after="60"/>
    </w:pPr>
    <w:rPr>
      <w:rFonts w:eastAsiaTheme="minorEastAsia"/>
      <w:sz w:val="20"/>
      <w:szCs w:val="16"/>
    </w:rPr>
  </w:style>
  <w:style w:type="table" w:styleId="TableGrid">
    <w:name w:val="Table Grid"/>
    <w:basedOn w:val="TableNormal"/>
    <w:uiPriority w:val="39"/>
    <w:rsid w:val="00CB48C8"/>
    <w:pPr>
      <w:widowControl w:val="0"/>
      <w:autoSpaceDE w:val="0"/>
      <w:autoSpaceDN w:val="0"/>
      <w:adjustRightInd w:val="0"/>
      <w:jc w:val="both"/>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CB48C8"/>
    <w:pPr>
      <w:autoSpaceDE w:val="0"/>
      <w:autoSpaceDN w:val="0"/>
      <w:adjustRightInd w:val="0"/>
      <w:snapToGrid w:val="0"/>
      <w:spacing w:before="20" w:after="20"/>
    </w:pPr>
    <w:rPr>
      <w:rFonts w:eastAsiaTheme="minorEastAsia"/>
      <w:sz w:val="20"/>
    </w:rPr>
  </w:style>
  <w:style w:type="paragraph" w:customStyle="1" w:styleId="TableCell0">
    <w:name w:val="TableCell"/>
    <w:basedOn w:val="Normal"/>
    <w:rsid w:val="004142E4"/>
    <w:pPr>
      <w:spacing w:before="20" w:after="20"/>
      <w:jc w:val="left"/>
    </w:pPr>
    <w:rPr>
      <w:sz w:val="20"/>
    </w:rPr>
  </w:style>
  <w:style w:type="paragraph" w:customStyle="1" w:styleId="Agreement">
    <w:name w:val="Agreement"/>
    <w:basedOn w:val="Normal"/>
    <w:qFormat/>
    <w:rsid w:val="00497F75"/>
    <w:pPr>
      <w:numPr>
        <w:numId w:val="9"/>
      </w:numPr>
    </w:pPr>
    <w:rPr>
      <w:i/>
      <w:sz w:val="20"/>
    </w:rPr>
  </w:style>
  <w:style w:type="paragraph" w:customStyle="1" w:styleId="Agreement2">
    <w:name w:val="Agreement2"/>
    <w:basedOn w:val="Agreement"/>
    <w:qFormat/>
    <w:rsid w:val="00497F75"/>
    <w:pPr>
      <w:numPr>
        <w:numId w:val="10"/>
      </w:numPr>
    </w:pPr>
  </w:style>
  <w:style w:type="paragraph" w:customStyle="1" w:styleId="TAC">
    <w:name w:val="TAC"/>
    <w:basedOn w:val="Normal"/>
    <w:link w:val="TACChar"/>
    <w:qFormat/>
    <w:rsid w:val="001B3BB2"/>
    <w:pPr>
      <w:keepNext/>
      <w:keepLines/>
      <w:spacing w:after="0"/>
      <w:jc w:val="center"/>
    </w:pPr>
    <w:rPr>
      <w:rFonts w:ascii="Arial" w:eastAsia="SimSun" w:hAnsi="Arial"/>
      <w:sz w:val="18"/>
      <w:szCs w:val="20"/>
      <w:lang w:val="en-GB"/>
    </w:rPr>
  </w:style>
  <w:style w:type="paragraph" w:customStyle="1" w:styleId="B1">
    <w:name w:val="B1"/>
    <w:basedOn w:val="Normal"/>
    <w:link w:val="B1Char1"/>
    <w:qFormat/>
    <w:rsid w:val="001B3BB2"/>
    <w:pPr>
      <w:spacing w:after="180"/>
      <w:ind w:left="568" w:hanging="284"/>
      <w:jc w:val="left"/>
    </w:pPr>
    <w:rPr>
      <w:rFonts w:eastAsia="SimSun"/>
      <w:sz w:val="20"/>
      <w:szCs w:val="20"/>
      <w:lang w:val="en-GB"/>
    </w:rPr>
  </w:style>
  <w:style w:type="paragraph" w:customStyle="1" w:styleId="TH">
    <w:name w:val="TH"/>
    <w:basedOn w:val="Normal"/>
    <w:link w:val="THChar"/>
    <w:qFormat/>
    <w:rsid w:val="001B3BB2"/>
    <w:pPr>
      <w:keepNext/>
      <w:keepLines/>
      <w:spacing w:before="60" w:after="180"/>
      <w:jc w:val="center"/>
    </w:pPr>
    <w:rPr>
      <w:rFonts w:ascii="Arial" w:eastAsia="SimSun" w:hAnsi="Arial"/>
      <w:b/>
      <w:sz w:val="20"/>
      <w:szCs w:val="20"/>
      <w:lang w:val="en-GB"/>
    </w:rPr>
  </w:style>
  <w:style w:type="character" w:customStyle="1" w:styleId="B1Char1">
    <w:name w:val="B1 Char1"/>
    <w:link w:val="B1"/>
    <w:rsid w:val="001B3BB2"/>
    <w:rPr>
      <w:rFonts w:eastAsia="SimSun"/>
      <w:sz w:val="20"/>
      <w:szCs w:val="20"/>
      <w:lang w:val="en-GB"/>
    </w:rPr>
  </w:style>
  <w:style w:type="character" w:customStyle="1" w:styleId="THChar">
    <w:name w:val="TH Char"/>
    <w:link w:val="TH"/>
    <w:qFormat/>
    <w:rsid w:val="001B3BB2"/>
    <w:rPr>
      <w:rFonts w:ascii="Arial" w:eastAsia="SimSun" w:hAnsi="Arial"/>
      <w:b/>
      <w:sz w:val="20"/>
      <w:szCs w:val="20"/>
      <w:lang w:val="en-GB"/>
    </w:rPr>
  </w:style>
  <w:style w:type="character" w:customStyle="1" w:styleId="TACChar">
    <w:name w:val="TAC Char"/>
    <w:link w:val="TAC"/>
    <w:rsid w:val="001B3BB2"/>
    <w:rPr>
      <w:rFonts w:ascii="Arial" w:eastAsia="SimSun" w:hAnsi="Arial"/>
      <w:sz w:val="18"/>
      <w:szCs w:val="20"/>
      <w:lang w:val="en-GB"/>
    </w:rPr>
  </w:style>
  <w:style w:type="character" w:styleId="PlaceholderText">
    <w:name w:val="Placeholder Text"/>
    <w:basedOn w:val="DefaultParagraphFont"/>
    <w:uiPriority w:val="99"/>
    <w:semiHidden/>
    <w:rsid w:val="00CA5D0F"/>
    <w:rPr>
      <w:color w:val="808080"/>
    </w:rPr>
  </w:style>
  <w:style w:type="paragraph" w:styleId="BalloonText">
    <w:name w:val="Balloon Text"/>
    <w:basedOn w:val="Normal"/>
    <w:link w:val="BalloonTextChar"/>
    <w:uiPriority w:val="99"/>
    <w:semiHidden/>
    <w:unhideWhenUsed/>
    <w:rsid w:val="00CA5A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5AA1"/>
    <w:rPr>
      <w:rFonts w:ascii="Segoe UI" w:hAnsi="Segoe UI" w:cs="Segoe UI"/>
      <w:sz w:val="18"/>
      <w:szCs w:val="18"/>
    </w:rPr>
  </w:style>
  <w:style w:type="paragraph" w:customStyle="1" w:styleId="B2">
    <w:name w:val="B2"/>
    <w:basedOn w:val="List2"/>
    <w:link w:val="B2Char"/>
    <w:rsid w:val="00763D81"/>
    <w:pPr>
      <w:spacing w:after="180"/>
      <w:ind w:left="851" w:hanging="284"/>
      <w:contextualSpacing w:val="0"/>
      <w:jc w:val="left"/>
    </w:pPr>
    <w:rPr>
      <w:rFonts w:eastAsia="Malgun Gothic"/>
      <w:sz w:val="20"/>
      <w:szCs w:val="20"/>
      <w:lang w:val="en-GB"/>
    </w:rPr>
  </w:style>
  <w:style w:type="paragraph" w:customStyle="1" w:styleId="B3">
    <w:name w:val="B3"/>
    <w:basedOn w:val="List3"/>
    <w:link w:val="B3Char"/>
    <w:rsid w:val="00763D81"/>
    <w:pPr>
      <w:spacing w:after="180"/>
      <w:ind w:left="1135" w:hanging="284"/>
      <w:contextualSpacing w:val="0"/>
      <w:jc w:val="left"/>
    </w:pPr>
    <w:rPr>
      <w:rFonts w:eastAsia="Malgun Gothic"/>
      <w:sz w:val="20"/>
      <w:szCs w:val="20"/>
      <w:lang w:val="en-GB"/>
    </w:rPr>
  </w:style>
  <w:style w:type="paragraph" w:customStyle="1" w:styleId="B4">
    <w:name w:val="B4"/>
    <w:basedOn w:val="List4"/>
    <w:link w:val="B4Char"/>
    <w:rsid w:val="00763D81"/>
    <w:pPr>
      <w:spacing w:after="180"/>
      <w:ind w:left="1418" w:hanging="284"/>
      <w:contextualSpacing w:val="0"/>
      <w:jc w:val="left"/>
    </w:pPr>
    <w:rPr>
      <w:rFonts w:eastAsia="Malgun Gothic"/>
      <w:sz w:val="20"/>
      <w:szCs w:val="20"/>
      <w:lang w:val="en-GB"/>
    </w:rPr>
  </w:style>
  <w:style w:type="character" w:customStyle="1" w:styleId="B2Char">
    <w:name w:val="B2 Char"/>
    <w:link w:val="B2"/>
    <w:rsid w:val="00763D81"/>
    <w:rPr>
      <w:rFonts w:eastAsia="Malgun Gothic"/>
      <w:sz w:val="20"/>
      <w:szCs w:val="20"/>
      <w:lang w:val="en-GB"/>
    </w:rPr>
  </w:style>
  <w:style w:type="character" w:customStyle="1" w:styleId="B3Char">
    <w:name w:val="B3 Char"/>
    <w:link w:val="B3"/>
    <w:rsid w:val="00763D81"/>
    <w:rPr>
      <w:rFonts w:eastAsia="Malgun Gothic"/>
      <w:sz w:val="20"/>
      <w:szCs w:val="20"/>
      <w:lang w:val="en-GB"/>
    </w:rPr>
  </w:style>
  <w:style w:type="character" w:customStyle="1" w:styleId="B4Char">
    <w:name w:val="B4 Char"/>
    <w:link w:val="B4"/>
    <w:rsid w:val="00763D81"/>
    <w:rPr>
      <w:rFonts w:eastAsia="Malgun Gothic"/>
      <w:sz w:val="20"/>
      <w:szCs w:val="20"/>
      <w:lang w:val="en-GB"/>
    </w:rPr>
  </w:style>
  <w:style w:type="paragraph" w:styleId="List2">
    <w:name w:val="List 2"/>
    <w:basedOn w:val="Normal"/>
    <w:uiPriority w:val="99"/>
    <w:semiHidden/>
    <w:unhideWhenUsed/>
    <w:rsid w:val="00763D81"/>
    <w:pPr>
      <w:ind w:left="720" w:hanging="360"/>
      <w:contextualSpacing/>
    </w:pPr>
  </w:style>
  <w:style w:type="paragraph" w:styleId="List3">
    <w:name w:val="List 3"/>
    <w:basedOn w:val="Normal"/>
    <w:uiPriority w:val="99"/>
    <w:semiHidden/>
    <w:unhideWhenUsed/>
    <w:rsid w:val="00763D81"/>
    <w:pPr>
      <w:ind w:left="1080" w:hanging="360"/>
      <w:contextualSpacing/>
    </w:pPr>
  </w:style>
  <w:style w:type="paragraph" w:styleId="List4">
    <w:name w:val="List 4"/>
    <w:basedOn w:val="Normal"/>
    <w:uiPriority w:val="99"/>
    <w:semiHidden/>
    <w:unhideWhenUsed/>
    <w:rsid w:val="00763D81"/>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052656">
      <w:bodyDiv w:val="1"/>
      <w:marLeft w:val="0"/>
      <w:marRight w:val="0"/>
      <w:marTop w:val="0"/>
      <w:marBottom w:val="0"/>
      <w:divBdr>
        <w:top w:val="none" w:sz="0" w:space="0" w:color="auto"/>
        <w:left w:val="none" w:sz="0" w:space="0" w:color="auto"/>
        <w:bottom w:val="none" w:sz="0" w:space="0" w:color="auto"/>
        <w:right w:val="none" w:sz="0" w:space="0" w:color="auto"/>
      </w:divBdr>
    </w:div>
    <w:div w:id="1778138192">
      <w:bodyDiv w:val="1"/>
      <w:marLeft w:val="0"/>
      <w:marRight w:val="0"/>
      <w:marTop w:val="0"/>
      <w:marBottom w:val="0"/>
      <w:divBdr>
        <w:top w:val="none" w:sz="0" w:space="0" w:color="auto"/>
        <w:left w:val="none" w:sz="0" w:space="0" w:color="auto"/>
        <w:bottom w:val="none" w:sz="0" w:space="0" w:color="auto"/>
        <w:right w:val="none" w:sz="0" w:space="0" w:color="auto"/>
      </w:divBdr>
      <w:divsChild>
        <w:div w:id="305092194">
          <w:marLeft w:val="360"/>
          <w:marRight w:val="0"/>
          <w:marTop w:val="200"/>
          <w:marBottom w:val="0"/>
          <w:divBdr>
            <w:top w:val="none" w:sz="0" w:space="0" w:color="auto"/>
            <w:left w:val="none" w:sz="0" w:space="0" w:color="auto"/>
            <w:bottom w:val="none" w:sz="0" w:space="0" w:color="auto"/>
            <w:right w:val="none" w:sz="0" w:space="0" w:color="auto"/>
          </w:divBdr>
        </w:div>
        <w:div w:id="565922932">
          <w:marLeft w:val="1080"/>
          <w:marRight w:val="0"/>
          <w:marTop w:val="100"/>
          <w:marBottom w:val="0"/>
          <w:divBdr>
            <w:top w:val="none" w:sz="0" w:space="0" w:color="auto"/>
            <w:left w:val="none" w:sz="0" w:space="0" w:color="auto"/>
            <w:bottom w:val="none" w:sz="0" w:space="0" w:color="auto"/>
            <w:right w:val="none" w:sz="0" w:space="0" w:color="auto"/>
          </w:divBdr>
        </w:div>
        <w:div w:id="346903940">
          <w:marLeft w:val="1080"/>
          <w:marRight w:val="0"/>
          <w:marTop w:val="100"/>
          <w:marBottom w:val="0"/>
          <w:divBdr>
            <w:top w:val="none" w:sz="0" w:space="0" w:color="auto"/>
            <w:left w:val="none" w:sz="0" w:space="0" w:color="auto"/>
            <w:bottom w:val="none" w:sz="0" w:space="0" w:color="auto"/>
            <w:right w:val="none" w:sz="0" w:space="0" w:color="auto"/>
          </w:divBdr>
        </w:div>
        <w:div w:id="1418091955">
          <w:marLeft w:val="1080"/>
          <w:marRight w:val="0"/>
          <w:marTop w:val="100"/>
          <w:marBottom w:val="0"/>
          <w:divBdr>
            <w:top w:val="none" w:sz="0" w:space="0" w:color="auto"/>
            <w:left w:val="none" w:sz="0" w:space="0" w:color="auto"/>
            <w:bottom w:val="none" w:sz="0" w:space="0" w:color="auto"/>
            <w:right w:val="none" w:sz="0" w:space="0" w:color="auto"/>
          </w:divBdr>
        </w:div>
        <w:div w:id="1078753128">
          <w:marLeft w:val="1080"/>
          <w:marRight w:val="0"/>
          <w:marTop w:val="100"/>
          <w:marBottom w:val="0"/>
          <w:divBdr>
            <w:top w:val="none" w:sz="0" w:space="0" w:color="auto"/>
            <w:left w:val="none" w:sz="0" w:space="0" w:color="auto"/>
            <w:bottom w:val="none" w:sz="0" w:space="0" w:color="auto"/>
            <w:right w:val="none" w:sz="0" w:space="0" w:color="auto"/>
          </w:divBdr>
        </w:div>
        <w:div w:id="1944730022">
          <w:marLeft w:val="1080"/>
          <w:marRight w:val="0"/>
          <w:marTop w:val="100"/>
          <w:marBottom w:val="0"/>
          <w:divBdr>
            <w:top w:val="none" w:sz="0" w:space="0" w:color="auto"/>
            <w:left w:val="none" w:sz="0" w:space="0" w:color="auto"/>
            <w:bottom w:val="none" w:sz="0" w:space="0" w:color="auto"/>
            <w:right w:val="none" w:sz="0" w:space="0" w:color="auto"/>
          </w:divBdr>
        </w:div>
        <w:div w:id="555776561">
          <w:marLeft w:val="360"/>
          <w:marRight w:val="0"/>
          <w:marTop w:val="200"/>
          <w:marBottom w:val="0"/>
          <w:divBdr>
            <w:top w:val="none" w:sz="0" w:space="0" w:color="auto"/>
            <w:left w:val="none" w:sz="0" w:space="0" w:color="auto"/>
            <w:bottom w:val="none" w:sz="0" w:space="0" w:color="auto"/>
            <w:right w:val="none" w:sz="0" w:space="0" w:color="auto"/>
          </w:divBdr>
        </w:div>
        <w:div w:id="1480459036">
          <w:marLeft w:val="360"/>
          <w:marRight w:val="0"/>
          <w:marTop w:val="200"/>
          <w:marBottom w:val="0"/>
          <w:divBdr>
            <w:top w:val="none" w:sz="0" w:space="0" w:color="auto"/>
            <w:left w:val="none" w:sz="0" w:space="0" w:color="auto"/>
            <w:bottom w:val="none" w:sz="0" w:space="0" w:color="auto"/>
            <w:right w:val="none" w:sz="0" w:space="0" w:color="auto"/>
          </w:divBdr>
        </w:div>
        <w:div w:id="1091774507">
          <w:marLeft w:val="1080"/>
          <w:marRight w:val="0"/>
          <w:marTop w:val="100"/>
          <w:marBottom w:val="0"/>
          <w:divBdr>
            <w:top w:val="none" w:sz="0" w:space="0" w:color="auto"/>
            <w:left w:val="none" w:sz="0" w:space="0" w:color="auto"/>
            <w:bottom w:val="none" w:sz="0" w:space="0" w:color="auto"/>
            <w:right w:val="none" w:sz="0" w:space="0" w:color="auto"/>
          </w:divBdr>
        </w:div>
        <w:div w:id="475032369">
          <w:marLeft w:val="1080"/>
          <w:marRight w:val="0"/>
          <w:marTop w:val="100"/>
          <w:marBottom w:val="0"/>
          <w:divBdr>
            <w:top w:val="none" w:sz="0" w:space="0" w:color="auto"/>
            <w:left w:val="none" w:sz="0" w:space="0" w:color="auto"/>
            <w:bottom w:val="none" w:sz="0" w:space="0" w:color="auto"/>
            <w:right w:val="none" w:sz="0" w:space="0" w:color="auto"/>
          </w:divBdr>
        </w:div>
        <w:div w:id="157130876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1.bin"/><Relationship Id="rId21" Type="http://schemas.openxmlformats.org/officeDocument/2006/relationships/image" Target="media/image8.wmf"/><Relationship Id="rId34" Type="http://schemas.openxmlformats.org/officeDocument/2006/relationships/image" Target="media/image14.wmf"/><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7.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oleObject" Target="embeddings/oleObject16.bin"/><Relationship Id="rId8" Type="http://schemas.openxmlformats.org/officeDocument/2006/relationships/image" Target="media/image2.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7BD1E-159D-4FBA-A24C-3B628C393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1413</Words>
  <Characters>6854</Characters>
  <Application>Microsoft Office Word</Application>
  <DocSecurity>0</DocSecurity>
  <Lines>253</Lines>
  <Paragraphs>192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6</cp:revision>
  <dcterms:created xsi:type="dcterms:W3CDTF">2018-02-19T16:14:00Z</dcterms:created>
  <dcterms:modified xsi:type="dcterms:W3CDTF">2018-02-19T18:18:00Z</dcterms:modified>
</cp:coreProperties>
</file>