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A4DD3" w14:textId="53003F54" w:rsidR="002661D6" w:rsidRPr="00E61854" w:rsidRDefault="002661D6" w:rsidP="002661D6">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RAN4#86</w:t>
      </w:r>
      <w:r w:rsidRPr="004B7E17">
        <w:rPr>
          <w:rFonts w:ascii="Arial" w:hAnsi="Arial" w:cs="Arial"/>
          <w:b/>
          <w:noProof/>
          <w:sz w:val="24"/>
          <w:szCs w:val="24"/>
          <w:lang w:val="en-US"/>
        </w:rPr>
        <w:tab/>
        <w:t>R4-1</w:t>
      </w:r>
      <w:r>
        <w:rPr>
          <w:rFonts w:ascii="Arial" w:hAnsi="Arial" w:cs="Arial"/>
          <w:b/>
          <w:noProof/>
          <w:sz w:val="24"/>
          <w:szCs w:val="24"/>
          <w:lang w:val="en-US"/>
        </w:rPr>
        <w:t>8</w:t>
      </w:r>
      <w:r w:rsidR="005761F6">
        <w:rPr>
          <w:rFonts w:ascii="Arial" w:hAnsi="Arial" w:cs="Arial"/>
          <w:b/>
          <w:noProof/>
          <w:sz w:val="24"/>
          <w:szCs w:val="24"/>
          <w:lang w:val="en-US"/>
        </w:rPr>
        <w:t>02381</w:t>
      </w:r>
    </w:p>
    <w:p w14:paraId="7A78698C" w14:textId="77777777" w:rsidR="002661D6" w:rsidRDefault="002661D6" w:rsidP="002661D6">
      <w:pPr>
        <w:pStyle w:val="Footer"/>
        <w:jc w:val="both"/>
        <w:rPr>
          <w:i w:val="0"/>
          <w:noProof w:val="0"/>
          <w:sz w:val="24"/>
          <w:szCs w:val="24"/>
          <w:lang w:eastAsia="ja-JP"/>
        </w:rPr>
      </w:pPr>
      <w:r>
        <w:rPr>
          <w:rFonts w:eastAsia="SimSun"/>
          <w:i w:val="0"/>
          <w:noProof w:val="0"/>
          <w:sz w:val="24"/>
          <w:szCs w:val="24"/>
          <w:lang w:eastAsia="zh-CN"/>
        </w:rPr>
        <w:t>Athens, Greece</w:t>
      </w:r>
      <w:r>
        <w:rPr>
          <w:i w:val="0"/>
          <w:noProof w:val="0"/>
          <w:sz w:val="24"/>
          <w:szCs w:val="24"/>
          <w:lang w:eastAsia="ja-JP"/>
        </w:rPr>
        <w:t>, February 26</w:t>
      </w:r>
      <w:r w:rsidRPr="00875F15">
        <w:rPr>
          <w:i w:val="0"/>
          <w:noProof w:val="0"/>
          <w:sz w:val="24"/>
          <w:szCs w:val="24"/>
          <w:vertAlign w:val="superscript"/>
          <w:lang w:eastAsia="ja-JP"/>
        </w:rPr>
        <w:t>th</w:t>
      </w:r>
      <w:r>
        <w:rPr>
          <w:i w:val="0"/>
          <w:noProof w:val="0"/>
          <w:sz w:val="24"/>
          <w:szCs w:val="24"/>
          <w:lang w:eastAsia="ja-JP"/>
        </w:rPr>
        <w:t xml:space="preserve"> – March 2</w:t>
      </w:r>
      <w:r w:rsidRPr="00875F15">
        <w:rPr>
          <w:i w:val="0"/>
          <w:noProof w:val="0"/>
          <w:sz w:val="24"/>
          <w:szCs w:val="24"/>
          <w:vertAlign w:val="superscript"/>
          <w:lang w:eastAsia="ja-JP"/>
        </w:rPr>
        <w:t>nd</w:t>
      </w:r>
      <w:r>
        <w:rPr>
          <w:i w:val="0"/>
          <w:noProof w:val="0"/>
          <w:sz w:val="24"/>
          <w:szCs w:val="24"/>
          <w:lang w:eastAsia="ja-JP"/>
        </w:rPr>
        <w:t xml:space="preserve"> </w:t>
      </w:r>
      <w:r w:rsidRPr="004B7E17">
        <w:rPr>
          <w:i w:val="0"/>
          <w:noProof w:val="0"/>
          <w:sz w:val="24"/>
          <w:szCs w:val="24"/>
          <w:lang w:eastAsia="ja-JP"/>
        </w:rPr>
        <w:t>, 201</w:t>
      </w:r>
      <w:r>
        <w:rPr>
          <w:i w:val="0"/>
          <w:noProof w:val="0"/>
          <w:sz w:val="24"/>
          <w:szCs w:val="24"/>
          <w:lang w:eastAsia="ja-JP"/>
        </w:rPr>
        <w:t>8</w:t>
      </w:r>
    </w:p>
    <w:p w14:paraId="7363B36E" w14:textId="77777777" w:rsidR="00380C19" w:rsidRPr="002661D6" w:rsidRDefault="00380C19" w:rsidP="00B762A7">
      <w:pPr>
        <w:pStyle w:val="Footer"/>
        <w:jc w:val="both"/>
        <w:rPr>
          <w:noProof w:val="0"/>
        </w:rPr>
      </w:pPr>
    </w:p>
    <w:p w14:paraId="3997F049" w14:textId="680C2703"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5F79F2">
        <w:rPr>
          <w:rFonts w:ascii="Arial" w:hAnsi="Arial"/>
          <w:sz w:val="24"/>
        </w:rPr>
        <w:t>7</w:t>
      </w:r>
      <w:r w:rsidR="005C02D8">
        <w:rPr>
          <w:rFonts w:ascii="Arial" w:hAnsi="Arial"/>
          <w:sz w:val="24"/>
        </w:rPr>
        <w:t>.</w:t>
      </w:r>
      <w:r w:rsidR="003358D1">
        <w:rPr>
          <w:rFonts w:ascii="Arial" w:hAnsi="Arial"/>
          <w:sz w:val="24"/>
        </w:rPr>
        <w:t>1</w:t>
      </w:r>
      <w:r w:rsidR="005F79F2">
        <w:rPr>
          <w:rFonts w:ascii="Arial" w:hAnsi="Arial"/>
          <w:sz w:val="24"/>
        </w:rPr>
        <w:t>.6</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79E1C531"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F79F2">
        <w:rPr>
          <w:rFonts w:ascii="Arial" w:hAnsi="Arial"/>
          <w:sz w:val="22"/>
        </w:rPr>
        <w:t xml:space="preserve">Limitations on </w:t>
      </w:r>
      <w:r w:rsidR="005C02D8" w:rsidRPr="002661D6">
        <w:rPr>
          <w:rFonts w:ascii="Arial" w:hAnsi="Arial"/>
          <w:sz w:val="24"/>
          <w:szCs w:val="24"/>
        </w:rPr>
        <w:t>BWP</w:t>
      </w:r>
      <w:r w:rsidR="00BA6F0D" w:rsidRPr="002661D6">
        <w:rPr>
          <w:rFonts w:ascii="Arial" w:hAnsi="Arial"/>
          <w:sz w:val="24"/>
          <w:szCs w:val="24"/>
        </w:rPr>
        <w:t xml:space="preserve"> Operation</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534C8804" w:rsidR="00BA6F0D" w:rsidRPr="00BA6F0D" w:rsidRDefault="001E6E93" w:rsidP="0079497A">
      <w:pPr>
        <w:jc w:val="both"/>
        <w:rPr>
          <w:rFonts w:eastAsia="MS Mincho"/>
          <w:lang w:val="en-US" w:eastAsia="ja-JP"/>
        </w:rPr>
      </w:pPr>
      <w:r>
        <w:rPr>
          <w:rFonts w:eastAsia="MS Mincho"/>
          <w:lang w:val="en-US" w:eastAsia="ja-JP"/>
        </w:rPr>
        <w:t xml:space="preserve">Wideband and CA operation has been extensively discussed in the past few meetings. </w:t>
      </w:r>
      <w:r w:rsidR="009438D1">
        <w:rPr>
          <w:rFonts w:eastAsia="MS Mincho"/>
          <w:lang w:val="en-US" w:eastAsia="ja-JP"/>
        </w:rPr>
        <w:t>In [1] it was proposed to limit the BWP bandwidths to the set of agreed channel bandwidths but this was not explicitly agreed. In this paper we further elaborate on this issue.</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515A6A0E" w14:textId="45C896F4" w:rsidR="00093EC0" w:rsidRDefault="00261023" w:rsidP="00261023">
      <w:pPr>
        <w:jc w:val="both"/>
        <w:rPr>
          <w:rFonts w:eastAsia="MS Mincho"/>
          <w:lang w:val="en-US" w:eastAsia="ja-JP"/>
        </w:rPr>
      </w:pPr>
      <w:r>
        <w:rPr>
          <w:rFonts w:eastAsia="MS Mincho"/>
          <w:lang w:val="en-US" w:eastAsia="ja-JP"/>
        </w:rPr>
        <w:t xml:space="preserve">RAN1 agreed to introduce RB level granularity for BWP configuration. </w:t>
      </w:r>
      <w:r w:rsidR="00093EC0">
        <w:rPr>
          <w:rFonts w:eastAsia="MS Mincho"/>
          <w:lang w:val="en-US" w:eastAsia="ja-JP"/>
        </w:rPr>
        <w:t xml:space="preserve">In RAN4# AH 18-01 it was agreed that no new requirements or test cases would be introduced for BWP operation with BWP bandwidths other than the set of configured channel bandwidths. This is offering some guideline for deployments, however, RB level granularity BWP configurations are still possible and enabled through the current requirements framework. From an implementation point of view, RB level granularity will greatly increase the amount of verification that is needed without any benefits. </w:t>
      </w:r>
    </w:p>
    <w:p w14:paraId="3B53F166" w14:textId="11ED8AC0" w:rsidR="00093EC0" w:rsidRDefault="00093EC0" w:rsidP="00261023">
      <w:pPr>
        <w:jc w:val="both"/>
        <w:rPr>
          <w:rFonts w:eastAsia="MS Mincho"/>
          <w:lang w:val="en-US" w:eastAsia="ja-JP"/>
        </w:rPr>
      </w:pPr>
      <w:r>
        <w:rPr>
          <w:rFonts w:eastAsia="MS Mincho"/>
          <w:lang w:val="en-US" w:eastAsia="ja-JP"/>
        </w:rPr>
        <w:t>In order to obtain any benefit from an RB level granularity</w:t>
      </w:r>
      <w:r w:rsidR="00D95B88">
        <w:rPr>
          <w:rFonts w:eastAsia="MS Mincho"/>
          <w:lang w:val="en-US" w:eastAsia="ja-JP"/>
        </w:rPr>
        <w:t xml:space="preserve">, the RF bandwidth would have to be adapted to an RB level granularity. This is not feasible as it would involve changing the ADC/DAC sampling rate and digital filter bandwidths with very fine granularity. From a UE power consumption point of view, BWPs with RB level granularity or from the set of defined channel bandwidths are the same. </w:t>
      </w:r>
    </w:p>
    <w:p w14:paraId="60F0A809" w14:textId="0CFA814A" w:rsidR="00D95B88" w:rsidRPr="00D95B88" w:rsidRDefault="00D95B88" w:rsidP="00261023">
      <w:pPr>
        <w:jc w:val="both"/>
        <w:rPr>
          <w:rFonts w:eastAsia="MS Mincho"/>
          <w:b/>
          <w:lang w:val="en-US" w:eastAsia="ja-JP"/>
        </w:rPr>
      </w:pPr>
      <w:r w:rsidRPr="00D95B88">
        <w:rPr>
          <w:rFonts w:eastAsia="MS Mincho"/>
          <w:b/>
          <w:lang w:val="en-US" w:eastAsia="ja-JP"/>
        </w:rPr>
        <w:t>Observation</w:t>
      </w:r>
      <w:r>
        <w:rPr>
          <w:rFonts w:eastAsia="MS Mincho"/>
          <w:b/>
          <w:lang w:val="en-US" w:eastAsia="ja-JP"/>
        </w:rPr>
        <w:t xml:space="preserve"> 1</w:t>
      </w:r>
      <w:r w:rsidRPr="00D95B88">
        <w:rPr>
          <w:rFonts w:eastAsia="MS Mincho"/>
          <w:b/>
          <w:lang w:val="en-US" w:eastAsia="ja-JP"/>
        </w:rPr>
        <w:t>: From a UE power consumption point of view, BWPs with RB level granularity or from the set of defined channel bandwidths are the same.</w:t>
      </w:r>
    </w:p>
    <w:p w14:paraId="1354B6A6" w14:textId="56BDB528" w:rsidR="00D95B88" w:rsidRDefault="00D95B88" w:rsidP="00261023">
      <w:pPr>
        <w:jc w:val="both"/>
        <w:rPr>
          <w:rFonts w:eastAsia="MS Mincho"/>
          <w:lang w:val="en-US" w:eastAsia="ja-JP"/>
        </w:rPr>
      </w:pPr>
      <w:r>
        <w:rPr>
          <w:rFonts w:eastAsia="MS Mincho" w:hint="eastAsia"/>
          <w:lang w:val="en-US" w:eastAsia="ja-JP"/>
        </w:rPr>
        <w:t>I</w:t>
      </w:r>
      <w:r>
        <w:rPr>
          <w:rFonts w:eastAsia="MS Mincho"/>
          <w:lang w:val="en-US" w:eastAsia="ja-JP"/>
        </w:rPr>
        <w:t>n previous meetings the argument that RB level granularity offers more gNB flexibility was also brought up. From a gNB point of view there shouldn’t be any difference if the BWP configuration has RB level granularity or is from the set of defined channel bandwidths. The gNB can schedule any number of RBs irrespective of the configured BWP.</w:t>
      </w:r>
    </w:p>
    <w:p w14:paraId="1A5B78C4" w14:textId="4D830970" w:rsidR="00D95B88" w:rsidRPr="00D95B88" w:rsidRDefault="00D95B88" w:rsidP="00261023">
      <w:pPr>
        <w:jc w:val="both"/>
        <w:rPr>
          <w:rFonts w:eastAsia="MS Mincho"/>
          <w:b/>
          <w:lang w:val="en-US" w:eastAsia="ja-JP"/>
        </w:rPr>
      </w:pPr>
      <w:r w:rsidRPr="00D95B88">
        <w:rPr>
          <w:rFonts w:eastAsia="MS Mincho" w:hint="eastAsia"/>
          <w:b/>
          <w:lang w:val="en-US" w:eastAsia="ja-JP"/>
        </w:rPr>
        <w:t>O</w:t>
      </w:r>
      <w:r w:rsidRPr="00D95B88">
        <w:rPr>
          <w:rFonts w:eastAsia="MS Mincho"/>
          <w:b/>
          <w:lang w:val="en-US" w:eastAsia="ja-JP"/>
        </w:rPr>
        <w:t>bservation 2: From a gNB point of view there shouldn’t be any difference if the BWP configuration has RB level granularity or is from the set of defined channel bandwidths.</w:t>
      </w:r>
    </w:p>
    <w:p w14:paraId="61F8C208" w14:textId="370EF522" w:rsidR="005721B8" w:rsidRDefault="00293E5F" w:rsidP="005721B8">
      <w:pPr>
        <w:jc w:val="both"/>
        <w:rPr>
          <w:rFonts w:eastAsia="MS Mincho"/>
          <w:lang w:val="en-US" w:eastAsia="ja-JP"/>
        </w:rPr>
      </w:pPr>
      <w:r>
        <w:rPr>
          <w:rFonts w:eastAsia="MS Mincho"/>
          <w:lang w:val="en-US" w:eastAsia="ja-JP"/>
        </w:rPr>
        <w:t xml:space="preserve">Considering the above, </w:t>
      </w:r>
      <w:r w:rsidR="005721B8">
        <w:rPr>
          <w:rFonts w:eastAsia="MS Mincho"/>
          <w:lang w:val="en-US" w:eastAsia="ja-JP"/>
        </w:rPr>
        <w:t>RAN4 should clearly constrain the configuration of BWP to the set of defined channel bandwidths as there is no benefit from allowing RB level granularity.</w:t>
      </w:r>
    </w:p>
    <w:p w14:paraId="749C69BB" w14:textId="14CDAE60" w:rsidR="00261023" w:rsidRDefault="00261023" w:rsidP="00261023">
      <w:pPr>
        <w:jc w:val="both"/>
        <w:rPr>
          <w:rFonts w:eastAsia="MS Mincho"/>
          <w:b/>
          <w:lang w:val="en-US" w:eastAsia="ja-JP"/>
        </w:rPr>
      </w:pPr>
      <w:r w:rsidRPr="00BB191A">
        <w:rPr>
          <w:rFonts w:eastAsia="MS Mincho"/>
          <w:b/>
          <w:lang w:val="en-US" w:eastAsia="ja-JP"/>
        </w:rPr>
        <w:t>Proposal</w:t>
      </w:r>
      <w:r w:rsidR="005721B8">
        <w:rPr>
          <w:rFonts w:eastAsia="MS Mincho"/>
          <w:b/>
          <w:lang w:val="en-US" w:eastAsia="ja-JP"/>
        </w:rPr>
        <w:t>:</w:t>
      </w:r>
      <w:r w:rsidRPr="00BB191A">
        <w:rPr>
          <w:rFonts w:eastAsia="MS Mincho"/>
          <w:b/>
          <w:lang w:val="en-US" w:eastAsia="ja-JP"/>
        </w:rPr>
        <w:t xml:space="preserve"> RAN4 </w:t>
      </w:r>
      <w:r w:rsidR="005721B8">
        <w:rPr>
          <w:rFonts w:eastAsia="MS Mincho"/>
          <w:b/>
          <w:lang w:val="en-US" w:eastAsia="ja-JP"/>
        </w:rPr>
        <w:t>should constrain the configuration of BWP bandwidth to the set of defined channel bandwidths.</w:t>
      </w:r>
      <w:r w:rsidRPr="00BB191A">
        <w:rPr>
          <w:rFonts w:eastAsia="MS Mincho"/>
          <w:b/>
          <w:lang w:val="en-US" w:eastAsia="ja-JP"/>
        </w:rPr>
        <w:t xml:space="preserve"> </w:t>
      </w:r>
    </w:p>
    <w:p w14:paraId="31A753D8" w14:textId="34BB8347" w:rsidR="005721B8" w:rsidRPr="005721B8" w:rsidRDefault="005721B8" w:rsidP="00261023">
      <w:pPr>
        <w:jc w:val="both"/>
        <w:rPr>
          <w:rFonts w:eastAsia="MS Mincho"/>
          <w:lang w:val="en-US" w:eastAsia="ja-JP"/>
        </w:rPr>
      </w:pPr>
      <w:r>
        <w:rPr>
          <w:rFonts w:eastAsia="MS Mincho"/>
          <w:lang w:val="en-US" w:eastAsia="ja-JP"/>
        </w:rPr>
        <w:t>This decision could be further revisited in future releases if benefits for RB level granularity are identified.</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489499A6" w:rsidR="002C729B" w:rsidRDefault="005B25F1" w:rsidP="002C729B">
      <w:pPr>
        <w:jc w:val="both"/>
        <w:rPr>
          <w:rFonts w:eastAsia="MS Mincho"/>
          <w:lang w:val="en-US" w:eastAsia="ja-JP"/>
        </w:rPr>
      </w:pPr>
      <w:r>
        <w:rPr>
          <w:rFonts w:eastAsia="MS Mincho" w:hint="eastAsia"/>
          <w:lang w:val="en-US" w:eastAsia="ja-JP"/>
        </w:rPr>
        <w:t xml:space="preserve">In this paper we </w:t>
      </w:r>
      <w:r w:rsidR="0032565D">
        <w:rPr>
          <w:rFonts w:eastAsia="MS Mincho"/>
          <w:lang w:val="en-US" w:eastAsia="ja-JP"/>
        </w:rPr>
        <w:t>d</w:t>
      </w:r>
      <w:r w:rsidR="00EC3E1D">
        <w:rPr>
          <w:rFonts w:eastAsia="MS Mincho"/>
          <w:lang w:val="en-US" w:eastAsia="ja-JP"/>
        </w:rPr>
        <w:t xml:space="preserve">iscussed </w:t>
      </w:r>
      <w:r w:rsidR="005721B8">
        <w:rPr>
          <w:rFonts w:eastAsia="MS Mincho"/>
          <w:lang w:val="en-US" w:eastAsia="ja-JP"/>
        </w:rPr>
        <w:t xml:space="preserve">the configurations of BWP. We made the following observations: </w:t>
      </w:r>
    </w:p>
    <w:p w14:paraId="65A0CFCF" w14:textId="77777777" w:rsidR="005721B8" w:rsidRPr="00D95B88" w:rsidRDefault="005721B8" w:rsidP="005721B8">
      <w:pPr>
        <w:jc w:val="both"/>
        <w:rPr>
          <w:rFonts w:eastAsia="MS Mincho"/>
          <w:b/>
          <w:lang w:val="en-US" w:eastAsia="ja-JP"/>
        </w:rPr>
      </w:pPr>
      <w:r w:rsidRPr="00D95B88">
        <w:rPr>
          <w:rFonts w:eastAsia="MS Mincho"/>
          <w:b/>
          <w:lang w:val="en-US" w:eastAsia="ja-JP"/>
        </w:rPr>
        <w:t>Observation</w:t>
      </w:r>
      <w:r>
        <w:rPr>
          <w:rFonts w:eastAsia="MS Mincho"/>
          <w:b/>
          <w:lang w:val="en-US" w:eastAsia="ja-JP"/>
        </w:rPr>
        <w:t xml:space="preserve"> 1</w:t>
      </w:r>
      <w:r w:rsidRPr="00D95B88">
        <w:rPr>
          <w:rFonts w:eastAsia="MS Mincho"/>
          <w:b/>
          <w:lang w:val="en-US" w:eastAsia="ja-JP"/>
        </w:rPr>
        <w:t>: From a UE power consumption point of view, BWPs with RB level granularity or from the set of defined channel bandwidths are the same.</w:t>
      </w:r>
    </w:p>
    <w:p w14:paraId="56672951" w14:textId="77777777" w:rsidR="005721B8" w:rsidRPr="00D95B88" w:rsidRDefault="005721B8" w:rsidP="005721B8">
      <w:pPr>
        <w:jc w:val="both"/>
        <w:rPr>
          <w:rFonts w:eastAsia="MS Mincho"/>
          <w:b/>
          <w:lang w:val="en-US" w:eastAsia="ja-JP"/>
        </w:rPr>
      </w:pPr>
      <w:r w:rsidRPr="00D95B88">
        <w:rPr>
          <w:rFonts w:eastAsia="MS Mincho" w:hint="eastAsia"/>
          <w:b/>
          <w:lang w:val="en-US" w:eastAsia="ja-JP"/>
        </w:rPr>
        <w:t>O</w:t>
      </w:r>
      <w:r w:rsidRPr="00D95B88">
        <w:rPr>
          <w:rFonts w:eastAsia="MS Mincho"/>
          <w:b/>
          <w:lang w:val="en-US" w:eastAsia="ja-JP"/>
        </w:rPr>
        <w:t>bservation 2: From a gNB point of view there shouldn’t be any difference if the BWP configuration has RB level granularity or is from the set of defined channel bandwidths.</w:t>
      </w:r>
    </w:p>
    <w:p w14:paraId="19D9112D" w14:textId="2EB56B6A" w:rsidR="005721B8" w:rsidRDefault="005721B8" w:rsidP="005721B8">
      <w:pPr>
        <w:jc w:val="both"/>
        <w:rPr>
          <w:rFonts w:eastAsia="MS Mincho"/>
          <w:lang w:val="en-US" w:eastAsia="ja-JP"/>
        </w:rPr>
      </w:pPr>
      <w:r>
        <w:rPr>
          <w:rFonts w:eastAsia="MS Mincho"/>
          <w:lang w:val="en-US" w:eastAsia="ja-JP"/>
        </w:rPr>
        <w:lastRenderedPageBreak/>
        <w:t>Based on these observations, RAN4 should clearly constrain the configuration of BWP to the set of defined channel bandwidths as there is no benefit from allowing RB level granularity.</w:t>
      </w:r>
    </w:p>
    <w:p w14:paraId="3774A9EA" w14:textId="77777777" w:rsidR="005721B8" w:rsidRDefault="005721B8" w:rsidP="005721B8">
      <w:pPr>
        <w:jc w:val="both"/>
        <w:rPr>
          <w:rFonts w:eastAsia="MS Mincho"/>
          <w:b/>
          <w:lang w:val="en-US" w:eastAsia="ja-JP"/>
        </w:rPr>
      </w:pPr>
      <w:r w:rsidRPr="00BB191A">
        <w:rPr>
          <w:rFonts w:eastAsia="MS Mincho"/>
          <w:b/>
          <w:lang w:val="en-US" w:eastAsia="ja-JP"/>
        </w:rPr>
        <w:t>Proposal</w:t>
      </w:r>
      <w:r>
        <w:rPr>
          <w:rFonts w:eastAsia="MS Mincho"/>
          <w:b/>
          <w:lang w:val="en-US" w:eastAsia="ja-JP"/>
        </w:rPr>
        <w:t>:</w:t>
      </w:r>
      <w:r w:rsidRPr="00BB191A">
        <w:rPr>
          <w:rFonts w:eastAsia="MS Mincho"/>
          <w:b/>
          <w:lang w:val="en-US" w:eastAsia="ja-JP"/>
        </w:rPr>
        <w:t xml:space="preserve"> RAN4 </w:t>
      </w:r>
      <w:r>
        <w:rPr>
          <w:rFonts w:eastAsia="MS Mincho"/>
          <w:b/>
          <w:lang w:val="en-US" w:eastAsia="ja-JP"/>
        </w:rPr>
        <w:t>should constrain the configuration of BWP bandwidth to the set of defined channel bandwidths.</w:t>
      </w:r>
      <w:r w:rsidRPr="00BB191A">
        <w:rPr>
          <w:rFonts w:eastAsia="MS Mincho"/>
          <w:b/>
          <w:lang w:val="en-US" w:eastAsia="ja-JP"/>
        </w:rPr>
        <w:t xml:space="preserve"> </w:t>
      </w:r>
    </w:p>
    <w:p w14:paraId="1571B1FB" w14:textId="11A74330" w:rsidR="00CA165B" w:rsidRDefault="005721B8" w:rsidP="005721B8">
      <w:pPr>
        <w:jc w:val="both"/>
        <w:rPr>
          <w:rFonts w:eastAsia="MS Mincho"/>
          <w:b/>
          <w:lang w:val="en-US" w:eastAsia="ja-JP"/>
        </w:rPr>
      </w:pPr>
      <w:r>
        <w:rPr>
          <w:rFonts w:eastAsia="MS Mincho"/>
          <w:lang w:val="en-US" w:eastAsia="ja-JP"/>
        </w:rPr>
        <w:t>This decision could be further revisited in future releases if benefits for RB level granularity are identified.</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062F0AD1" w:rsidR="00FB0094" w:rsidRPr="00FB0094" w:rsidRDefault="00FB0094" w:rsidP="009438D1">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MS Mincho" w:hint="eastAsia"/>
          <w:lang w:eastAsia="ja-JP"/>
        </w:rPr>
        <w:t>R4-1</w:t>
      </w:r>
      <w:r w:rsidR="009438D1">
        <w:rPr>
          <w:rFonts w:eastAsia="MS Mincho"/>
          <w:lang w:eastAsia="ja-JP"/>
        </w:rPr>
        <w:t>800730</w:t>
      </w:r>
      <w:r>
        <w:rPr>
          <w:rFonts w:eastAsia="MS Mincho" w:hint="eastAsia"/>
          <w:lang w:eastAsia="ja-JP"/>
        </w:rPr>
        <w:t xml:space="preserve">, </w:t>
      </w:r>
      <w:r>
        <w:rPr>
          <w:rFonts w:eastAsia="MS Mincho"/>
          <w:lang w:eastAsia="ja-JP"/>
        </w:rPr>
        <w:t>“</w:t>
      </w:r>
      <w:r w:rsidR="009438D1" w:rsidRPr="009438D1">
        <w:rPr>
          <w:rFonts w:eastAsia="MS Mincho"/>
          <w:lang w:val="de-DE" w:eastAsia="ja-JP"/>
        </w:rPr>
        <w:t>BWP Operation and Requirements for NR</w:t>
      </w:r>
      <w:r>
        <w:rPr>
          <w:rFonts w:eastAsia="MS Mincho"/>
          <w:lang w:val="de-DE" w:eastAsia="ja-JP"/>
        </w:rPr>
        <w:t xml:space="preserve">“, </w:t>
      </w:r>
      <w:r w:rsidR="009438D1">
        <w:rPr>
          <w:rFonts w:eastAsia="MS Mincho"/>
          <w:lang w:eastAsia="ja-JP"/>
        </w:rPr>
        <w:t>Qualcomm Incorporated</w:t>
      </w:r>
      <w:r>
        <w:rPr>
          <w:rFonts w:eastAsia="MS Mincho"/>
          <w:lang w:val="de-DE" w:eastAsia="ja-JP"/>
        </w:rPr>
        <w:t xml:space="preserve"> </w:t>
      </w:r>
    </w:p>
    <w:bookmarkEnd w:id="0"/>
    <w:bookmarkEnd w:id="5"/>
    <w:bookmarkEnd w:id="6"/>
    <w:bookmarkEnd w:id="7"/>
    <w:bookmarkEnd w:id="8"/>
    <w:bookmarkEnd w:id="9"/>
    <w:bookmarkEnd w:id="10"/>
    <w:bookmarkEnd w:id="11"/>
    <w:p w14:paraId="1E48BC87" w14:textId="3FE280F1" w:rsidR="00D356F7" w:rsidRPr="00AD5814" w:rsidRDefault="00D356F7" w:rsidP="005721B8">
      <w:pPr>
        <w:overflowPunct w:val="0"/>
        <w:autoSpaceDE w:val="0"/>
        <w:autoSpaceDN w:val="0"/>
        <w:adjustRightInd w:val="0"/>
        <w:jc w:val="both"/>
        <w:textAlignment w:val="baseline"/>
      </w:pPr>
    </w:p>
    <w:sectPr w:rsidR="00D356F7" w:rsidRPr="00AD5814"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5FD2" w14:textId="77777777" w:rsidR="00C76B24" w:rsidRDefault="00C76B24">
      <w:r>
        <w:separator/>
      </w:r>
    </w:p>
  </w:endnote>
  <w:endnote w:type="continuationSeparator" w:id="0">
    <w:p w14:paraId="36DDA951" w14:textId="77777777" w:rsidR="00C76B24" w:rsidRDefault="00C7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55697559"/>
      <w:docPartObj>
        <w:docPartGallery w:val="Page Numbers (Bottom of Page)"/>
        <w:docPartUnique/>
      </w:docPartObj>
    </w:sdtPr>
    <w:sdtEndPr>
      <w:rPr>
        <w:noProof/>
      </w:rPr>
    </w:sdtEndPr>
    <w:sdtContent>
      <w:p w14:paraId="52CA4F89" w14:textId="5498CC80" w:rsidR="00293E5F" w:rsidRDefault="00293E5F">
        <w:pPr>
          <w:pStyle w:val="Footer"/>
        </w:pPr>
        <w:r>
          <w:rPr>
            <w:noProof w:val="0"/>
          </w:rPr>
          <w:fldChar w:fldCharType="begin"/>
        </w:r>
        <w:r>
          <w:instrText xml:space="preserve"> PAGE   \* MERGEFORMAT </w:instrText>
        </w:r>
        <w:r>
          <w:rPr>
            <w:noProof w:val="0"/>
          </w:rPr>
          <w:fldChar w:fldCharType="separate"/>
        </w:r>
        <w:r w:rsidR="009713ED">
          <w:t>2</w:t>
        </w:r>
        <w:r>
          <w:fldChar w:fldCharType="end"/>
        </w:r>
      </w:p>
    </w:sdtContent>
  </w:sdt>
  <w:p w14:paraId="1DE43AF8" w14:textId="4D47B3D2" w:rsidR="00293E5F" w:rsidRDefault="00293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189BF" w14:textId="77777777" w:rsidR="00C76B24" w:rsidRDefault="00C76B24">
      <w:r>
        <w:separator/>
      </w:r>
    </w:p>
  </w:footnote>
  <w:footnote w:type="continuationSeparator" w:id="0">
    <w:p w14:paraId="4EC1736B" w14:textId="77777777" w:rsidR="00C76B24" w:rsidRDefault="00C76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85pt;height:15.8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A0141"/>
    <w:multiLevelType w:val="hybridMultilevel"/>
    <w:tmpl w:val="7A0EDCCC"/>
    <w:lvl w:ilvl="0" w:tplc="42F07A64">
      <w:start w:val="1"/>
      <w:numFmt w:val="bullet"/>
      <w:lvlText w:val="•"/>
      <w:lvlJc w:val="left"/>
      <w:pPr>
        <w:tabs>
          <w:tab w:val="num" w:pos="720"/>
        </w:tabs>
        <w:ind w:left="720" w:hanging="360"/>
      </w:pPr>
      <w:rPr>
        <w:rFonts w:ascii="Arial" w:hAnsi="Arial" w:hint="default"/>
      </w:rPr>
    </w:lvl>
    <w:lvl w:ilvl="1" w:tplc="E70665D8">
      <w:start w:val="1"/>
      <w:numFmt w:val="bullet"/>
      <w:lvlText w:val="•"/>
      <w:lvlJc w:val="left"/>
      <w:pPr>
        <w:tabs>
          <w:tab w:val="num" w:pos="1440"/>
        </w:tabs>
        <w:ind w:left="1440" w:hanging="360"/>
      </w:pPr>
      <w:rPr>
        <w:rFonts w:ascii="Arial" w:hAnsi="Arial" w:hint="default"/>
      </w:rPr>
    </w:lvl>
    <w:lvl w:ilvl="2" w:tplc="A9465F54">
      <w:numFmt w:val="bullet"/>
      <w:lvlText w:val="•"/>
      <w:lvlJc w:val="left"/>
      <w:pPr>
        <w:tabs>
          <w:tab w:val="num" w:pos="2160"/>
        </w:tabs>
        <w:ind w:left="2160" w:hanging="360"/>
      </w:pPr>
      <w:rPr>
        <w:rFonts w:ascii="Arial" w:hAnsi="Arial" w:hint="default"/>
      </w:rPr>
    </w:lvl>
    <w:lvl w:ilvl="3" w:tplc="B88EC1AC" w:tentative="1">
      <w:start w:val="1"/>
      <w:numFmt w:val="bullet"/>
      <w:lvlText w:val="•"/>
      <w:lvlJc w:val="left"/>
      <w:pPr>
        <w:tabs>
          <w:tab w:val="num" w:pos="2880"/>
        </w:tabs>
        <w:ind w:left="2880" w:hanging="360"/>
      </w:pPr>
      <w:rPr>
        <w:rFonts w:ascii="Arial" w:hAnsi="Arial" w:hint="default"/>
      </w:rPr>
    </w:lvl>
    <w:lvl w:ilvl="4" w:tplc="5BE86C3C" w:tentative="1">
      <w:start w:val="1"/>
      <w:numFmt w:val="bullet"/>
      <w:lvlText w:val="•"/>
      <w:lvlJc w:val="left"/>
      <w:pPr>
        <w:tabs>
          <w:tab w:val="num" w:pos="3600"/>
        </w:tabs>
        <w:ind w:left="3600" w:hanging="360"/>
      </w:pPr>
      <w:rPr>
        <w:rFonts w:ascii="Arial" w:hAnsi="Arial" w:hint="default"/>
      </w:rPr>
    </w:lvl>
    <w:lvl w:ilvl="5" w:tplc="DC6E266E" w:tentative="1">
      <w:start w:val="1"/>
      <w:numFmt w:val="bullet"/>
      <w:lvlText w:val="•"/>
      <w:lvlJc w:val="left"/>
      <w:pPr>
        <w:tabs>
          <w:tab w:val="num" w:pos="4320"/>
        </w:tabs>
        <w:ind w:left="4320" w:hanging="360"/>
      </w:pPr>
      <w:rPr>
        <w:rFonts w:ascii="Arial" w:hAnsi="Arial" w:hint="default"/>
      </w:rPr>
    </w:lvl>
    <w:lvl w:ilvl="6" w:tplc="BAFE44D8" w:tentative="1">
      <w:start w:val="1"/>
      <w:numFmt w:val="bullet"/>
      <w:lvlText w:val="•"/>
      <w:lvlJc w:val="left"/>
      <w:pPr>
        <w:tabs>
          <w:tab w:val="num" w:pos="5040"/>
        </w:tabs>
        <w:ind w:left="5040" w:hanging="360"/>
      </w:pPr>
      <w:rPr>
        <w:rFonts w:ascii="Arial" w:hAnsi="Arial" w:hint="default"/>
      </w:rPr>
    </w:lvl>
    <w:lvl w:ilvl="7" w:tplc="6E2AD15A" w:tentative="1">
      <w:start w:val="1"/>
      <w:numFmt w:val="bullet"/>
      <w:lvlText w:val="•"/>
      <w:lvlJc w:val="left"/>
      <w:pPr>
        <w:tabs>
          <w:tab w:val="num" w:pos="5760"/>
        </w:tabs>
        <w:ind w:left="5760" w:hanging="360"/>
      </w:pPr>
      <w:rPr>
        <w:rFonts w:ascii="Arial" w:hAnsi="Arial" w:hint="default"/>
      </w:rPr>
    </w:lvl>
    <w:lvl w:ilvl="8" w:tplc="0748AB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7"/>
  </w:num>
  <w:num w:numId="6">
    <w:abstractNumId w:val="2"/>
  </w:num>
  <w:num w:numId="7">
    <w:abstractNumId w:val="6"/>
  </w:num>
  <w:num w:numId="8">
    <w:abstractNumId w:val="13"/>
  </w:num>
  <w:num w:numId="9">
    <w:abstractNumId w:val="14"/>
  </w:num>
  <w:num w:numId="10">
    <w:abstractNumId w:val="10"/>
  </w:num>
  <w:num w:numId="11">
    <w:abstractNumId w:val="9"/>
  </w:num>
  <w:num w:numId="12">
    <w:abstractNumId w:val="8"/>
  </w:num>
  <w:num w:numId="13">
    <w:abstractNumId w:val="16"/>
  </w:num>
  <w:num w:numId="14">
    <w:abstractNumId w:val="15"/>
  </w:num>
  <w:num w:numId="15">
    <w:abstractNumId w:val="19"/>
  </w:num>
  <w:num w:numId="16">
    <w:abstractNumId w:val="5"/>
  </w:num>
  <w:num w:numId="17">
    <w:abstractNumId w:val="18"/>
  </w:num>
  <w:num w:numId="18">
    <w:abstractNumId w:val="12"/>
  </w:num>
  <w:num w:numId="19">
    <w:abstractNumId w:val="7"/>
  </w:num>
  <w:num w:numId="20">
    <w:abstractNumId w:val="11"/>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01"/>
    <w:rsid w:val="00041783"/>
    <w:rsid w:val="00042122"/>
    <w:rsid w:val="000421C4"/>
    <w:rsid w:val="0004220B"/>
    <w:rsid w:val="00043833"/>
    <w:rsid w:val="00043BC5"/>
    <w:rsid w:val="00043F79"/>
    <w:rsid w:val="000442D9"/>
    <w:rsid w:val="00044562"/>
    <w:rsid w:val="00044BAA"/>
    <w:rsid w:val="00044C25"/>
    <w:rsid w:val="0004500C"/>
    <w:rsid w:val="00045ED7"/>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3EC0"/>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0DE"/>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23D"/>
    <w:rsid w:val="00107EFF"/>
    <w:rsid w:val="00107FF6"/>
    <w:rsid w:val="00110973"/>
    <w:rsid w:val="00110C40"/>
    <w:rsid w:val="00110CE9"/>
    <w:rsid w:val="001119E6"/>
    <w:rsid w:val="00112C1D"/>
    <w:rsid w:val="001133CF"/>
    <w:rsid w:val="00113571"/>
    <w:rsid w:val="00114070"/>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6EE"/>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6E93"/>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6586"/>
    <w:rsid w:val="00257195"/>
    <w:rsid w:val="0025772C"/>
    <w:rsid w:val="002578D8"/>
    <w:rsid w:val="00257E42"/>
    <w:rsid w:val="00261023"/>
    <w:rsid w:val="00261065"/>
    <w:rsid w:val="002613A5"/>
    <w:rsid w:val="0026280B"/>
    <w:rsid w:val="00263FAE"/>
    <w:rsid w:val="002654C7"/>
    <w:rsid w:val="00265B22"/>
    <w:rsid w:val="00265FB9"/>
    <w:rsid w:val="002661D6"/>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E5F"/>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1C9"/>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8D1"/>
    <w:rsid w:val="00335FD4"/>
    <w:rsid w:val="0033633F"/>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1F70"/>
    <w:rsid w:val="00442C27"/>
    <w:rsid w:val="00444983"/>
    <w:rsid w:val="00444F8C"/>
    <w:rsid w:val="004453C9"/>
    <w:rsid w:val="00445A1C"/>
    <w:rsid w:val="0044674B"/>
    <w:rsid w:val="00446771"/>
    <w:rsid w:val="0044680A"/>
    <w:rsid w:val="00446AD9"/>
    <w:rsid w:val="004476B3"/>
    <w:rsid w:val="00450A6C"/>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61F9"/>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1E32"/>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1B8"/>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1F6"/>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2D8"/>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5F79F2"/>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77B70"/>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1E5"/>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59A"/>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8D1"/>
    <w:rsid w:val="009439D6"/>
    <w:rsid w:val="00943AAA"/>
    <w:rsid w:val="00945CE8"/>
    <w:rsid w:val="009461EB"/>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3ED"/>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104"/>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099"/>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5F36"/>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0FDC"/>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91A"/>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0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6E2F"/>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6B24"/>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65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5B88"/>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159"/>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696"/>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540"/>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2829"/>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D3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886792949">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0348961">
      <w:bodyDiv w:val="1"/>
      <w:marLeft w:val="0"/>
      <w:marRight w:val="0"/>
      <w:marTop w:val="0"/>
      <w:marBottom w:val="0"/>
      <w:divBdr>
        <w:top w:val="none" w:sz="0" w:space="0" w:color="auto"/>
        <w:left w:val="none" w:sz="0" w:space="0" w:color="auto"/>
        <w:bottom w:val="none" w:sz="0" w:space="0" w:color="auto"/>
        <w:right w:val="none" w:sz="0" w:space="0" w:color="auto"/>
      </w:divBdr>
      <w:divsChild>
        <w:div w:id="1169519995">
          <w:marLeft w:val="1080"/>
          <w:marRight w:val="0"/>
          <w:marTop w:val="100"/>
          <w:marBottom w:val="0"/>
          <w:divBdr>
            <w:top w:val="none" w:sz="0" w:space="0" w:color="auto"/>
            <w:left w:val="none" w:sz="0" w:space="0" w:color="auto"/>
            <w:bottom w:val="none" w:sz="0" w:space="0" w:color="auto"/>
            <w:right w:val="none" w:sz="0" w:space="0" w:color="auto"/>
          </w:divBdr>
        </w:div>
        <w:div w:id="455178215">
          <w:marLeft w:val="1800"/>
          <w:marRight w:val="0"/>
          <w:marTop w:val="100"/>
          <w:marBottom w:val="0"/>
          <w:divBdr>
            <w:top w:val="none" w:sz="0" w:space="0" w:color="auto"/>
            <w:left w:val="none" w:sz="0" w:space="0" w:color="auto"/>
            <w:bottom w:val="none" w:sz="0" w:space="0" w:color="auto"/>
            <w:right w:val="none" w:sz="0" w:space="0" w:color="auto"/>
          </w:divBdr>
        </w:div>
        <w:div w:id="23093164">
          <w:marLeft w:val="1080"/>
          <w:marRight w:val="0"/>
          <w:marTop w:val="100"/>
          <w:marBottom w:val="0"/>
          <w:divBdr>
            <w:top w:val="none" w:sz="0" w:space="0" w:color="auto"/>
            <w:left w:val="none" w:sz="0" w:space="0" w:color="auto"/>
            <w:bottom w:val="none" w:sz="0" w:space="0" w:color="auto"/>
            <w:right w:val="none" w:sz="0" w:space="0" w:color="auto"/>
          </w:divBdr>
        </w:div>
        <w:div w:id="494224405">
          <w:marLeft w:val="1800"/>
          <w:marRight w:val="0"/>
          <w:marTop w:val="100"/>
          <w:marBottom w:val="0"/>
          <w:divBdr>
            <w:top w:val="none" w:sz="0" w:space="0" w:color="auto"/>
            <w:left w:val="none" w:sz="0" w:space="0" w:color="auto"/>
            <w:bottom w:val="none" w:sz="0" w:space="0" w:color="auto"/>
            <w:right w:val="none" w:sz="0" w:space="0" w:color="auto"/>
          </w:divBdr>
        </w:div>
      </w:divsChild>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7C465B49-6068-4DC7-A7EF-A90511E0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2018-02-19T15:07:00Z</dcterms:created>
  <dcterms:modified xsi:type="dcterms:W3CDTF">2018-02-19T15:07:00Z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