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52700" w:rsidRPr="00EC4797" w:rsidRDefault="00D52700" w:rsidP="00D52700">
      <w:pPr>
        <w:tabs>
          <w:tab w:val="right" w:pos="9639"/>
        </w:tabs>
        <w:spacing w:after="0"/>
        <w:rPr>
          <w:rFonts w:ascii="Arial" w:hAnsi="Arial"/>
          <w:b/>
          <w:i/>
          <w:noProof/>
          <w:sz w:val="28"/>
        </w:rPr>
      </w:pPr>
      <w:r>
        <w:rPr>
          <w:rFonts w:ascii="Arial" w:hAnsi="Arial"/>
          <w:b/>
          <w:noProof/>
          <w:sz w:val="24"/>
        </w:rPr>
        <w:t>3GPP RAN4</w:t>
      </w:r>
      <w:r w:rsidRPr="00EC4797">
        <w:rPr>
          <w:rFonts w:ascii="Arial" w:hAnsi="Arial"/>
          <w:b/>
          <w:noProof/>
          <w:sz w:val="24"/>
        </w:rPr>
        <w:t xml:space="preserve"> Meeting #7</w:t>
      </w:r>
      <w:r w:rsidR="00AF3B78">
        <w:rPr>
          <w:rFonts w:ascii="Arial" w:hAnsi="Arial"/>
          <w:b/>
          <w:noProof/>
          <w:sz w:val="24"/>
        </w:rPr>
        <w:t>9</w:t>
      </w:r>
      <w:r w:rsidRPr="00EC4797">
        <w:rPr>
          <w:rFonts w:ascii="Arial" w:hAnsi="Arial"/>
          <w:b/>
          <w:i/>
          <w:noProof/>
          <w:sz w:val="28"/>
        </w:rPr>
        <w:t xml:space="preserve">  </w:t>
      </w:r>
      <w:r w:rsidRPr="00EC4797">
        <w:rPr>
          <w:rFonts w:ascii="Arial" w:hAnsi="Arial"/>
          <w:b/>
          <w:sz w:val="18"/>
        </w:rPr>
        <w:t xml:space="preserve">  </w:t>
      </w:r>
      <w:r w:rsidRPr="00EC4797">
        <w:rPr>
          <w:rFonts w:ascii="Arial" w:hAnsi="Arial"/>
          <w:b/>
          <w:noProof/>
          <w:sz w:val="28"/>
        </w:rPr>
        <w:t xml:space="preserve">                                        </w:t>
      </w:r>
      <w:r w:rsidR="004B327D">
        <w:rPr>
          <w:rFonts w:ascii="Arial" w:hAnsi="Arial"/>
          <w:b/>
          <w:noProof/>
          <w:sz w:val="28"/>
        </w:rPr>
        <w:t xml:space="preserve">           </w:t>
      </w:r>
      <w:r w:rsidRPr="00EC4797">
        <w:rPr>
          <w:rFonts w:ascii="Arial" w:hAnsi="Arial"/>
          <w:b/>
          <w:noProof/>
          <w:sz w:val="28"/>
        </w:rPr>
        <w:t>R4-</w:t>
      </w:r>
      <w:r w:rsidR="00AF3B78">
        <w:rPr>
          <w:rFonts w:ascii="Arial" w:hAnsi="Arial"/>
          <w:b/>
          <w:noProof/>
          <w:sz w:val="28"/>
        </w:rPr>
        <w:t>163</w:t>
      </w:r>
      <w:r w:rsidR="007364FA">
        <w:rPr>
          <w:rFonts w:ascii="Arial" w:hAnsi="Arial"/>
          <w:b/>
          <w:noProof/>
          <w:sz w:val="28"/>
        </w:rPr>
        <w:t>553</w:t>
      </w:r>
    </w:p>
    <w:p w:rsidR="00D52700" w:rsidRPr="00EC4797" w:rsidRDefault="00AF3B78" w:rsidP="00D52700">
      <w:pPr>
        <w:spacing w:after="120"/>
        <w:outlineLvl w:val="0"/>
        <w:rPr>
          <w:rFonts w:ascii="Arial" w:hAnsi="Arial"/>
          <w:b/>
          <w:noProof/>
          <w:sz w:val="24"/>
          <w:lang w:val="it-IT"/>
        </w:rPr>
      </w:pPr>
      <w:r>
        <w:rPr>
          <w:rFonts w:ascii="Arial" w:hAnsi="Arial"/>
          <w:b/>
          <w:noProof/>
          <w:sz w:val="24"/>
          <w:lang w:val="it-IT"/>
        </w:rPr>
        <w:t>Nanjing</w:t>
      </w:r>
      <w:r w:rsidR="00D52700">
        <w:rPr>
          <w:rFonts w:ascii="Arial" w:hAnsi="Arial"/>
          <w:b/>
          <w:noProof/>
          <w:sz w:val="24"/>
          <w:lang w:val="it-IT"/>
        </w:rPr>
        <w:t xml:space="preserve">,  </w:t>
      </w:r>
      <w:r>
        <w:rPr>
          <w:rFonts w:ascii="Arial" w:hAnsi="Arial"/>
          <w:b/>
          <w:noProof/>
          <w:sz w:val="24"/>
          <w:lang w:val="it-IT"/>
        </w:rPr>
        <w:t>China</w:t>
      </w:r>
      <w:r w:rsidR="00D52700">
        <w:rPr>
          <w:rFonts w:ascii="Arial" w:hAnsi="Arial"/>
          <w:b/>
          <w:noProof/>
          <w:sz w:val="24"/>
          <w:lang w:val="it-IT"/>
        </w:rPr>
        <w:t xml:space="preserve">,  </w:t>
      </w:r>
      <w:r>
        <w:rPr>
          <w:rFonts w:ascii="Arial" w:hAnsi="Arial"/>
          <w:b/>
          <w:noProof/>
          <w:sz w:val="24"/>
          <w:lang w:val="it-IT"/>
        </w:rPr>
        <w:t>May 23</w:t>
      </w:r>
      <w:r w:rsidR="00D52700">
        <w:rPr>
          <w:rFonts w:ascii="Arial" w:hAnsi="Arial"/>
          <w:b/>
          <w:noProof/>
          <w:sz w:val="24"/>
          <w:lang w:val="it-IT"/>
        </w:rPr>
        <w:t>-</w:t>
      </w:r>
      <w:r>
        <w:rPr>
          <w:rFonts w:ascii="Arial" w:hAnsi="Arial"/>
          <w:b/>
          <w:noProof/>
          <w:sz w:val="24"/>
          <w:lang w:val="it-IT"/>
        </w:rPr>
        <w:t>27</w:t>
      </w:r>
      <w:r w:rsidRPr="00EC4797">
        <w:rPr>
          <w:rFonts w:ascii="Arial" w:hAnsi="Arial"/>
          <w:b/>
          <w:noProof/>
          <w:sz w:val="24"/>
          <w:lang w:val="it-IT"/>
        </w:rPr>
        <w:t xml:space="preserve"> </w:t>
      </w:r>
      <w:r w:rsidR="00D52700" w:rsidRPr="00EC4797">
        <w:rPr>
          <w:rFonts w:ascii="Arial" w:hAnsi="Arial"/>
          <w:b/>
          <w:noProof/>
          <w:sz w:val="24"/>
          <w:lang w:val="it-IT"/>
        </w:rPr>
        <w:t>201</w:t>
      </w:r>
      <w:r w:rsidR="00D52700">
        <w:rPr>
          <w:rFonts w:ascii="Arial" w:hAnsi="Arial"/>
          <w:b/>
          <w:noProof/>
          <w:sz w:val="24"/>
          <w:lang w:val="it-IT"/>
        </w:rPr>
        <w:t>6</w:t>
      </w:r>
    </w:p>
    <w:p w:rsidR="00D52700" w:rsidRDefault="00D52700" w:rsidP="00D52700">
      <w:pPr>
        <w:tabs>
          <w:tab w:val="left" w:pos="1985"/>
        </w:tabs>
        <w:jc w:val="both"/>
        <w:rPr>
          <w:b/>
          <w:sz w:val="22"/>
        </w:rPr>
      </w:pPr>
    </w:p>
    <w:p w:rsidR="00D52700" w:rsidRPr="00B16EEF" w:rsidRDefault="00D52700" w:rsidP="00D52700">
      <w:pPr>
        <w:tabs>
          <w:tab w:val="left" w:pos="1985"/>
        </w:tabs>
        <w:rPr>
          <w:b/>
          <w:sz w:val="22"/>
        </w:rPr>
      </w:pPr>
      <w:r w:rsidRPr="00B16EEF">
        <w:rPr>
          <w:b/>
          <w:sz w:val="22"/>
        </w:rPr>
        <w:t xml:space="preserve">Source: </w:t>
      </w:r>
      <w:r w:rsidRPr="00B16EEF">
        <w:rPr>
          <w:b/>
          <w:sz w:val="22"/>
        </w:rPr>
        <w:tab/>
      </w:r>
      <w:r>
        <w:rPr>
          <w:sz w:val="22"/>
        </w:rPr>
        <w:t xml:space="preserve">Motorola </w:t>
      </w:r>
      <w:r w:rsidRPr="00A47707">
        <w:rPr>
          <w:sz w:val="22"/>
        </w:rPr>
        <w:t>Mobility</w:t>
      </w:r>
      <w:r>
        <w:rPr>
          <w:sz w:val="22"/>
        </w:rPr>
        <w:t xml:space="preserve"> LLC</w:t>
      </w:r>
    </w:p>
    <w:p w:rsidR="00D52700" w:rsidRPr="00090CC0" w:rsidRDefault="00D52700" w:rsidP="00D52700">
      <w:pPr>
        <w:tabs>
          <w:tab w:val="left" w:pos="1985"/>
        </w:tabs>
        <w:ind w:left="1980" w:hanging="1980"/>
        <w:jc w:val="both"/>
        <w:rPr>
          <w:b/>
          <w:sz w:val="22"/>
        </w:rPr>
      </w:pPr>
      <w:r w:rsidRPr="00B16EEF">
        <w:rPr>
          <w:b/>
          <w:sz w:val="22"/>
        </w:rPr>
        <w:t>Title:</w:t>
      </w:r>
      <w:r>
        <w:rPr>
          <w:sz w:val="22"/>
        </w:rPr>
        <w:t xml:space="preserve"> </w:t>
      </w:r>
      <w:r>
        <w:rPr>
          <w:sz w:val="22"/>
        </w:rPr>
        <w:tab/>
      </w:r>
      <w:r>
        <w:rPr>
          <w:sz w:val="22"/>
        </w:rPr>
        <w:tab/>
      </w:r>
      <w:r w:rsidR="007364FA">
        <w:rPr>
          <w:sz w:val="22"/>
        </w:rPr>
        <w:t>E-</w:t>
      </w:r>
      <w:r>
        <w:rPr>
          <w:sz w:val="22"/>
        </w:rPr>
        <w:t xml:space="preserve">UTRA BHH TRP/TRS performance requirements </w:t>
      </w:r>
    </w:p>
    <w:p w:rsidR="00D52700" w:rsidRDefault="00D52700" w:rsidP="00D52700">
      <w:pPr>
        <w:tabs>
          <w:tab w:val="left" w:pos="1985"/>
          <w:tab w:val="left" w:pos="2608"/>
          <w:tab w:val="left" w:pos="7140"/>
        </w:tabs>
        <w:rPr>
          <w:sz w:val="22"/>
        </w:rPr>
      </w:pPr>
      <w:r w:rsidRPr="00B16EEF">
        <w:rPr>
          <w:b/>
          <w:sz w:val="22"/>
        </w:rPr>
        <w:t>Agenda Item:</w:t>
      </w:r>
      <w:r>
        <w:rPr>
          <w:b/>
          <w:sz w:val="22"/>
        </w:rPr>
        <w:t xml:space="preserve"> </w:t>
      </w:r>
      <w:r>
        <w:rPr>
          <w:b/>
          <w:sz w:val="22"/>
        </w:rPr>
        <w:tab/>
      </w:r>
      <w:r>
        <w:rPr>
          <w:sz w:val="22"/>
        </w:rPr>
        <w:t>6.1</w:t>
      </w:r>
    </w:p>
    <w:p w:rsidR="00D52700" w:rsidRDefault="00D52700" w:rsidP="00D52700">
      <w:pPr>
        <w:tabs>
          <w:tab w:val="left" w:pos="1985"/>
        </w:tabs>
        <w:rPr>
          <w:sz w:val="22"/>
        </w:rPr>
      </w:pPr>
      <w:r w:rsidRPr="00B16EEF">
        <w:rPr>
          <w:b/>
          <w:sz w:val="22"/>
        </w:rPr>
        <w:t>Document for:</w:t>
      </w:r>
      <w:r w:rsidRPr="00B16EEF">
        <w:rPr>
          <w:sz w:val="22"/>
        </w:rPr>
        <w:tab/>
      </w:r>
      <w:r>
        <w:rPr>
          <w:sz w:val="22"/>
        </w:rPr>
        <w:t>Approval</w:t>
      </w:r>
    </w:p>
    <w:p w:rsidR="005E63DA" w:rsidRDefault="005E63DA">
      <w:pPr>
        <w:pStyle w:val="normal0"/>
        <w:tabs>
          <w:tab w:val="left" w:pos="1985"/>
        </w:tabs>
      </w:pPr>
    </w:p>
    <w:p w:rsidR="00532E06" w:rsidRDefault="00532E06" w:rsidP="00532E06">
      <w:pPr>
        <w:pStyle w:val="Heading1"/>
      </w:pPr>
      <w:r>
        <w:rPr>
          <w:rFonts w:ascii="Times New Roman" w:eastAsia="Times New Roman" w:hAnsi="Times New Roman" w:cs="Times New Roman"/>
          <w:sz w:val="28"/>
          <w:szCs w:val="28"/>
        </w:rPr>
        <w:t>1. Introduction</w:t>
      </w:r>
      <w:r>
        <w:rPr>
          <w:b/>
          <w:color w:val="FFFFF0"/>
        </w:rPr>
        <w:t xml:space="preserve"> R4-125719</w:t>
      </w:r>
    </w:p>
    <w:p w:rsidR="00532E06" w:rsidRDefault="00532E06" w:rsidP="00532E06">
      <w:pPr>
        <w:pStyle w:val="normal0"/>
        <w:jc w:val="both"/>
      </w:pPr>
      <w:r>
        <w:t>At the end of the 3GPP RAN4 #78 the TP to TS 37.144 [1] was approved without UE UTRA or E-UTRA BHH performance requirement values. This outcome was due to a lack of agreement on band VIII TRP, and bands V and VIII TRS.  Discussions since have highlighted [2][3] some fundamental issues with the current methodology, which impede compromise and finalization of limits, and have recommended that OEMs and Operators bridge the final gap by a good-faith effort to propose final specifications that they can actually support.  This submission provides that final limits proposal from Motorola perspective.</w:t>
      </w:r>
    </w:p>
    <w:p w:rsidR="00532E06" w:rsidRDefault="00532E06" w:rsidP="00532E06">
      <w:pPr>
        <w:pStyle w:val="normal0"/>
      </w:pPr>
      <w:r>
        <w:rPr>
          <w:sz w:val="28"/>
          <w:szCs w:val="28"/>
        </w:rPr>
        <w:t>2. Background</w:t>
      </w:r>
    </w:p>
    <w:p w:rsidR="00532E06" w:rsidRDefault="00532E06" w:rsidP="00532E06">
      <w:pPr>
        <w:pStyle w:val="normal0"/>
        <w:spacing w:before="240" w:after="120" w:line="259" w:lineRule="auto"/>
        <w:jc w:val="both"/>
      </w:pPr>
      <w:r>
        <w:t xml:space="preserve">The RAN4 TRP/TIS data pool and post-processing method have served to bring all parties’ proposed limits to within about 2 dB, but it should be noted that the final values offered here are not based on further manipulation or post-processing of those data.  Rather, these final values are based on Motorola’s analysis, considering all products we make in all bands and modes, to offer </w:t>
      </w:r>
      <w:r w:rsidRPr="008450B9">
        <w:rPr>
          <w:i/>
        </w:rPr>
        <w:t>the most performance that we can support across all bands and modes, with acceptable industrial design and cost compromises</w:t>
      </w:r>
      <w:r>
        <w:t xml:space="preserve">.  The latter include considerations such as growing dimensions of the phone to enlarge antenna </w:t>
      </w:r>
      <w:proofErr w:type="spellStart"/>
      <w:r>
        <w:t>keepouts</w:t>
      </w:r>
      <w:proofErr w:type="spellEnd"/>
      <w:r>
        <w:t>, limitation of use of metal exterior elements of the phone, and expense of antenna tuner devices of varying performance capabilities, for example.</w:t>
      </w:r>
    </w:p>
    <w:p w:rsidR="00532E06" w:rsidRDefault="00532E06" w:rsidP="00532E06">
      <w:pPr>
        <w:pStyle w:val="normal0"/>
        <w:spacing w:before="240" w:after="120" w:line="259" w:lineRule="auto"/>
        <w:jc w:val="both"/>
      </w:pPr>
      <w:r>
        <w:t>Additionally, we offer a compl</w:t>
      </w:r>
      <w:r w:rsidR="00C35273">
        <w:t>ete set of final specifications</w:t>
      </w:r>
      <w:r>
        <w:t xml:space="preserve"> for E-UTRA bands.  These are based on an extension to other bands/modes of the final values specified in </w:t>
      </w:r>
      <w:r w:rsidR="00C35273">
        <w:t>E-</w:t>
      </w:r>
      <w:r>
        <w:t>UTRA bands, via a principle of equivalent antenna system efficiency and known conducted values for TX power and RX sensitivity.  Aside from the obvious value to industry of a complete specification for all bands and modes, we believe it is also important for participants in the current discussion to view such a complete set of implied limits, since once the UTRA limits are set in four bands, it will be natural to extend them to all other bands and modes in such fashion.  In other words, the likely ramifications of any agreed limits on all other future bands/modes should be considered up-front when those first limits are being agreed.</w:t>
      </w:r>
    </w:p>
    <w:p w:rsidR="00532E06" w:rsidRDefault="00532E06" w:rsidP="00532E06">
      <w:pPr>
        <w:pStyle w:val="normal0"/>
        <w:spacing w:before="240" w:after="120" w:line="259" w:lineRule="auto"/>
        <w:jc w:val="both"/>
      </w:pPr>
    </w:p>
    <w:p w:rsidR="00532E06" w:rsidRDefault="00532E06" w:rsidP="00532E06">
      <w:pPr>
        <w:pStyle w:val="normal0"/>
        <w:spacing w:before="240" w:after="120" w:line="259" w:lineRule="auto"/>
        <w:jc w:val="both"/>
      </w:pPr>
    </w:p>
    <w:p w:rsidR="00532E06" w:rsidRDefault="00532E06" w:rsidP="00532E06">
      <w:pPr>
        <w:pStyle w:val="normal0"/>
        <w:spacing w:before="240" w:after="120" w:line="259" w:lineRule="auto"/>
        <w:jc w:val="both"/>
      </w:pPr>
    </w:p>
    <w:p w:rsidR="00532E06" w:rsidRDefault="00532E06" w:rsidP="00532E06">
      <w:pPr>
        <w:pStyle w:val="normal0"/>
        <w:spacing w:before="240" w:after="120" w:line="259" w:lineRule="auto"/>
        <w:jc w:val="both"/>
      </w:pPr>
    </w:p>
    <w:p w:rsidR="00532E06" w:rsidRDefault="00532E06" w:rsidP="00532E06">
      <w:pPr>
        <w:pStyle w:val="normal0"/>
        <w:spacing w:before="240" w:after="120" w:line="259" w:lineRule="auto"/>
        <w:jc w:val="both"/>
      </w:pPr>
    </w:p>
    <w:p w:rsidR="00532E06" w:rsidRDefault="00532E06" w:rsidP="00532E06">
      <w:pPr>
        <w:pStyle w:val="normal0"/>
        <w:spacing w:before="240" w:after="120" w:line="259" w:lineRule="auto"/>
        <w:jc w:val="both"/>
      </w:pPr>
    </w:p>
    <w:p w:rsidR="00532E06" w:rsidRDefault="00532E06" w:rsidP="00532E06">
      <w:pPr>
        <w:pStyle w:val="normal0"/>
        <w:spacing w:before="240" w:after="120" w:line="259" w:lineRule="auto"/>
        <w:jc w:val="both"/>
      </w:pPr>
    </w:p>
    <w:p w:rsidR="00532E06" w:rsidRDefault="00532E06" w:rsidP="00532E06">
      <w:pPr>
        <w:tabs>
          <w:tab w:val="left" w:pos="1985"/>
        </w:tabs>
        <w:ind w:left="1980" w:hanging="1980"/>
        <w:jc w:val="both"/>
        <w:rPr>
          <w:sz w:val="28"/>
          <w:szCs w:val="28"/>
        </w:rPr>
      </w:pPr>
    </w:p>
    <w:p w:rsidR="00532E06" w:rsidRPr="00A61B2E" w:rsidRDefault="00532E06" w:rsidP="00532E06">
      <w:pPr>
        <w:tabs>
          <w:tab w:val="left" w:pos="1985"/>
        </w:tabs>
        <w:ind w:left="1980" w:hanging="1980"/>
        <w:jc w:val="both"/>
        <w:rPr>
          <w:b/>
          <w:sz w:val="28"/>
          <w:szCs w:val="28"/>
        </w:rPr>
      </w:pPr>
      <w:r>
        <w:rPr>
          <w:sz w:val="28"/>
          <w:szCs w:val="28"/>
        </w:rPr>
        <w:lastRenderedPageBreak/>
        <w:t xml:space="preserve">3. </w:t>
      </w:r>
      <w:r w:rsidRPr="00A61B2E">
        <w:rPr>
          <w:sz w:val="22"/>
        </w:rPr>
        <w:t xml:space="preserve"> </w:t>
      </w:r>
      <w:r w:rsidRPr="004A6DD9">
        <w:rPr>
          <w:sz w:val="28"/>
          <w:szCs w:val="28"/>
        </w:rPr>
        <w:t xml:space="preserve">E-UTRA Performance Requirements proposal </w:t>
      </w:r>
    </w:p>
    <w:p w:rsidR="00532E06" w:rsidRPr="00532E06" w:rsidRDefault="00532E06" w:rsidP="00532E06">
      <w:pPr>
        <w:shd w:val="clear" w:color="auto" w:fill="FFFFFF"/>
        <w:spacing w:after="0"/>
        <w:jc w:val="both"/>
        <w:rPr>
          <w:color w:val="222222"/>
        </w:rPr>
      </w:pPr>
      <w:r w:rsidRPr="00532E06">
        <w:rPr>
          <w:color w:val="222222"/>
        </w:rPr>
        <w:t xml:space="preserve">Adhering to the rational approach shown in [3] </w:t>
      </w:r>
      <w:r w:rsidR="00492C5C">
        <w:rPr>
          <w:color w:val="222222"/>
        </w:rPr>
        <w:t xml:space="preserve">and further analysis </w:t>
      </w:r>
      <w:r w:rsidRPr="00532E06">
        <w:rPr>
          <w:color w:val="222222"/>
        </w:rPr>
        <w:t>the following performance requirements proposed in</w:t>
      </w:r>
      <w:r w:rsidR="00492C5C">
        <w:rPr>
          <w:color w:val="222222"/>
        </w:rPr>
        <w:t xml:space="preserve"> </w:t>
      </w:r>
      <w:r w:rsidRPr="00532E06">
        <w:rPr>
          <w:color w:val="222222"/>
        </w:rPr>
        <w:t xml:space="preserve">RAN4 #78 </w:t>
      </w:r>
      <w:proofErr w:type="spellStart"/>
      <w:r w:rsidRPr="00532E06">
        <w:rPr>
          <w:color w:val="222222"/>
        </w:rPr>
        <w:t>bis</w:t>
      </w:r>
      <w:proofErr w:type="spellEnd"/>
      <w:r w:rsidRPr="00532E06">
        <w:rPr>
          <w:color w:val="222222"/>
        </w:rPr>
        <w:t xml:space="preserve"> in </w:t>
      </w:r>
      <w:r>
        <w:rPr>
          <w:color w:val="222222"/>
        </w:rPr>
        <w:t>[4]</w:t>
      </w:r>
      <w:r w:rsidR="004A6DD9">
        <w:rPr>
          <w:color w:val="222222"/>
        </w:rPr>
        <w:t xml:space="preserve">, </w:t>
      </w:r>
      <w:r w:rsidR="004A6DD9" w:rsidRPr="00532E06">
        <w:rPr>
          <w:color w:val="222222"/>
        </w:rPr>
        <w:t>were</w:t>
      </w:r>
      <w:r w:rsidR="00492C5C">
        <w:rPr>
          <w:color w:val="222222"/>
        </w:rPr>
        <w:t xml:space="preserve"> revised</w:t>
      </w:r>
      <w:r w:rsidRPr="00532E06">
        <w:rPr>
          <w:color w:val="222222"/>
        </w:rPr>
        <w:t xml:space="preserve"> </w:t>
      </w:r>
      <w:r w:rsidR="004A6DD9">
        <w:rPr>
          <w:color w:val="222222"/>
        </w:rPr>
        <w:t xml:space="preserve">and </w:t>
      </w:r>
      <w:r w:rsidR="004A6DD9" w:rsidRPr="00532E06">
        <w:rPr>
          <w:color w:val="222222"/>
        </w:rPr>
        <w:t>proposed</w:t>
      </w:r>
      <w:r w:rsidRPr="00532E06">
        <w:rPr>
          <w:color w:val="222222"/>
        </w:rPr>
        <w:t xml:space="preserve"> again in th</w:t>
      </w:r>
      <w:r w:rsidR="00492C5C">
        <w:rPr>
          <w:color w:val="222222"/>
        </w:rPr>
        <w:t>e following table</w:t>
      </w:r>
      <w:r w:rsidR="00C35273">
        <w:rPr>
          <w:color w:val="222222"/>
        </w:rPr>
        <w:t>:</w:t>
      </w:r>
    </w:p>
    <w:p w:rsidR="00532E06" w:rsidRDefault="00532E06" w:rsidP="00532E06">
      <w:pPr>
        <w:tabs>
          <w:tab w:val="left" w:pos="1985"/>
        </w:tabs>
        <w:jc w:val="both"/>
      </w:pPr>
    </w:p>
    <w:p w:rsidR="004A6DD9" w:rsidRDefault="004A6DD9" w:rsidP="00532E06">
      <w:pPr>
        <w:tabs>
          <w:tab w:val="left" w:pos="1985"/>
        </w:tabs>
        <w:jc w:val="both"/>
      </w:pPr>
    </w:p>
    <w:p w:rsidR="00532E06" w:rsidRDefault="004A6DD9" w:rsidP="00492C5C">
      <w:pPr>
        <w:tabs>
          <w:tab w:val="left" w:pos="1985"/>
        </w:tabs>
        <w:jc w:val="center"/>
      </w:pPr>
      <w:r>
        <w:object w:dxaOrig="4948" w:dyaOrig="58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4pt;height:291.65pt" o:ole="">
            <v:imagedata r:id="rId7" o:title=""/>
          </v:shape>
          <o:OLEObject Type="Embed" ProgID="Excel.Sheet.8" ShapeID="_x0000_i1025" DrawAspect="Content" ObjectID="_1524645564" r:id="rId8"/>
        </w:object>
      </w:r>
    </w:p>
    <w:p w:rsidR="00532E06" w:rsidRDefault="00532E06" w:rsidP="00492C5C">
      <w:pPr>
        <w:tabs>
          <w:tab w:val="left" w:pos="1985"/>
        </w:tabs>
      </w:pPr>
    </w:p>
    <w:p w:rsidR="004A6DD9" w:rsidRDefault="004A6DD9" w:rsidP="00492C5C">
      <w:pPr>
        <w:tabs>
          <w:tab w:val="left" w:pos="1985"/>
        </w:tabs>
      </w:pPr>
    </w:p>
    <w:p w:rsidR="00532E06" w:rsidRDefault="00532E06" w:rsidP="00532E06">
      <w:pPr>
        <w:pStyle w:val="normal0"/>
        <w:rPr>
          <w:color w:val="auto"/>
        </w:rPr>
      </w:pPr>
      <w:r>
        <w:rPr>
          <w:color w:val="auto"/>
        </w:rPr>
        <w:t>These final limits are offered with these specific provisos:</w:t>
      </w:r>
    </w:p>
    <w:p w:rsidR="00532E06" w:rsidRDefault="00532E06" w:rsidP="00532E06">
      <w:pPr>
        <w:pStyle w:val="normal0"/>
        <w:rPr>
          <w:color w:val="auto"/>
        </w:rPr>
      </w:pPr>
    </w:p>
    <w:p w:rsidR="00532E06" w:rsidRDefault="00532E06" w:rsidP="00532E06">
      <w:pPr>
        <w:pStyle w:val="normal0"/>
        <w:numPr>
          <w:ilvl w:val="0"/>
          <w:numId w:val="3"/>
        </w:numPr>
        <w:rPr>
          <w:color w:val="auto"/>
        </w:rPr>
      </w:pPr>
      <w:r w:rsidRPr="002B656E">
        <w:rPr>
          <w:color w:val="auto"/>
        </w:rPr>
        <w:t xml:space="preserve">All values are </w:t>
      </w:r>
      <w:proofErr w:type="spellStart"/>
      <w:r w:rsidRPr="002B656E">
        <w:rPr>
          <w:color w:val="auto"/>
        </w:rPr>
        <w:t>dBm</w:t>
      </w:r>
      <w:proofErr w:type="spellEnd"/>
      <w:r w:rsidRPr="002B656E">
        <w:rPr>
          <w:color w:val="auto"/>
        </w:rPr>
        <w:t xml:space="preserve">, </w:t>
      </w:r>
      <w:proofErr w:type="spellStart"/>
      <w:r w:rsidRPr="002B656E">
        <w:rPr>
          <w:color w:val="auto"/>
        </w:rPr>
        <w:t>avg</w:t>
      </w:r>
      <w:proofErr w:type="spellEnd"/>
      <w:r w:rsidRPr="002B656E">
        <w:rPr>
          <w:color w:val="auto"/>
        </w:rPr>
        <w:t xml:space="preserve"> across L-M-H channels and left-right sides, </w:t>
      </w:r>
      <w:r>
        <w:rPr>
          <w:color w:val="auto"/>
        </w:rPr>
        <w:t xml:space="preserve">with both receivers active, </w:t>
      </w:r>
      <w:r w:rsidRPr="002B656E">
        <w:rPr>
          <w:color w:val="auto"/>
        </w:rPr>
        <w:t>per 3GPP TS 34.114.</w:t>
      </w:r>
    </w:p>
    <w:p w:rsidR="00532E06" w:rsidRPr="002B656E" w:rsidRDefault="00532E06" w:rsidP="00532E06">
      <w:pPr>
        <w:pStyle w:val="normal0"/>
        <w:numPr>
          <w:ilvl w:val="0"/>
          <w:numId w:val="3"/>
        </w:numPr>
        <w:rPr>
          <w:color w:val="auto"/>
        </w:rPr>
      </w:pPr>
      <w:r w:rsidRPr="002B656E">
        <w:rPr>
          <w:color w:val="auto"/>
        </w:rPr>
        <w:t>Applicable to devices up to 72 mm wide, that fit in CTIA PDA hand</w:t>
      </w:r>
      <w:r>
        <w:rPr>
          <w:color w:val="auto"/>
        </w:rPr>
        <w:t xml:space="preserve"> phantom</w:t>
      </w:r>
    </w:p>
    <w:p w:rsidR="00532E06" w:rsidRPr="002B656E" w:rsidRDefault="00532E06" w:rsidP="00532E06">
      <w:pPr>
        <w:pStyle w:val="normal0"/>
        <w:numPr>
          <w:ilvl w:val="0"/>
          <w:numId w:val="3"/>
        </w:numPr>
        <w:rPr>
          <w:color w:val="auto"/>
        </w:rPr>
      </w:pPr>
      <w:r>
        <w:rPr>
          <w:color w:val="auto"/>
        </w:rPr>
        <w:t>Exclude</w:t>
      </w:r>
      <w:r w:rsidRPr="002B656E">
        <w:rPr>
          <w:color w:val="auto"/>
        </w:rPr>
        <w:t xml:space="preserve"> devices supporting Carrier Aggregation (or consider CA relaxation for future study)</w:t>
      </w:r>
    </w:p>
    <w:p w:rsidR="00532E06" w:rsidRPr="00074CBC" w:rsidRDefault="00532E06" w:rsidP="00532E06">
      <w:pPr>
        <w:pStyle w:val="normal0"/>
        <w:numPr>
          <w:ilvl w:val="0"/>
          <w:numId w:val="3"/>
        </w:numPr>
        <w:rPr>
          <w:color w:val="auto"/>
        </w:rPr>
      </w:pPr>
      <w:r>
        <w:rPr>
          <w:color w:val="auto"/>
        </w:rPr>
        <w:t>Exclude</w:t>
      </w:r>
      <w:r w:rsidRPr="00074CBC">
        <w:rPr>
          <w:color w:val="auto"/>
        </w:rPr>
        <w:t xml:space="preserve"> devices supporting CDMA (or consider CDMA relaxation for future study)</w:t>
      </w:r>
    </w:p>
    <w:p w:rsidR="00532E06" w:rsidRDefault="00532E06" w:rsidP="00532E06">
      <w:pPr>
        <w:pStyle w:val="normal0"/>
        <w:numPr>
          <w:ilvl w:val="0"/>
          <w:numId w:val="3"/>
        </w:numPr>
        <w:rPr>
          <w:color w:val="auto"/>
        </w:rPr>
      </w:pPr>
      <w:r>
        <w:rPr>
          <w:color w:val="auto"/>
        </w:rPr>
        <w:t>Include multi-band/multi-mode devices, and apply either to core or roaming bands</w:t>
      </w:r>
    </w:p>
    <w:p w:rsidR="00532E06" w:rsidRDefault="00532E06" w:rsidP="00532E06">
      <w:pPr>
        <w:pStyle w:val="normal0"/>
        <w:numPr>
          <w:ilvl w:val="0"/>
          <w:numId w:val="3"/>
        </w:numPr>
        <w:jc w:val="both"/>
        <w:rPr>
          <w:color w:val="auto"/>
        </w:rPr>
      </w:pPr>
      <w:r>
        <w:rPr>
          <w:color w:val="auto"/>
        </w:rPr>
        <w:t>Exclude Test Tolerance.  Specifically, these limits are acceptable only if Test Tolerances of 0.7 dB TRP and 0.9 dB TRS are taken as a relaxation from the limits to generate the final drop-dead pass/fail thresholds for certification in e.g. GCF.  This would follow the same practice as has been taken with the current TS 34.114 head-only limits.</w:t>
      </w:r>
    </w:p>
    <w:p w:rsidR="00532E06" w:rsidRDefault="00532E06" w:rsidP="00532E06">
      <w:pPr>
        <w:tabs>
          <w:tab w:val="left" w:pos="1985"/>
        </w:tabs>
        <w:jc w:val="both"/>
      </w:pPr>
    </w:p>
    <w:p w:rsidR="004A6DD9" w:rsidRDefault="004A6DD9" w:rsidP="00532E06">
      <w:pPr>
        <w:tabs>
          <w:tab w:val="left" w:pos="1985"/>
        </w:tabs>
        <w:jc w:val="both"/>
      </w:pPr>
    </w:p>
    <w:p w:rsidR="004A6DD9" w:rsidRDefault="004A6DD9" w:rsidP="00532E06">
      <w:pPr>
        <w:tabs>
          <w:tab w:val="left" w:pos="1985"/>
        </w:tabs>
        <w:jc w:val="both"/>
      </w:pPr>
    </w:p>
    <w:p w:rsidR="004A6DD9" w:rsidRDefault="004A6DD9" w:rsidP="00532E06">
      <w:pPr>
        <w:tabs>
          <w:tab w:val="left" w:pos="1985"/>
        </w:tabs>
        <w:jc w:val="both"/>
      </w:pPr>
    </w:p>
    <w:p w:rsidR="00532E06" w:rsidRDefault="00532E06" w:rsidP="00532E06">
      <w:pPr>
        <w:tabs>
          <w:tab w:val="left" w:pos="1985"/>
        </w:tabs>
        <w:jc w:val="both"/>
      </w:pPr>
      <w:r>
        <w:t xml:space="preserve">As described in [5], it will be natural to extend these limits to all bands and modes, based on an equivalent antenna system efficiency calculation and known conducted power and sensitivity values for other bands and modes.  The authors have performed that calculation based on real conducted values (which are known often to exceed 3GPP </w:t>
      </w:r>
      <w:proofErr w:type="spellStart"/>
      <w:r>
        <w:t>Refsens</w:t>
      </w:r>
      <w:proofErr w:type="spellEnd"/>
      <w:r>
        <w:t xml:space="preserve"> values, for example), and assuming in all cases the device employs diversity/MIMO.  The only additional manipulation was to apply a 1 dB relaxation to the calculated antenna efficiency for ultra-low bands (bands in 700 – 800 MHz)</w:t>
      </w:r>
      <w:proofErr w:type="gramStart"/>
      <w:r>
        <w:t>,</w:t>
      </w:r>
      <w:proofErr w:type="gramEnd"/>
      <w:r>
        <w:t xml:space="preserve"> to account for known reduction in antenna performance as the device becomes electrically small in this frequency range.  For simplicity, all LTE bands’ limits are given for an assumed bandwidth of 10 MHz; these can be adjusted if desired for any other BW based on simple known calculations.  </w:t>
      </w:r>
    </w:p>
    <w:p w:rsidR="00532E06" w:rsidRDefault="00532E06" w:rsidP="00532E06">
      <w:pPr>
        <w:pStyle w:val="normal0"/>
        <w:jc w:val="both"/>
        <w:rPr>
          <w:color w:val="auto"/>
        </w:rPr>
      </w:pPr>
      <w:r>
        <w:rPr>
          <w:color w:val="auto"/>
        </w:rPr>
        <w:t xml:space="preserve">Motorola urge other stakeholders to similarly consider all bands’ performance limits, as they might be extrapolated from any first set of limits for just a few bands.  </w:t>
      </w:r>
      <w:r w:rsidR="00B46A40">
        <w:rPr>
          <w:color w:val="auto"/>
        </w:rPr>
        <w:t xml:space="preserve">Upon request </w:t>
      </w:r>
      <w:r>
        <w:rPr>
          <w:color w:val="auto"/>
        </w:rPr>
        <w:t xml:space="preserve">Motorola </w:t>
      </w:r>
      <w:r w:rsidR="00B46A40">
        <w:rPr>
          <w:color w:val="auto"/>
        </w:rPr>
        <w:t>can</w:t>
      </w:r>
      <w:r>
        <w:rPr>
          <w:color w:val="auto"/>
        </w:rPr>
        <w:t xml:space="preserve"> provide the spreadsheet with complete explanation of the process taken for these data, to make it easy for other companies to investigate these trade-offs.</w:t>
      </w:r>
    </w:p>
    <w:p w:rsidR="00532E06" w:rsidRPr="002B656E" w:rsidRDefault="00532E06" w:rsidP="00532E06">
      <w:pPr>
        <w:pStyle w:val="normal0"/>
        <w:jc w:val="both"/>
        <w:rPr>
          <w:color w:val="auto"/>
        </w:rPr>
      </w:pPr>
      <w:r>
        <w:rPr>
          <w:color w:val="auto"/>
        </w:rPr>
        <w:t>Finally, we emphasize that these limits represent our view of a final limit set that we can possibly support from a business and technical perspective.  We have not left in any sort of padding for negotiation, rather stated in good faith what we think we can support.  Without saying there can be no further compromise, we would say that it would be wrong to consider these proposed final limits as merely a “starting point” for negotiation.</w:t>
      </w:r>
    </w:p>
    <w:p w:rsidR="00532E06" w:rsidRPr="002B656E" w:rsidRDefault="00532E06" w:rsidP="00532E06">
      <w:pPr>
        <w:pStyle w:val="normal0"/>
        <w:rPr>
          <w:color w:val="auto"/>
        </w:rPr>
      </w:pPr>
    </w:p>
    <w:p w:rsidR="00532E06" w:rsidRPr="002B656E" w:rsidRDefault="00532E06" w:rsidP="00532E06">
      <w:pPr>
        <w:pStyle w:val="normal0"/>
        <w:rPr>
          <w:color w:val="auto"/>
        </w:rPr>
      </w:pPr>
    </w:p>
    <w:p w:rsidR="00532E06" w:rsidRDefault="00532E06" w:rsidP="00532E06">
      <w:pPr>
        <w:pStyle w:val="normal0"/>
      </w:pPr>
    </w:p>
    <w:p w:rsidR="00532E06" w:rsidRDefault="00532E06" w:rsidP="00532E06">
      <w:pPr>
        <w:pStyle w:val="normal0"/>
      </w:pPr>
    </w:p>
    <w:p w:rsidR="00532E06" w:rsidRDefault="00532E06" w:rsidP="00532E06">
      <w:pPr>
        <w:pStyle w:val="normal0"/>
      </w:pPr>
    </w:p>
    <w:p w:rsidR="00532E06" w:rsidRDefault="00532E06" w:rsidP="00532E06">
      <w:pPr>
        <w:pStyle w:val="normal0"/>
      </w:pPr>
    </w:p>
    <w:p w:rsidR="00532E06" w:rsidRDefault="00532E06" w:rsidP="00532E06">
      <w:pPr>
        <w:pStyle w:val="normal0"/>
      </w:pPr>
    </w:p>
    <w:p w:rsidR="00532E06" w:rsidRDefault="00532E06" w:rsidP="00532E06">
      <w:pPr>
        <w:pStyle w:val="normal0"/>
      </w:pPr>
    </w:p>
    <w:p w:rsidR="00532E06" w:rsidRDefault="00532E06" w:rsidP="00532E06">
      <w:pPr>
        <w:pStyle w:val="normal0"/>
      </w:pPr>
    </w:p>
    <w:p w:rsidR="00532E06" w:rsidRDefault="00532E06" w:rsidP="00532E06">
      <w:pPr>
        <w:pStyle w:val="normal0"/>
      </w:pPr>
    </w:p>
    <w:p w:rsidR="00532E06" w:rsidRDefault="00532E06" w:rsidP="00532E06">
      <w:pPr>
        <w:pStyle w:val="normal0"/>
      </w:pPr>
    </w:p>
    <w:p w:rsidR="00532E06" w:rsidRDefault="00532E06" w:rsidP="00532E06">
      <w:pPr>
        <w:pStyle w:val="normal0"/>
      </w:pPr>
    </w:p>
    <w:p w:rsidR="00532E06" w:rsidRDefault="00532E06" w:rsidP="00532E06">
      <w:pPr>
        <w:pStyle w:val="normal0"/>
      </w:pPr>
    </w:p>
    <w:p w:rsidR="00492C5C" w:rsidRDefault="00492C5C" w:rsidP="00532E06">
      <w:pPr>
        <w:pStyle w:val="normal0"/>
      </w:pPr>
    </w:p>
    <w:p w:rsidR="00532E06" w:rsidRDefault="00532E06" w:rsidP="00532E06">
      <w:pPr>
        <w:pStyle w:val="normal0"/>
      </w:pPr>
      <w:r>
        <w:rPr>
          <w:sz w:val="28"/>
          <w:szCs w:val="28"/>
        </w:rPr>
        <w:t>4.</w:t>
      </w:r>
      <w:r>
        <w:rPr>
          <w:sz w:val="28"/>
          <w:szCs w:val="28"/>
        </w:rPr>
        <w:tab/>
        <w:t>References</w:t>
      </w:r>
    </w:p>
    <w:p w:rsidR="00532E06" w:rsidRDefault="00532E06" w:rsidP="00532E06">
      <w:pPr>
        <w:pStyle w:val="normal0"/>
        <w:ind w:left="1304" w:hanging="1304"/>
      </w:pPr>
      <w:r>
        <w:t>[1]</w:t>
      </w:r>
      <w:r>
        <w:tab/>
        <w:t>R4-161467, TP for TS 37.144 Introduction of new TRP/TRS requirements</w:t>
      </w:r>
    </w:p>
    <w:p w:rsidR="00532E06" w:rsidRDefault="00532E06" w:rsidP="00532E06">
      <w:pPr>
        <w:pStyle w:val="normal0"/>
        <w:ind w:left="1304" w:hanging="1304"/>
      </w:pPr>
      <w:r>
        <w:t>[2]</w:t>
      </w:r>
      <w:r>
        <w:tab/>
        <w:t>R4-157939, Framework analysis of TRP and TRS data for multi-band mobile devices</w:t>
      </w:r>
    </w:p>
    <w:p w:rsidR="00532E06" w:rsidRDefault="00532E06" w:rsidP="00532E06">
      <w:pPr>
        <w:pStyle w:val="normal0"/>
        <w:ind w:left="1304" w:hanging="1304"/>
      </w:pPr>
      <w:r>
        <w:t>[3]</w:t>
      </w:r>
      <w:r>
        <w:tab/>
      </w:r>
      <w:r w:rsidRPr="00396AA6">
        <w:rPr>
          <w:noProof/>
        </w:rPr>
        <w:t xml:space="preserve">R4-161506, </w:t>
      </w:r>
      <w:r w:rsidRPr="00396AA6">
        <w:t xml:space="preserve">UTRA BHH TRP/TRS performance requirements </w:t>
      </w:r>
    </w:p>
    <w:p w:rsidR="00532E06" w:rsidRDefault="00532E06" w:rsidP="00532E06">
      <w:pPr>
        <w:pStyle w:val="normal0"/>
        <w:ind w:left="1304" w:hanging="1304"/>
      </w:pPr>
      <w:r>
        <w:t>[4]</w:t>
      </w:r>
      <w:r>
        <w:tab/>
      </w:r>
      <w:r w:rsidRPr="00E344C5">
        <w:t>R4-162583, “UTRA BHH TRP/TRS performance requirements proposal for Bands I, II, V and VIII”, Motorola Mobility LLC, Sony</w:t>
      </w:r>
      <w:r>
        <w:t>, RAN4 #78bis</w:t>
      </w:r>
    </w:p>
    <w:p w:rsidR="0020591B" w:rsidRPr="00C35273" w:rsidRDefault="00532E06" w:rsidP="00C35273">
      <w:pPr>
        <w:pStyle w:val="normal0"/>
        <w:ind w:left="1304" w:hanging="1304"/>
      </w:pPr>
      <w:r>
        <w:t>[5]</w:t>
      </w:r>
      <w:r>
        <w:tab/>
        <w:t xml:space="preserve">R4-163071, “UTRA BHH TRP/TRS performance requirements”, Motorola Mobility, Sony Mobile, Intel, </w:t>
      </w:r>
      <w:proofErr w:type="spellStart"/>
      <w:r>
        <w:t>Huawei</w:t>
      </w:r>
      <w:proofErr w:type="spellEnd"/>
      <w:r>
        <w:t xml:space="preserve"> and AT&amp;T, RAN4 #78bis.</w:t>
      </w:r>
    </w:p>
    <w:p w:rsidR="00DF64EF" w:rsidRPr="004C34BF" w:rsidRDefault="00DF64EF" w:rsidP="004A6DD9">
      <w:pPr>
        <w:pStyle w:val="normal0"/>
      </w:pPr>
    </w:p>
    <w:sectPr w:rsidR="00DF64EF" w:rsidRPr="004C34BF" w:rsidSect="005E63DA">
      <w:pgSz w:w="11906" w:h="16838"/>
      <w:pgMar w:top="1417" w:right="1417" w:bottom="1417" w:left="1417"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05D0" w:rsidRDefault="003605D0" w:rsidP="00CC5AC9">
      <w:pPr>
        <w:spacing w:after="0"/>
      </w:pPr>
      <w:r>
        <w:separator/>
      </w:r>
    </w:p>
  </w:endnote>
  <w:endnote w:type="continuationSeparator" w:id="0">
    <w:p w:rsidR="003605D0" w:rsidRDefault="003605D0" w:rsidP="00CC5AC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05D0" w:rsidRDefault="003605D0" w:rsidP="00CC5AC9">
      <w:pPr>
        <w:spacing w:after="0"/>
      </w:pPr>
      <w:r>
        <w:separator/>
      </w:r>
    </w:p>
  </w:footnote>
  <w:footnote w:type="continuationSeparator" w:id="0">
    <w:p w:rsidR="003605D0" w:rsidRDefault="003605D0" w:rsidP="00CC5AC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A75D59"/>
    <w:multiLevelType w:val="hybridMultilevel"/>
    <w:tmpl w:val="C66EEF4E"/>
    <w:lvl w:ilvl="0" w:tplc="3FC620BC">
      <w:start w:val="1"/>
      <w:numFmt w:val="decimal"/>
      <w:lvlText w:val="%1."/>
      <w:lvlJc w:val="left"/>
      <w:pPr>
        <w:ind w:left="720" w:hanging="360"/>
      </w:pPr>
    </w:lvl>
    <w:lvl w:ilvl="1" w:tplc="2D6AB794">
      <w:start w:val="1"/>
      <w:numFmt w:val="decimal"/>
      <w:lvlText w:val="%2."/>
      <w:lvlJc w:val="left"/>
      <w:pPr>
        <w:ind w:left="1440" w:hanging="1080"/>
      </w:pPr>
    </w:lvl>
    <w:lvl w:ilvl="2" w:tplc="452C2F70">
      <w:start w:val="1"/>
      <w:numFmt w:val="decimal"/>
      <w:lvlText w:val="%3."/>
      <w:lvlJc w:val="left"/>
      <w:pPr>
        <w:ind w:left="2160" w:hanging="1980"/>
      </w:pPr>
    </w:lvl>
    <w:lvl w:ilvl="3" w:tplc="26A03A3C">
      <w:start w:val="1"/>
      <w:numFmt w:val="decimal"/>
      <w:lvlText w:val="%4."/>
      <w:lvlJc w:val="left"/>
      <w:pPr>
        <w:ind w:left="2880" w:hanging="2520"/>
      </w:pPr>
    </w:lvl>
    <w:lvl w:ilvl="4" w:tplc="9EC2212E">
      <w:start w:val="1"/>
      <w:numFmt w:val="decimal"/>
      <w:lvlText w:val="%5."/>
      <w:lvlJc w:val="left"/>
      <w:pPr>
        <w:ind w:left="3600" w:hanging="3240"/>
      </w:pPr>
    </w:lvl>
    <w:lvl w:ilvl="5" w:tplc="39802B3A">
      <w:start w:val="1"/>
      <w:numFmt w:val="decimal"/>
      <w:lvlText w:val="%6."/>
      <w:lvlJc w:val="left"/>
      <w:pPr>
        <w:ind w:left="4320" w:hanging="4140"/>
      </w:pPr>
    </w:lvl>
    <w:lvl w:ilvl="6" w:tplc="A0FC5FC8">
      <w:start w:val="1"/>
      <w:numFmt w:val="decimal"/>
      <w:lvlText w:val="%7."/>
      <w:lvlJc w:val="left"/>
      <w:pPr>
        <w:ind w:left="5040" w:hanging="4680"/>
      </w:pPr>
    </w:lvl>
    <w:lvl w:ilvl="7" w:tplc="EEAE3108">
      <w:start w:val="1"/>
      <w:numFmt w:val="decimal"/>
      <w:lvlText w:val="%8."/>
      <w:lvlJc w:val="left"/>
      <w:pPr>
        <w:ind w:left="5760" w:hanging="5400"/>
      </w:pPr>
    </w:lvl>
    <w:lvl w:ilvl="8" w:tplc="789C6A62">
      <w:start w:val="1"/>
      <w:numFmt w:val="decimal"/>
      <w:lvlText w:val="%9."/>
      <w:lvlJc w:val="left"/>
      <w:pPr>
        <w:ind w:left="6480" w:hanging="6300"/>
      </w:pPr>
    </w:lvl>
  </w:abstractNum>
  <w:abstractNum w:abstractNumId="1">
    <w:nsid w:val="1D493E78"/>
    <w:multiLevelType w:val="hybridMultilevel"/>
    <w:tmpl w:val="A34E8CD6"/>
    <w:lvl w:ilvl="0" w:tplc="81DAE704">
      <w:numFmt w:val="bullet"/>
      <w:lvlText w:val=""/>
      <w:lvlJc w:val="left"/>
      <w:pPr>
        <w:ind w:left="720" w:hanging="360"/>
      </w:pPr>
      <w:rPr>
        <w:rFonts w:ascii="Symbol"/>
      </w:rPr>
    </w:lvl>
    <w:lvl w:ilvl="1" w:tplc="2780DE30">
      <w:numFmt w:val="bullet"/>
      <w:lvlText w:val="o"/>
      <w:lvlJc w:val="left"/>
      <w:pPr>
        <w:ind w:left="1440" w:hanging="1080"/>
      </w:pPr>
      <w:rPr>
        <w:rFonts w:ascii="Courier New"/>
      </w:rPr>
    </w:lvl>
    <w:lvl w:ilvl="2" w:tplc="6AC47590">
      <w:numFmt w:val="bullet"/>
      <w:lvlText w:val=""/>
      <w:lvlJc w:val="left"/>
      <w:pPr>
        <w:ind w:left="2160" w:hanging="1800"/>
      </w:pPr>
    </w:lvl>
    <w:lvl w:ilvl="3" w:tplc="B05C4C3C">
      <w:numFmt w:val="bullet"/>
      <w:lvlText w:val=""/>
      <w:lvlJc w:val="left"/>
      <w:pPr>
        <w:ind w:left="2880" w:hanging="2520"/>
      </w:pPr>
      <w:rPr>
        <w:rFonts w:ascii="Symbol"/>
      </w:rPr>
    </w:lvl>
    <w:lvl w:ilvl="4" w:tplc="FB601492">
      <w:numFmt w:val="bullet"/>
      <w:lvlText w:val="o"/>
      <w:lvlJc w:val="left"/>
      <w:pPr>
        <w:ind w:left="3600" w:hanging="3240"/>
      </w:pPr>
      <w:rPr>
        <w:rFonts w:ascii="Courier New"/>
      </w:rPr>
    </w:lvl>
    <w:lvl w:ilvl="5" w:tplc="62E0C3BE">
      <w:numFmt w:val="bullet"/>
      <w:lvlText w:val=""/>
      <w:lvlJc w:val="left"/>
      <w:pPr>
        <w:ind w:left="4320" w:hanging="3960"/>
      </w:pPr>
    </w:lvl>
    <w:lvl w:ilvl="6" w:tplc="0600A0DE">
      <w:numFmt w:val="bullet"/>
      <w:lvlText w:val=""/>
      <w:lvlJc w:val="left"/>
      <w:pPr>
        <w:ind w:left="5040" w:hanging="4680"/>
      </w:pPr>
      <w:rPr>
        <w:rFonts w:ascii="Symbol"/>
      </w:rPr>
    </w:lvl>
    <w:lvl w:ilvl="7" w:tplc="E0222BEA">
      <w:numFmt w:val="bullet"/>
      <w:lvlText w:val="o"/>
      <w:lvlJc w:val="left"/>
      <w:pPr>
        <w:ind w:left="5760" w:hanging="5400"/>
      </w:pPr>
      <w:rPr>
        <w:rFonts w:ascii="Courier New"/>
      </w:rPr>
    </w:lvl>
    <w:lvl w:ilvl="8" w:tplc="24B69F42">
      <w:numFmt w:val="bullet"/>
      <w:lvlText w:val=""/>
      <w:lvlJc w:val="left"/>
      <w:pPr>
        <w:ind w:left="6480" w:hanging="6120"/>
      </w:pPr>
    </w:lvl>
  </w:abstractNum>
  <w:abstractNum w:abstractNumId="2">
    <w:nsid w:val="1F7A4C96"/>
    <w:multiLevelType w:val="hybridMultilevel"/>
    <w:tmpl w:val="26D875EC"/>
    <w:lvl w:ilvl="0" w:tplc="9306D01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7623567"/>
    <w:multiLevelType w:val="hybridMultilevel"/>
    <w:tmpl w:val="A42A69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7"/>
  <w:displayBackgroundShape/>
  <w:proofState w:spelling="clean" w:grammar="clean"/>
  <w:defaultTabStop w:val="720"/>
  <w:characterSpacingControl w:val="doNotCompress"/>
  <w:footnotePr>
    <w:footnote w:id="-1"/>
    <w:footnote w:id="0"/>
  </w:footnotePr>
  <w:endnotePr>
    <w:endnote w:id="-1"/>
    <w:endnote w:id="0"/>
  </w:endnotePr>
  <w:compat/>
  <w:rsids>
    <w:rsidRoot w:val="005E63DA"/>
    <w:rsid w:val="00040417"/>
    <w:rsid w:val="00074CB2"/>
    <w:rsid w:val="00093EB2"/>
    <w:rsid w:val="00096B8C"/>
    <w:rsid w:val="000B05A8"/>
    <w:rsid w:val="000B6362"/>
    <w:rsid w:val="000C0E91"/>
    <w:rsid w:val="001009EC"/>
    <w:rsid w:val="001048F9"/>
    <w:rsid w:val="00110327"/>
    <w:rsid w:val="001145BE"/>
    <w:rsid w:val="00120928"/>
    <w:rsid w:val="00126C0D"/>
    <w:rsid w:val="00145C92"/>
    <w:rsid w:val="001532B1"/>
    <w:rsid w:val="00170968"/>
    <w:rsid w:val="0020214F"/>
    <w:rsid w:val="0020591B"/>
    <w:rsid w:val="00227E5F"/>
    <w:rsid w:val="0023512A"/>
    <w:rsid w:val="002607BB"/>
    <w:rsid w:val="00272520"/>
    <w:rsid w:val="00291812"/>
    <w:rsid w:val="00296D26"/>
    <w:rsid w:val="002B087F"/>
    <w:rsid w:val="002B0897"/>
    <w:rsid w:val="002B4B2D"/>
    <w:rsid w:val="002F0FB2"/>
    <w:rsid w:val="0033477E"/>
    <w:rsid w:val="00340DD4"/>
    <w:rsid w:val="0034482E"/>
    <w:rsid w:val="00355E26"/>
    <w:rsid w:val="00356B85"/>
    <w:rsid w:val="003605D0"/>
    <w:rsid w:val="003B6CEC"/>
    <w:rsid w:val="00417383"/>
    <w:rsid w:val="00446D61"/>
    <w:rsid w:val="00454ECC"/>
    <w:rsid w:val="00484658"/>
    <w:rsid w:val="00492C5C"/>
    <w:rsid w:val="004A6DD9"/>
    <w:rsid w:val="004B327D"/>
    <w:rsid w:val="004C34BF"/>
    <w:rsid w:val="00502362"/>
    <w:rsid w:val="0050764F"/>
    <w:rsid w:val="00510006"/>
    <w:rsid w:val="00531AFF"/>
    <w:rsid w:val="00532E06"/>
    <w:rsid w:val="00542830"/>
    <w:rsid w:val="00542946"/>
    <w:rsid w:val="0056640D"/>
    <w:rsid w:val="005A7E2F"/>
    <w:rsid w:val="005B433F"/>
    <w:rsid w:val="005C4793"/>
    <w:rsid w:val="005E63DA"/>
    <w:rsid w:val="00605E7D"/>
    <w:rsid w:val="00624C22"/>
    <w:rsid w:val="0065039B"/>
    <w:rsid w:val="006545DE"/>
    <w:rsid w:val="006546AA"/>
    <w:rsid w:val="006647B9"/>
    <w:rsid w:val="00665724"/>
    <w:rsid w:val="00665BEC"/>
    <w:rsid w:val="006851DB"/>
    <w:rsid w:val="00686EBD"/>
    <w:rsid w:val="006A7A24"/>
    <w:rsid w:val="006B0D15"/>
    <w:rsid w:val="006E728E"/>
    <w:rsid w:val="00724772"/>
    <w:rsid w:val="007364FA"/>
    <w:rsid w:val="00791521"/>
    <w:rsid w:val="007A4756"/>
    <w:rsid w:val="007F3EC4"/>
    <w:rsid w:val="007F4291"/>
    <w:rsid w:val="007F7FA5"/>
    <w:rsid w:val="00824D66"/>
    <w:rsid w:val="00850DA2"/>
    <w:rsid w:val="00885D04"/>
    <w:rsid w:val="008867AC"/>
    <w:rsid w:val="00897E16"/>
    <w:rsid w:val="00954B92"/>
    <w:rsid w:val="00960F65"/>
    <w:rsid w:val="00961A30"/>
    <w:rsid w:val="00964935"/>
    <w:rsid w:val="009B754F"/>
    <w:rsid w:val="009E4AB0"/>
    <w:rsid w:val="00A11973"/>
    <w:rsid w:val="00A52EF2"/>
    <w:rsid w:val="00A84ADD"/>
    <w:rsid w:val="00AF3B78"/>
    <w:rsid w:val="00AF4972"/>
    <w:rsid w:val="00B46907"/>
    <w:rsid w:val="00B46A40"/>
    <w:rsid w:val="00BB018A"/>
    <w:rsid w:val="00C02664"/>
    <w:rsid w:val="00C35273"/>
    <w:rsid w:val="00C617B9"/>
    <w:rsid w:val="00C747EC"/>
    <w:rsid w:val="00C95B23"/>
    <w:rsid w:val="00CC5AC9"/>
    <w:rsid w:val="00CF012C"/>
    <w:rsid w:val="00D115A2"/>
    <w:rsid w:val="00D320C0"/>
    <w:rsid w:val="00D52700"/>
    <w:rsid w:val="00D84CB2"/>
    <w:rsid w:val="00DB37C7"/>
    <w:rsid w:val="00DF64EF"/>
    <w:rsid w:val="00E344C5"/>
    <w:rsid w:val="00E431DF"/>
    <w:rsid w:val="00EE4D1A"/>
    <w:rsid w:val="00EE6DD6"/>
    <w:rsid w:val="00EE7F4C"/>
    <w:rsid w:val="00F23B58"/>
    <w:rsid w:val="00F323DC"/>
    <w:rsid w:val="00F43D22"/>
    <w:rsid w:val="00F614F9"/>
    <w:rsid w:val="00F82E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lang w:val="en-US" w:eastAsia="en-US" w:bidi="ar-SA"/>
      </w:rPr>
    </w:rPrDefault>
    <w:pPrDefault>
      <w:pPr>
        <w:spacing w:after="18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477E"/>
  </w:style>
  <w:style w:type="paragraph" w:styleId="Heading1">
    <w:name w:val="heading 1"/>
    <w:basedOn w:val="normal0"/>
    <w:next w:val="normal0"/>
    <w:rsid w:val="005E63DA"/>
    <w:pPr>
      <w:keepNext/>
      <w:keepLines/>
      <w:spacing w:before="240"/>
      <w:ind w:left="1134" w:hanging="1134"/>
      <w:outlineLvl w:val="0"/>
    </w:pPr>
    <w:rPr>
      <w:rFonts w:ascii="Arial" w:eastAsia="Arial" w:hAnsi="Arial" w:cs="Arial"/>
      <w:sz w:val="36"/>
      <w:szCs w:val="36"/>
    </w:rPr>
  </w:style>
  <w:style w:type="paragraph" w:styleId="Heading2">
    <w:name w:val="heading 2"/>
    <w:basedOn w:val="normal0"/>
    <w:next w:val="normal0"/>
    <w:rsid w:val="005E63DA"/>
    <w:pPr>
      <w:keepNext/>
      <w:keepLines/>
      <w:spacing w:before="360" w:after="80"/>
      <w:contextualSpacing/>
      <w:outlineLvl w:val="1"/>
    </w:pPr>
    <w:rPr>
      <w:b/>
      <w:sz w:val="36"/>
      <w:szCs w:val="36"/>
    </w:rPr>
  </w:style>
  <w:style w:type="paragraph" w:styleId="Heading3">
    <w:name w:val="heading 3"/>
    <w:basedOn w:val="normal0"/>
    <w:next w:val="normal0"/>
    <w:rsid w:val="005E63DA"/>
    <w:pPr>
      <w:keepNext/>
      <w:keepLines/>
      <w:spacing w:before="280" w:after="80"/>
      <w:contextualSpacing/>
      <w:outlineLvl w:val="2"/>
    </w:pPr>
    <w:rPr>
      <w:b/>
      <w:sz w:val="28"/>
      <w:szCs w:val="28"/>
    </w:rPr>
  </w:style>
  <w:style w:type="paragraph" w:styleId="Heading4">
    <w:name w:val="heading 4"/>
    <w:basedOn w:val="normal0"/>
    <w:next w:val="normal0"/>
    <w:rsid w:val="005E63DA"/>
    <w:pPr>
      <w:keepNext/>
      <w:keepLines/>
      <w:spacing w:before="240" w:after="40"/>
      <w:contextualSpacing/>
      <w:outlineLvl w:val="3"/>
    </w:pPr>
    <w:rPr>
      <w:b/>
      <w:sz w:val="24"/>
      <w:szCs w:val="24"/>
    </w:rPr>
  </w:style>
  <w:style w:type="paragraph" w:styleId="Heading5">
    <w:name w:val="heading 5"/>
    <w:basedOn w:val="normal0"/>
    <w:next w:val="normal0"/>
    <w:rsid w:val="005E63DA"/>
    <w:pPr>
      <w:keepNext/>
      <w:keepLines/>
      <w:spacing w:before="220" w:after="40"/>
      <w:contextualSpacing/>
      <w:outlineLvl w:val="4"/>
    </w:pPr>
    <w:rPr>
      <w:b/>
      <w:sz w:val="22"/>
      <w:szCs w:val="22"/>
    </w:rPr>
  </w:style>
  <w:style w:type="paragraph" w:styleId="Heading6">
    <w:name w:val="heading 6"/>
    <w:basedOn w:val="normal0"/>
    <w:next w:val="normal0"/>
    <w:rsid w:val="005E63DA"/>
    <w:pPr>
      <w:keepNext/>
      <w:keepLines/>
      <w:spacing w:before="200" w:after="40"/>
      <w:contextualSpacing/>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5E63DA"/>
  </w:style>
  <w:style w:type="paragraph" w:styleId="Title">
    <w:name w:val="Title"/>
    <w:basedOn w:val="normal0"/>
    <w:next w:val="normal0"/>
    <w:rsid w:val="005E63DA"/>
    <w:pPr>
      <w:keepNext/>
      <w:keepLines/>
      <w:spacing w:before="480" w:after="120"/>
      <w:contextualSpacing/>
    </w:pPr>
    <w:rPr>
      <w:b/>
      <w:sz w:val="72"/>
      <w:szCs w:val="72"/>
    </w:rPr>
  </w:style>
  <w:style w:type="paragraph" w:styleId="Subtitle">
    <w:name w:val="Subtitle"/>
    <w:basedOn w:val="normal0"/>
    <w:next w:val="normal0"/>
    <w:rsid w:val="005E63DA"/>
    <w:pPr>
      <w:keepNext/>
      <w:keepLines/>
      <w:spacing w:before="360" w:after="80"/>
      <w:contextualSpacing/>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DB37C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37C7"/>
    <w:rPr>
      <w:rFonts w:ascii="Tahoma" w:hAnsi="Tahoma" w:cs="Tahoma"/>
      <w:sz w:val="16"/>
      <w:szCs w:val="16"/>
    </w:rPr>
  </w:style>
  <w:style w:type="paragraph" w:styleId="NoSpacing">
    <w:name w:val="No Spacing"/>
    <w:uiPriority w:val="1"/>
    <w:qFormat/>
    <w:rsid w:val="00686EBD"/>
    <w:pPr>
      <w:overflowPunct w:val="0"/>
      <w:autoSpaceDE w:val="0"/>
      <w:autoSpaceDN w:val="0"/>
      <w:adjustRightInd w:val="0"/>
      <w:spacing w:after="0"/>
      <w:textAlignment w:val="baseline"/>
    </w:pPr>
    <w:rPr>
      <w:color w:val="auto"/>
      <w:lang w:val="en-GB"/>
    </w:rPr>
  </w:style>
  <w:style w:type="character" w:styleId="CommentReference">
    <w:name w:val="annotation reference"/>
    <w:basedOn w:val="DefaultParagraphFont"/>
    <w:uiPriority w:val="99"/>
    <w:semiHidden/>
    <w:unhideWhenUsed/>
    <w:rsid w:val="009E4AB0"/>
    <w:rPr>
      <w:sz w:val="16"/>
      <w:szCs w:val="16"/>
    </w:rPr>
  </w:style>
  <w:style w:type="paragraph" w:styleId="CommentText">
    <w:name w:val="annotation text"/>
    <w:basedOn w:val="Normal"/>
    <w:link w:val="CommentTextChar"/>
    <w:uiPriority w:val="99"/>
    <w:semiHidden/>
    <w:unhideWhenUsed/>
    <w:rsid w:val="009E4AB0"/>
  </w:style>
  <w:style w:type="character" w:customStyle="1" w:styleId="CommentTextChar">
    <w:name w:val="Comment Text Char"/>
    <w:basedOn w:val="DefaultParagraphFont"/>
    <w:link w:val="CommentText"/>
    <w:uiPriority w:val="99"/>
    <w:semiHidden/>
    <w:rsid w:val="009E4AB0"/>
  </w:style>
  <w:style w:type="paragraph" w:styleId="CommentSubject">
    <w:name w:val="annotation subject"/>
    <w:basedOn w:val="CommentText"/>
    <w:next w:val="CommentText"/>
    <w:link w:val="CommentSubjectChar"/>
    <w:uiPriority w:val="99"/>
    <w:semiHidden/>
    <w:unhideWhenUsed/>
    <w:rsid w:val="009E4AB0"/>
    <w:rPr>
      <w:b/>
      <w:bCs/>
    </w:rPr>
  </w:style>
  <w:style w:type="character" w:customStyle="1" w:styleId="CommentSubjectChar">
    <w:name w:val="Comment Subject Char"/>
    <w:basedOn w:val="CommentTextChar"/>
    <w:link w:val="CommentSubject"/>
    <w:uiPriority w:val="99"/>
    <w:semiHidden/>
    <w:rsid w:val="009E4AB0"/>
    <w:rPr>
      <w:b/>
      <w:bCs/>
    </w:rPr>
  </w:style>
  <w:style w:type="paragraph" w:customStyle="1" w:styleId="Normal1">
    <w:name w:val="Normal1"/>
    <w:rsid w:val="001048F9"/>
  </w:style>
  <w:style w:type="paragraph" w:styleId="ListParagraph">
    <w:name w:val="List Paragraph"/>
    <w:basedOn w:val="Normal"/>
    <w:uiPriority w:val="34"/>
    <w:qFormat/>
    <w:rsid w:val="009B754F"/>
    <w:pPr>
      <w:spacing w:after="200" w:line="276" w:lineRule="auto"/>
      <w:ind w:left="720"/>
      <w:contextualSpacing/>
    </w:pPr>
    <w:rPr>
      <w:rFonts w:asciiTheme="minorHAnsi" w:eastAsiaTheme="minorHAnsi" w:hAnsiTheme="minorHAnsi" w:cstheme="minorBidi"/>
      <w:color w:val="auto"/>
      <w:sz w:val="22"/>
      <w:szCs w:val="22"/>
    </w:rPr>
  </w:style>
  <w:style w:type="paragraph" w:styleId="Header">
    <w:name w:val="header"/>
    <w:basedOn w:val="Normal"/>
    <w:link w:val="HeaderChar"/>
    <w:uiPriority w:val="99"/>
    <w:semiHidden/>
    <w:unhideWhenUsed/>
    <w:rsid w:val="00CC5AC9"/>
    <w:pPr>
      <w:tabs>
        <w:tab w:val="center" w:pos="4680"/>
        <w:tab w:val="right" w:pos="9360"/>
      </w:tabs>
      <w:spacing w:after="0"/>
    </w:pPr>
  </w:style>
  <w:style w:type="character" w:customStyle="1" w:styleId="HeaderChar">
    <w:name w:val="Header Char"/>
    <w:basedOn w:val="DefaultParagraphFont"/>
    <w:link w:val="Header"/>
    <w:uiPriority w:val="99"/>
    <w:semiHidden/>
    <w:rsid w:val="00CC5AC9"/>
  </w:style>
  <w:style w:type="paragraph" w:styleId="Footer">
    <w:name w:val="footer"/>
    <w:basedOn w:val="Normal"/>
    <w:link w:val="FooterChar"/>
    <w:uiPriority w:val="99"/>
    <w:semiHidden/>
    <w:unhideWhenUsed/>
    <w:rsid w:val="00CC5AC9"/>
    <w:pPr>
      <w:tabs>
        <w:tab w:val="center" w:pos="4680"/>
        <w:tab w:val="right" w:pos="9360"/>
      </w:tabs>
      <w:spacing w:after="0"/>
    </w:pPr>
  </w:style>
  <w:style w:type="character" w:customStyle="1" w:styleId="FooterChar">
    <w:name w:val="Footer Char"/>
    <w:basedOn w:val="DefaultParagraphFont"/>
    <w:link w:val="Footer"/>
    <w:uiPriority w:val="99"/>
    <w:semiHidden/>
    <w:rsid w:val="00CC5AC9"/>
  </w:style>
  <w:style w:type="table" w:styleId="TableGrid">
    <w:name w:val="Table Grid"/>
    <w:basedOn w:val="TableNormal"/>
    <w:uiPriority w:val="59"/>
    <w:rsid w:val="00897E16"/>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13582752">
      <w:bodyDiv w:val="1"/>
      <w:marLeft w:val="0"/>
      <w:marRight w:val="0"/>
      <w:marTop w:val="0"/>
      <w:marBottom w:val="0"/>
      <w:divBdr>
        <w:top w:val="none" w:sz="0" w:space="0" w:color="auto"/>
        <w:left w:val="none" w:sz="0" w:space="0" w:color="auto"/>
        <w:bottom w:val="none" w:sz="0" w:space="0" w:color="auto"/>
        <w:right w:val="none" w:sz="0" w:space="0" w:color="auto"/>
      </w:divBdr>
      <w:divsChild>
        <w:div w:id="2083335653">
          <w:marLeft w:val="0"/>
          <w:marRight w:val="0"/>
          <w:marTop w:val="0"/>
          <w:marBottom w:val="0"/>
          <w:divBdr>
            <w:top w:val="none" w:sz="0" w:space="0" w:color="auto"/>
            <w:left w:val="none" w:sz="0" w:space="0" w:color="auto"/>
            <w:bottom w:val="none" w:sz="0" w:space="0" w:color="auto"/>
            <w:right w:val="none" w:sz="0" w:space="0" w:color="auto"/>
          </w:divBdr>
        </w:div>
        <w:div w:id="1137651232">
          <w:marLeft w:val="0"/>
          <w:marRight w:val="0"/>
          <w:marTop w:val="0"/>
          <w:marBottom w:val="0"/>
          <w:divBdr>
            <w:top w:val="none" w:sz="0" w:space="0" w:color="auto"/>
            <w:left w:val="none" w:sz="0" w:space="0" w:color="auto"/>
            <w:bottom w:val="none" w:sz="0" w:space="0" w:color="auto"/>
            <w:right w:val="none" w:sz="0" w:space="0" w:color="auto"/>
          </w:divBdr>
        </w:div>
      </w:divsChild>
    </w:div>
    <w:div w:id="8569661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Office_Excel_97-2003_Worksheet1.xls"/><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860</Words>
  <Characters>4906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5755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Colin-ACF002</dc:creator>
  <cp:lastModifiedBy>Istvan</cp:lastModifiedBy>
  <cp:revision>2</cp:revision>
  <dcterms:created xsi:type="dcterms:W3CDTF">2016-05-13T16:53:00Z</dcterms:created>
  <dcterms:modified xsi:type="dcterms:W3CDTF">2016-05-13T16:53:00Z</dcterms:modified>
</cp:coreProperties>
</file>