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550" w:rsidRPr="008525F2" w:rsidRDefault="00DD2550" w:rsidP="00DD2550">
      <w:pPr>
        <w:widowControl w:val="0"/>
        <w:tabs>
          <w:tab w:val="right" w:pos="9639"/>
        </w:tabs>
        <w:spacing w:after="0"/>
        <w:rPr>
          <w:b/>
          <w:sz w:val="24"/>
          <w:szCs w:val="24"/>
          <w:lang w:val="sv-SE"/>
        </w:rPr>
      </w:pPr>
      <w:r w:rsidRPr="008525F2">
        <w:rPr>
          <w:b/>
          <w:sz w:val="24"/>
          <w:szCs w:val="24"/>
          <w:lang w:val="sv-SE"/>
        </w:rPr>
        <w:t xml:space="preserve">3GPP TSG-RAN </w:t>
      </w:r>
      <w:r>
        <w:rPr>
          <w:b/>
          <w:sz w:val="24"/>
          <w:szCs w:val="24"/>
          <w:lang w:val="sv-SE"/>
        </w:rPr>
        <w:t>WG4 #78BIS</w:t>
      </w:r>
      <w:r w:rsidRPr="008525F2">
        <w:rPr>
          <w:b/>
          <w:sz w:val="24"/>
          <w:szCs w:val="24"/>
          <w:lang w:val="sv-SE"/>
        </w:rPr>
        <w:tab/>
      </w:r>
      <w:r w:rsidR="005C481A" w:rsidRPr="005C481A">
        <w:rPr>
          <w:b/>
          <w:color w:val="333333"/>
          <w:sz w:val="24"/>
          <w:szCs w:val="24"/>
          <w:shd w:val="clear" w:color="auto" w:fill="F2F2F2"/>
        </w:rPr>
        <w:t>R4-162629</w:t>
      </w:r>
    </w:p>
    <w:p w:rsidR="00DD2550" w:rsidRPr="0093339D" w:rsidRDefault="00DD2550" w:rsidP="00DD2550">
      <w:pPr>
        <w:pStyle w:val="Header"/>
        <w:tabs>
          <w:tab w:val="right" w:pos="9781"/>
          <w:tab w:val="right" w:pos="13323"/>
        </w:tabs>
        <w:outlineLvl w:val="0"/>
        <w:rPr>
          <w:rFonts w:ascii="Times New Roman" w:eastAsia="SimSun" w:hAnsi="Times New Roman"/>
          <w:sz w:val="24"/>
          <w:szCs w:val="24"/>
          <w:lang w:eastAsia="zh-CN"/>
        </w:rPr>
      </w:pPr>
      <w:r w:rsidRPr="0093339D">
        <w:rPr>
          <w:rFonts w:ascii="Times New Roman" w:eastAsia="SimSun" w:hAnsi="Times New Roman"/>
          <w:sz w:val="24"/>
          <w:szCs w:val="24"/>
          <w:lang w:eastAsia="zh-CN"/>
        </w:rPr>
        <w:t>San Jose del Cabo, Mexico</w:t>
      </w:r>
      <w:r w:rsidRPr="0093339D">
        <w:rPr>
          <w:rFonts w:ascii="Times New Roman" w:eastAsia="SimSun" w:hAnsi="Times New Roman"/>
          <w:sz w:val="24"/>
          <w:szCs w:val="24"/>
          <w:lang w:val="pt-BR" w:eastAsia="zh-CN"/>
        </w:rPr>
        <w:t>,</w:t>
      </w:r>
      <w:r w:rsidRPr="0093339D">
        <w:rPr>
          <w:rFonts w:ascii="Times New Roman" w:hAnsi="Times New Roman"/>
          <w:sz w:val="24"/>
          <w:szCs w:val="24"/>
          <w:lang w:val="pt-BR" w:eastAsia="ja-JP"/>
        </w:rPr>
        <w:t xml:space="preserve"> </w:t>
      </w:r>
      <w:r w:rsidRPr="0093339D">
        <w:rPr>
          <w:rFonts w:ascii="Times New Roman" w:hAnsi="Times New Roman"/>
          <w:sz w:val="24"/>
          <w:szCs w:val="24"/>
          <w:lang w:eastAsia="ja-JP"/>
        </w:rPr>
        <w:t>1</w:t>
      </w:r>
      <w:r w:rsidRPr="0093339D">
        <w:rPr>
          <w:rFonts w:ascii="Times New Roman" w:eastAsia="SimSun" w:hAnsi="Times New Roman"/>
          <w:sz w:val="24"/>
          <w:szCs w:val="24"/>
          <w:lang w:eastAsia="zh-CN"/>
        </w:rPr>
        <w:t>1</w:t>
      </w:r>
      <w:r w:rsidRPr="0093339D">
        <w:rPr>
          <w:rFonts w:ascii="Times New Roman" w:hAnsi="Times New Roman"/>
          <w:sz w:val="24"/>
          <w:szCs w:val="24"/>
          <w:lang w:eastAsia="ja-JP"/>
        </w:rPr>
        <w:t xml:space="preserve"> </w:t>
      </w:r>
      <w:r w:rsidRPr="0093339D">
        <w:rPr>
          <w:rFonts w:ascii="Times New Roman" w:eastAsia="SimSun" w:hAnsi="Times New Roman"/>
          <w:sz w:val="24"/>
          <w:szCs w:val="24"/>
          <w:lang w:eastAsia="zh-CN"/>
        </w:rPr>
        <w:t>– 15</w:t>
      </w:r>
      <w:r w:rsidRPr="0093339D">
        <w:rPr>
          <w:rFonts w:ascii="Times New Roman" w:hAnsi="Times New Roman"/>
          <w:sz w:val="24"/>
          <w:szCs w:val="24"/>
          <w:lang w:eastAsia="ja-JP"/>
        </w:rPr>
        <w:t xml:space="preserve"> </w:t>
      </w:r>
      <w:r w:rsidRPr="0093339D">
        <w:rPr>
          <w:rFonts w:ascii="Times New Roman" w:eastAsia="SimSun" w:hAnsi="Times New Roman"/>
          <w:sz w:val="24"/>
          <w:szCs w:val="24"/>
          <w:lang w:eastAsia="zh-CN"/>
        </w:rPr>
        <w:t>April</w:t>
      </w:r>
      <w:r w:rsidRPr="0093339D">
        <w:rPr>
          <w:rFonts w:ascii="Times New Roman" w:hAnsi="Times New Roman"/>
          <w:sz w:val="24"/>
          <w:szCs w:val="24"/>
          <w:lang w:eastAsia="ja-JP"/>
        </w:rPr>
        <w:t>, 201</w:t>
      </w:r>
      <w:r w:rsidRPr="0093339D">
        <w:rPr>
          <w:rFonts w:ascii="Times New Roman" w:eastAsia="SimSun" w:hAnsi="Times New Roman"/>
          <w:sz w:val="24"/>
          <w:szCs w:val="24"/>
          <w:lang w:eastAsia="zh-CN"/>
        </w:rPr>
        <w:t>6</w:t>
      </w:r>
    </w:p>
    <w:p w:rsidR="005E38FA" w:rsidRPr="00093A85" w:rsidRDefault="005E38FA" w:rsidP="0040252B">
      <w:pPr>
        <w:pStyle w:val="Header"/>
        <w:spacing w:line="276" w:lineRule="auto"/>
        <w:rPr>
          <w:rFonts w:ascii="Times New Roman" w:hAnsi="Times New Roman"/>
          <w:noProof w:val="0"/>
          <w:lang w:val="en-GB"/>
        </w:rPr>
      </w:pPr>
    </w:p>
    <w:p w:rsidR="005E38FA" w:rsidRPr="00093A85" w:rsidRDefault="005E38FA" w:rsidP="0040252B">
      <w:pPr>
        <w:pStyle w:val="Footer"/>
        <w:spacing w:line="276" w:lineRule="auto"/>
        <w:rPr>
          <w:rFonts w:ascii="Times New Roman" w:hAnsi="Times New Roman"/>
          <w:noProof w:val="0"/>
        </w:rPr>
      </w:pPr>
    </w:p>
    <w:p w:rsidR="005E38FA" w:rsidRPr="00093A85" w:rsidRDefault="005E38FA" w:rsidP="0040252B">
      <w:pPr>
        <w:tabs>
          <w:tab w:val="left" w:pos="1985"/>
        </w:tabs>
        <w:spacing w:line="276" w:lineRule="auto"/>
        <w:rPr>
          <w:sz w:val="24"/>
          <w:lang w:val="en-US"/>
        </w:rPr>
      </w:pPr>
      <w:r w:rsidRPr="00093A85">
        <w:rPr>
          <w:b/>
          <w:sz w:val="24"/>
          <w:lang w:val="en-US"/>
        </w:rPr>
        <w:t>Agenda item:</w:t>
      </w:r>
      <w:r w:rsidRPr="00093A85">
        <w:rPr>
          <w:sz w:val="24"/>
          <w:lang w:val="en-US"/>
        </w:rPr>
        <w:tab/>
      </w:r>
      <w:r w:rsidR="000273ED">
        <w:rPr>
          <w:sz w:val="24"/>
          <w:lang w:val="en-US"/>
        </w:rPr>
        <w:t>6.9.1</w:t>
      </w:r>
    </w:p>
    <w:p w:rsidR="005E38FA" w:rsidRPr="00093A85" w:rsidRDefault="005E38FA" w:rsidP="0040252B">
      <w:pPr>
        <w:tabs>
          <w:tab w:val="left" w:pos="1985"/>
        </w:tabs>
        <w:spacing w:line="276" w:lineRule="auto"/>
        <w:rPr>
          <w:sz w:val="24"/>
          <w:lang w:val="en-US"/>
        </w:rPr>
      </w:pPr>
      <w:r w:rsidRPr="00093A85">
        <w:rPr>
          <w:b/>
          <w:sz w:val="24"/>
          <w:lang w:val="en-US"/>
        </w:rPr>
        <w:t xml:space="preserve">Source: </w:t>
      </w:r>
      <w:r w:rsidRPr="00093A85">
        <w:rPr>
          <w:b/>
          <w:sz w:val="24"/>
          <w:lang w:val="en-US"/>
        </w:rPr>
        <w:tab/>
      </w:r>
      <w:r w:rsidRPr="00093A85">
        <w:rPr>
          <w:sz w:val="24"/>
          <w:lang w:val="en-US"/>
        </w:rPr>
        <w:t>Qualcomm Incorporated</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Title:</w:t>
      </w:r>
      <w:r w:rsidRPr="00093A85">
        <w:rPr>
          <w:sz w:val="24"/>
          <w:lang w:val="en-US"/>
        </w:rPr>
        <w:t xml:space="preserve"> </w:t>
      </w:r>
      <w:r w:rsidRPr="00093A85">
        <w:rPr>
          <w:sz w:val="24"/>
          <w:lang w:val="en-US"/>
        </w:rPr>
        <w:tab/>
      </w:r>
      <w:r w:rsidR="003568D3">
        <w:rPr>
          <w:sz w:val="24"/>
          <w:lang w:val="en-US"/>
        </w:rPr>
        <w:t>Accuracy of RS-SINR measurement</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Document for:</w:t>
      </w:r>
      <w:r w:rsidRPr="00093A85">
        <w:rPr>
          <w:sz w:val="24"/>
          <w:lang w:val="en-US"/>
        </w:rPr>
        <w:tab/>
        <w:t>Discussion</w:t>
      </w:r>
    </w:p>
    <w:p w:rsidR="005E38FA" w:rsidRPr="00D61FFF" w:rsidRDefault="005E38FA" w:rsidP="0040252B">
      <w:pPr>
        <w:pStyle w:val="Heading1"/>
        <w:spacing w:line="276" w:lineRule="auto"/>
        <w:rPr>
          <w:rFonts w:cs="Arial"/>
          <w:lang w:val="en-US"/>
        </w:rPr>
      </w:pPr>
      <w:r w:rsidRPr="00D61FFF">
        <w:rPr>
          <w:rFonts w:cs="Arial"/>
          <w:lang w:val="en-US"/>
        </w:rPr>
        <w:t>Introduction</w:t>
      </w:r>
    </w:p>
    <w:p w:rsidR="005E38FA" w:rsidRPr="00093A85" w:rsidRDefault="005D71DF" w:rsidP="0040252B">
      <w:pPr>
        <w:spacing w:line="276" w:lineRule="auto"/>
        <w:rPr>
          <w:lang w:val="en-US"/>
        </w:rPr>
      </w:pPr>
      <w:r>
        <w:rPr>
          <w:lang w:val="en-US"/>
        </w:rPr>
        <w:t>RS-SINR measurement for multicarrier load distribution has been discussed in RAN4.</w:t>
      </w:r>
      <w:r w:rsidR="00D36E79">
        <w:rPr>
          <w:lang w:val="en-US"/>
        </w:rPr>
        <w:t xml:space="preserve"> </w:t>
      </w:r>
      <w:r w:rsidR="000273ED">
        <w:rPr>
          <w:lang w:val="en-US"/>
        </w:rPr>
        <w:t xml:space="preserve">In RAN4 #77, </w:t>
      </w:r>
      <w:r w:rsidR="00D36E79">
        <w:rPr>
          <w:rFonts w:eastAsia="SimSun"/>
          <w:lang w:eastAsia="zh-CN"/>
        </w:rPr>
        <w:t xml:space="preserve">RS-SINR measurement </w:t>
      </w:r>
      <w:r w:rsidR="000273ED">
        <w:rPr>
          <w:rFonts w:eastAsia="SimSun"/>
          <w:lang w:eastAsia="zh-CN"/>
        </w:rPr>
        <w:t>accuracy was discussed, where we had provided simulation results showing that RS-SINR accuracy can be challenging for inter-frequency neighbour</w:t>
      </w:r>
      <w:r w:rsidR="00D22171">
        <w:rPr>
          <w:rFonts w:eastAsia="SimSun"/>
          <w:lang w:eastAsia="zh-CN"/>
        </w:rPr>
        <w:t xml:space="preserve"> [1]</w:t>
      </w:r>
      <w:r w:rsidR="000273ED">
        <w:rPr>
          <w:rFonts w:eastAsia="SimSun"/>
          <w:lang w:eastAsia="zh-CN"/>
        </w:rPr>
        <w:t xml:space="preserve">. </w:t>
      </w:r>
      <w:r w:rsidR="00D36E79">
        <w:rPr>
          <w:rFonts w:eastAsia="SimSun"/>
          <w:lang w:eastAsia="zh-CN"/>
        </w:rPr>
        <w:t xml:space="preserve">In this contribution, we provide </w:t>
      </w:r>
      <w:r w:rsidR="000273ED">
        <w:rPr>
          <w:rFonts w:eastAsia="SimSun"/>
          <w:lang w:eastAsia="zh-CN"/>
        </w:rPr>
        <w:t>simulations results with an alternative approach which shows improvement in accuracy of RS-SINR measurement.</w:t>
      </w:r>
    </w:p>
    <w:p w:rsidR="005E38FA" w:rsidRDefault="005E38FA" w:rsidP="0040252B">
      <w:pPr>
        <w:pStyle w:val="Heading1"/>
        <w:spacing w:line="276" w:lineRule="auto"/>
        <w:rPr>
          <w:rFonts w:cs="Arial"/>
          <w:lang w:val="en-US"/>
        </w:rPr>
      </w:pPr>
      <w:r w:rsidRPr="00D61FFF">
        <w:rPr>
          <w:rFonts w:cs="Arial"/>
          <w:lang w:val="en-US"/>
        </w:rPr>
        <w:t>Discussion</w:t>
      </w:r>
    </w:p>
    <w:p w:rsidR="007F6EF4" w:rsidRPr="007F6EF4" w:rsidRDefault="007F6EF4" w:rsidP="007F6EF4">
      <w:pPr>
        <w:spacing w:line="276" w:lineRule="auto"/>
        <w:rPr>
          <w:lang w:val="en-US"/>
        </w:rPr>
      </w:pPr>
      <w:r>
        <w:rPr>
          <w:lang w:val="en-US"/>
        </w:rPr>
        <w:t>Our approach for measuring RS-SINR utilizes the fact that the background noise has a white (flat) spectrum, which allows for some amount of averaging. First, we discuss measurement accuracy in AWGN channel, where accuracy requirements will be defined. Then, we provide some insight into the potential accuracy of the measurement for fading channels.</w:t>
      </w:r>
    </w:p>
    <w:p w:rsidR="007F6EF4" w:rsidRDefault="007F6EF4" w:rsidP="007F6EF4">
      <w:pPr>
        <w:pStyle w:val="Heading2"/>
        <w:spacing w:line="276" w:lineRule="auto"/>
        <w:rPr>
          <w:rFonts w:ascii="Times New Roman" w:hAnsi="Times New Roman"/>
          <w:lang w:val="en-US"/>
        </w:rPr>
      </w:pPr>
      <w:r>
        <w:rPr>
          <w:rFonts w:ascii="Times New Roman" w:hAnsi="Times New Roman"/>
          <w:lang w:val="en-US"/>
        </w:rPr>
        <w:t>Accuracy in AWGN channel</w:t>
      </w:r>
    </w:p>
    <w:p w:rsidR="00D441BD" w:rsidRPr="009156AD" w:rsidRDefault="00D203DD" w:rsidP="0040252B">
      <w:pPr>
        <w:spacing w:line="276" w:lineRule="auto"/>
        <w:rPr>
          <w:lang w:val="en-US"/>
        </w:rPr>
      </w:pPr>
      <w:r w:rsidRPr="009156AD">
        <w:rPr>
          <w:lang w:val="en-US"/>
        </w:rPr>
        <w:t>We provide simulation results showing the accuracy</w:t>
      </w:r>
      <w:r>
        <w:rPr>
          <w:lang w:val="en-US"/>
        </w:rPr>
        <w:t xml:space="preserve"> o</w:t>
      </w:r>
      <w:r w:rsidR="009240D6">
        <w:rPr>
          <w:lang w:val="en-US"/>
        </w:rPr>
        <w:t>f RS-SINR measurement for inter-</w:t>
      </w:r>
      <w:r>
        <w:rPr>
          <w:lang w:val="en-US"/>
        </w:rPr>
        <w:t>frequency neighbor. T</w:t>
      </w:r>
      <w:r w:rsidR="009156AD">
        <w:rPr>
          <w:lang w:val="en-US"/>
        </w:rPr>
        <w:t>he link level assumptions that are followed are listed in</w:t>
      </w:r>
      <w:r w:rsidR="00D36E79">
        <w:rPr>
          <w:lang w:val="en-US"/>
        </w:rPr>
        <w:t xml:space="preserve"> Table 1, based on the agreed way forward [2]</w:t>
      </w:r>
      <w:r w:rsidR="00792A08">
        <w:rPr>
          <w:lang w:val="en-US"/>
        </w:rPr>
        <w:t>.</w:t>
      </w:r>
    </w:p>
    <w:p w:rsidR="003568D3" w:rsidRDefault="003568D3" w:rsidP="003568D3">
      <w:pPr>
        <w:jc w:val="center"/>
        <w:rPr>
          <w:rFonts w:eastAsia="SimSun"/>
          <w:b/>
          <w:lang w:eastAsia="zh-CN"/>
        </w:rPr>
      </w:pPr>
      <w:r>
        <w:rPr>
          <w:b/>
        </w:rPr>
        <w:t>Table 1: Link level simulation assumptions</w:t>
      </w:r>
      <w:r>
        <w:rPr>
          <w:rFonts w:eastAsia="SimSun"/>
          <w:b/>
          <w:lang w:eastAsia="zh-CN"/>
        </w:rPr>
        <w:t xml:space="preserve"> for RS-</w:t>
      </w:r>
      <w:r>
        <w:rPr>
          <w:b/>
        </w:rPr>
        <w:t xml:space="preserve">SINR </w:t>
      </w:r>
      <w:r>
        <w:rPr>
          <w:rFonts w:eastAsia="SimSun"/>
          <w:b/>
          <w:lang w:eastAsia="zh-CN"/>
        </w:rPr>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2458"/>
      </w:tblGrid>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jc w:val="center"/>
              <w:rPr>
                <w:rFonts w:eastAsia="Batang"/>
                <w:b/>
                <w:bCs/>
                <w:sz w:val="18"/>
                <w:szCs w:val="18"/>
              </w:rPr>
            </w:pPr>
            <w:r>
              <w:rPr>
                <w:rFonts w:eastAsia="Batang"/>
                <w:b/>
                <w:bCs/>
                <w:sz w:val="18"/>
                <w:szCs w:val="18"/>
              </w:rPr>
              <w:t>Parameters</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jc w:val="center"/>
              <w:rPr>
                <w:rFonts w:eastAsia="Batang"/>
                <w:b/>
                <w:bCs/>
                <w:sz w:val="18"/>
                <w:szCs w:val="18"/>
              </w:rPr>
            </w:pPr>
            <w:r>
              <w:rPr>
                <w:rFonts w:eastAsia="Batang"/>
                <w:b/>
                <w:bCs/>
                <w:sz w:val="18"/>
                <w:szCs w:val="18"/>
              </w:rPr>
              <w:t>Value</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Measurement bandwidth</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3568D3">
            <w:pPr>
              <w:adjustRightInd w:val="0"/>
              <w:snapToGrid w:val="0"/>
              <w:spacing w:after="0"/>
              <w:jc w:val="center"/>
              <w:rPr>
                <w:rFonts w:eastAsia="Batang"/>
                <w:sz w:val="18"/>
                <w:szCs w:val="18"/>
              </w:rPr>
            </w:pPr>
            <w:r>
              <w:rPr>
                <w:rFonts w:eastAsia="Batang"/>
                <w:sz w:val="18"/>
                <w:szCs w:val="18"/>
              </w:rPr>
              <w:t xml:space="preserve">6 resource blocks, </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System bandwidth</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jc w:val="center"/>
              <w:rPr>
                <w:rFonts w:eastAsia="Batang"/>
                <w:sz w:val="18"/>
                <w:szCs w:val="18"/>
              </w:rPr>
            </w:pPr>
            <w:r>
              <w:rPr>
                <w:rFonts w:eastAsia="Batang"/>
                <w:sz w:val="18"/>
                <w:szCs w:val="18"/>
              </w:rPr>
              <w:t>50 resource blocks</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Measurement sampling rate</w:t>
            </w:r>
          </w:p>
        </w:tc>
        <w:tc>
          <w:tcPr>
            <w:tcW w:w="2458" w:type="dxa"/>
            <w:tcBorders>
              <w:top w:val="single" w:sz="4" w:space="0" w:color="auto"/>
              <w:left w:val="single" w:sz="4" w:space="0" w:color="auto"/>
              <w:bottom w:val="single" w:sz="4" w:space="0" w:color="auto"/>
              <w:right w:val="single" w:sz="4" w:space="0" w:color="auto"/>
            </w:tcBorders>
          </w:tcPr>
          <w:p w:rsidR="009156AD" w:rsidRDefault="009156AD">
            <w:pPr>
              <w:adjustRightInd w:val="0"/>
              <w:snapToGrid w:val="0"/>
              <w:spacing w:after="0"/>
              <w:jc w:val="center"/>
              <w:rPr>
                <w:rFonts w:eastAsia="Batang"/>
                <w:sz w:val="18"/>
                <w:szCs w:val="18"/>
              </w:rPr>
            </w:pP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L3 filtering</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jc w:val="center"/>
              <w:rPr>
                <w:rFonts w:eastAsia="Batang"/>
                <w:sz w:val="18"/>
                <w:szCs w:val="18"/>
              </w:rPr>
            </w:pPr>
            <w:r>
              <w:rPr>
                <w:rFonts w:eastAsia="Batang"/>
                <w:sz w:val="18"/>
                <w:szCs w:val="18"/>
              </w:rPr>
              <w:t>Disabled</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Transmit antenna</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jc w:val="center"/>
              <w:rPr>
                <w:rFonts w:eastAsia="Batang"/>
                <w:sz w:val="18"/>
                <w:szCs w:val="18"/>
              </w:rPr>
            </w:pPr>
            <w:r>
              <w:rPr>
                <w:rFonts w:eastAsia="Batang"/>
                <w:sz w:val="18"/>
                <w:szCs w:val="18"/>
              </w:rPr>
              <w:t>1</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Receive antennas</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jc w:val="center"/>
              <w:rPr>
                <w:rFonts w:eastAsia="Batang"/>
                <w:sz w:val="18"/>
                <w:szCs w:val="18"/>
              </w:rPr>
            </w:pPr>
            <w:r>
              <w:rPr>
                <w:rFonts w:eastAsia="Batang"/>
                <w:sz w:val="18"/>
                <w:szCs w:val="18"/>
              </w:rPr>
              <w:t>2</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Propagation conditions</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rsidP="003568D3">
            <w:pPr>
              <w:adjustRightInd w:val="0"/>
              <w:snapToGrid w:val="0"/>
              <w:spacing w:after="0"/>
              <w:jc w:val="center"/>
              <w:rPr>
                <w:rFonts w:eastAsia="Batang"/>
                <w:sz w:val="18"/>
                <w:szCs w:val="18"/>
                <w:lang w:val="es-ES"/>
              </w:rPr>
            </w:pPr>
            <w:r>
              <w:rPr>
                <w:rFonts w:eastAsia="Batang"/>
                <w:sz w:val="18"/>
                <w:szCs w:val="18"/>
                <w:lang w:val="es-ES"/>
              </w:rPr>
              <w:t>AWGN</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utoSpaceDE w:val="0"/>
              <w:autoSpaceDN w:val="0"/>
              <w:adjustRightInd w:val="0"/>
              <w:snapToGrid w:val="0"/>
              <w:spacing w:after="0"/>
              <w:rPr>
                <w:rFonts w:eastAsia="Batang"/>
                <w:sz w:val="18"/>
                <w:szCs w:val="18"/>
              </w:rPr>
            </w:pPr>
            <w:r>
              <w:rPr>
                <w:rFonts w:eastAsia="Batang"/>
                <w:sz w:val="18"/>
                <w:szCs w:val="18"/>
              </w:rPr>
              <w:t>DRX/DTX</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pPr>
              <w:autoSpaceDE w:val="0"/>
              <w:autoSpaceDN w:val="0"/>
              <w:adjustRightInd w:val="0"/>
              <w:snapToGrid w:val="0"/>
              <w:spacing w:after="0"/>
              <w:jc w:val="center"/>
              <w:rPr>
                <w:rFonts w:eastAsia="Batang"/>
                <w:sz w:val="18"/>
                <w:szCs w:val="18"/>
              </w:rPr>
            </w:pPr>
            <w:r>
              <w:rPr>
                <w:rFonts w:eastAsia="Batang"/>
                <w:sz w:val="18"/>
                <w:szCs w:val="18"/>
              </w:rPr>
              <w:t>OFF</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CP length</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jc w:val="center"/>
              <w:rPr>
                <w:rFonts w:eastAsia="Batang"/>
                <w:sz w:val="18"/>
                <w:szCs w:val="18"/>
              </w:rPr>
            </w:pPr>
            <w:r>
              <w:rPr>
                <w:rFonts w:eastAsia="Batang"/>
                <w:sz w:val="18"/>
                <w:szCs w:val="18"/>
              </w:rPr>
              <w:t>Normal</w:t>
            </w:r>
          </w:p>
        </w:tc>
      </w:tr>
      <w:tr w:rsidR="009156AD" w:rsidTr="003568D3">
        <w:trPr>
          <w:jc w:val="center"/>
        </w:trPr>
        <w:tc>
          <w:tcPr>
            <w:tcW w:w="2504"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rPr>
                <w:rFonts w:eastAsia="Batang"/>
                <w:sz w:val="18"/>
                <w:szCs w:val="18"/>
              </w:rPr>
            </w:pPr>
            <w:r>
              <w:rPr>
                <w:rFonts w:eastAsia="Batang"/>
                <w:sz w:val="18"/>
                <w:szCs w:val="18"/>
              </w:rPr>
              <w:t>Carrier frequency</w:t>
            </w:r>
          </w:p>
        </w:tc>
        <w:tc>
          <w:tcPr>
            <w:tcW w:w="2458" w:type="dxa"/>
            <w:tcBorders>
              <w:top w:val="single" w:sz="4" w:space="0" w:color="auto"/>
              <w:left w:val="single" w:sz="4" w:space="0" w:color="auto"/>
              <w:bottom w:val="single" w:sz="4" w:space="0" w:color="auto"/>
              <w:right w:val="single" w:sz="4" w:space="0" w:color="auto"/>
            </w:tcBorders>
            <w:hideMark/>
          </w:tcPr>
          <w:p w:rsidR="009156AD" w:rsidRDefault="009156AD">
            <w:pPr>
              <w:adjustRightInd w:val="0"/>
              <w:snapToGrid w:val="0"/>
              <w:spacing w:after="0"/>
              <w:jc w:val="center"/>
              <w:rPr>
                <w:rFonts w:eastAsia="Batang"/>
                <w:sz w:val="18"/>
                <w:szCs w:val="18"/>
              </w:rPr>
            </w:pPr>
            <w:r>
              <w:rPr>
                <w:rFonts w:eastAsia="Batang"/>
                <w:sz w:val="18"/>
                <w:szCs w:val="18"/>
              </w:rPr>
              <w:t>2 GHz</w:t>
            </w:r>
          </w:p>
        </w:tc>
      </w:tr>
    </w:tbl>
    <w:p w:rsidR="00F9503C" w:rsidRDefault="00F9503C" w:rsidP="00EE4119">
      <w:pPr>
        <w:spacing w:line="276" w:lineRule="auto"/>
        <w:jc w:val="center"/>
        <w:rPr>
          <w:b/>
          <w:noProof/>
          <w:lang w:val="en-US"/>
        </w:rPr>
      </w:pPr>
    </w:p>
    <w:p w:rsidR="00B60D38" w:rsidRDefault="00D919AB" w:rsidP="00F9503C">
      <w:pPr>
        <w:spacing w:line="276" w:lineRule="auto"/>
        <w:rPr>
          <w:noProof/>
          <w:lang w:val="en-US"/>
        </w:rPr>
      </w:pPr>
      <w:r w:rsidRPr="00D919AB">
        <w:rPr>
          <w:noProof/>
          <w:lang w:val="en-US"/>
        </w:rPr>
        <w:t xml:space="preserve">In Figure 1, we show the </w:t>
      </w:r>
      <w:r>
        <w:rPr>
          <w:noProof/>
          <w:lang w:val="en-US"/>
        </w:rPr>
        <w:t xml:space="preserve">average measured </w:t>
      </w:r>
      <w:r w:rsidRPr="00D919AB">
        <w:rPr>
          <w:noProof/>
          <w:lang w:val="en-US"/>
        </w:rPr>
        <w:t>RS-SINR</w:t>
      </w:r>
      <w:r>
        <w:rPr>
          <w:noProof/>
          <w:lang w:val="en-US"/>
        </w:rPr>
        <w:t xml:space="preserve"> for an AWGN channel</w:t>
      </w:r>
      <w:r w:rsidR="00B60D38">
        <w:rPr>
          <w:noProof/>
          <w:lang w:val="en-US"/>
        </w:rPr>
        <w:t xml:space="preserve"> </w:t>
      </w:r>
      <w:r w:rsidR="00D203DD">
        <w:rPr>
          <w:noProof/>
          <w:lang w:val="en-US"/>
        </w:rPr>
        <w:t>(</w:t>
      </w:r>
      <w:r w:rsidR="00B60D38">
        <w:rPr>
          <w:noProof/>
          <w:lang w:val="en-US"/>
        </w:rPr>
        <w:t>without any frequency offset</w:t>
      </w:r>
      <w:r w:rsidR="00D203DD">
        <w:rPr>
          <w:noProof/>
          <w:lang w:val="en-US"/>
        </w:rPr>
        <w:t>)</w:t>
      </w:r>
      <w:r w:rsidR="00B60D38">
        <w:rPr>
          <w:noProof/>
          <w:lang w:val="en-US"/>
        </w:rPr>
        <w:t xml:space="preserve"> as a function of the set RS-SINR</w:t>
      </w:r>
      <w:r>
        <w:rPr>
          <w:noProof/>
          <w:lang w:val="en-US"/>
        </w:rPr>
        <w:t>.</w:t>
      </w:r>
      <w:r w:rsidRPr="00D919AB">
        <w:rPr>
          <w:noProof/>
          <w:lang w:val="en-US"/>
        </w:rPr>
        <w:t xml:space="preserve"> </w:t>
      </w:r>
      <w:r w:rsidR="00B60D38">
        <w:rPr>
          <w:noProof/>
          <w:lang w:val="en-US"/>
        </w:rPr>
        <w:t xml:space="preserve">We can see that the measured </w:t>
      </w:r>
      <w:r>
        <w:rPr>
          <w:noProof/>
          <w:lang w:val="en-US"/>
        </w:rPr>
        <w:t xml:space="preserve">average SINR </w:t>
      </w:r>
      <w:r w:rsidR="00B60D38">
        <w:rPr>
          <w:noProof/>
          <w:lang w:val="en-US"/>
        </w:rPr>
        <w:t xml:space="preserve">monotonically increases with </w:t>
      </w:r>
      <w:r w:rsidR="009240D6">
        <w:rPr>
          <w:noProof/>
          <w:lang w:val="en-US"/>
        </w:rPr>
        <w:t xml:space="preserve">input </w:t>
      </w:r>
      <w:r w:rsidR="00B60D38">
        <w:rPr>
          <w:noProof/>
          <w:lang w:val="en-US"/>
        </w:rPr>
        <w:t>SINR.</w:t>
      </w:r>
    </w:p>
    <w:p w:rsidR="00F9503C" w:rsidRPr="00D919AB" w:rsidRDefault="00B60D38" w:rsidP="00F9503C">
      <w:pPr>
        <w:spacing w:line="276" w:lineRule="auto"/>
        <w:rPr>
          <w:lang w:val="en-US"/>
        </w:rPr>
      </w:pPr>
      <w:r>
        <w:rPr>
          <w:noProof/>
          <w:lang w:val="en-US"/>
        </w:rPr>
        <w:lastRenderedPageBreak/>
        <w:drawing>
          <wp:inline distT="0" distB="0" distL="0" distR="0">
            <wp:extent cx="5828571" cy="4095238"/>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SSINR_FD_nofreqErr_ngbr_1SF_singlepath_dopplersweep_1Hz_alpha_linavg.png"/>
                    <pic:cNvPicPr/>
                  </pic:nvPicPr>
                  <pic:blipFill>
                    <a:blip r:embed="rId5">
                      <a:extLst>
                        <a:ext uri="{28A0092B-C50C-407E-A947-70E740481C1C}">
                          <a14:useLocalDpi xmlns:a14="http://schemas.microsoft.com/office/drawing/2010/main" val="0"/>
                        </a:ext>
                      </a:extLst>
                    </a:blip>
                    <a:stretch>
                      <a:fillRect/>
                    </a:stretch>
                  </pic:blipFill>
                  <pic:spPr>
                    <a:xfrm>
                      <a:off x="0" y="0"/>
                      <a:ext cx="5828571" cy="4095238"/>
                    </a:xfrm>
                    <a:prstGeom prst="rect">
                      <a:avLst/>
                    </a:prstGeom>
                  </pic:spPr>
                </pic:pic>
              </a:graphicData>
            </a:graphic>
          </wp:inline>
        </w:drawing>
      </w:r>
      <w:r w:rsidR="00D919AB">
        <w:rPr>
          <w:noProof/>
          <w:lang w:val="en-US"/>
        </w:rPr>
        <w:t xml:space="preserve"> </w:t>
      </w:r>
    </w:p>
    <w:p w:rsidR="00792A08" w:rsidRDefault="00792A08" w:rsidP="00792A08">
      <w:pPr>
        <w:spacing w:line="276" w:lineRule="auto"/>
        <w:jc w:val="center"/>
        <w:rPr>
          <w:lang w:val="en-US"/>
        </w:rPr>
      </w:pPr>
      <w:r>
        <w:rPr>
          <w:b/>
          <w:lang w:val="en-US"/>
        </w:rPr>
        <w:t xml:space="preserve">Figure 1. </w:t>
      </w:r>
      <w:r w:rsidR="00D203DD" w:rsidRPr="00D203DD">
        <w:rPr>
          <w:lang w:val="en-US"/>
        </w:rPr>
        <w:t>Average</w:t>
      </w:r>
      <w:r w:rsidR="00D203DD">
        <w:rPr>
          <w:b/>
          <w:lang w:val="en-US"/>
        </w:rPr>
        <w:t xml:space="preserve"> </w:t>
      </w:r>
      <w:r w:rsidRPr="00792A08">
        <w:rPr>
          <w:lang w:val="en-US"/>
        </w:rPr>
        <w:t xml:space="preserve">RS-SINR </w:t>
      </w:r>
      <w:r w:rsidR="00D203DD">
        <w:rPr>
          <w:lang w:val="en-US"/>
        </w:rPr>
        <w:t xml:space="preserve">measurement </w:t>
      </w:r>
      <w:r w:rsidRPr="00792A08">
        <w:rPr>
          <w:lang w:val="en-US"/>
        </w:rPr>
        <w:t>as a function of set SINR</w:t>
      </w:r>
    </w:p>
    <w:p w:rsidR="00373B71" w:rsidRDefault="00A8662D" w:rsidP="0040252B">
      <w:pPr>
        <w:spacing w:line="276" w:lineRule="auto"/>
        <w:rPr>
          <w:lang w:val="en-US"/>
        </w:rPr>
      </w:pPr>
      <w:r>
        <w:rPr>
          <w:lang w:val="en-US"/>
        </w:rPr>
        <w:t xml:space="preserve">The accuracy of RS-SINR measurement </w:t>
      </w:r>
      <w:r w:rsidR="009240D6">
        <w:rPr>
          <w:lang w:val="en-US"/>
        </w:rPr>
        <w:t xml:space="preserve">will depend on </w:t>
      </w:r>
      <w:r>
        <w:rPr>
          <w:lang w:val="en-US"/>
        </w:rPr>
        <w:t>the variance in measurement. In Figure 2, we provide distr</w:t>
      </w:r>
      <w:r w:rsidR="00C94BA1">
        <w:rPr>
          <w:lang w:val="en-US"/>
        </w:rPr>
        <w:t xml:space="preserve">ibution of measured RS-SINR for an AWGN channel with SINR of </w:t>
      </w:r>
      <w:r w:rsidR="00D075FA">
        <w:rPr>
          <w:lang w:val="en-US"/>
        </w:rPr>
        <w:t>0</w:t>
      </w:r>
      <w:r w:rsidR="003E645F">
        <w:rPr>
          <w:lang w:val="en-US"/>
        </w:rPr>
        <w:t xml:space="preserve">, </w:t>
      </w:r>
      <w:r>
        <w:rPr>
          <w:lang w:val="en-US"/>
        </w:rPr>
        <w:t>10, 15 and 20</w:t>
      </w:r>
      <w:r w:rsidR="00C94BA1">
        <w:rPr>
          <w:lang w:val="en-US"/>
        </w:rPr>
        <w:t xml:space="preserve">dB. We can see that </w:t>
      </w:r>
      <w:r w:rsidR="003E645F">
        <w:rPr>
          <w:lang w:val="en-US"/>
        </w:rPr>
        <w:t xml:space="preserve">for SINR of 10, 15 and 20dB, the distribution of measured SINR is </w:t>
      </w:r>
      <w:r w:rsidR="00C94BA1">
        <w:rPr>
          <w:lang w:val="en-US"/>
        </w:rPr>
        <w:t xml:space="preserve">contained within </w:t>
      </w:r>
      <w:r w:rsidR="00970B8D">
        <w:rPr>
          <w:lang w:val="en-US"/>
        </w:rPr>
        <w:t>±2dB of the input</w:t>
      </w:r>
      <w:r w:rsidR="003E645F">
        <w:rPr>
          <w:lang w:val="en-US"/>
        </w:rPr>
        <w:t xml:space="preserve"> SINR. However, for the lower </w:t>
      </w:r>
      <w:r w:rsidR="00D075FA">
        <w:rPr>
          <w:lang w:val="en-US"/>
        </w:rPr>
        <w:t>range of SINR value, i.e., at 0</w:t>
      </w:r>
      <w:r w:rsidR="003E645F">
        <w:rPr>
          <w:lang w:val="en-US"/>
        </w:rPr>
        <w:t>dB, the distribution is wide</w:t>
      </w:r>
      <w:r w:rsidR="00D075FA">
        <w:rPr>
          <w:lang w:val="en-US"/>
        </w:rPr>
        <w:t>r and is contained within ±3</w:t>
      </w:r>
      <w:r w:rsidR="00F83D8F">
        <w:rPr>
          <w:lang w:val="en-US"/>
        </w:rPr>
        <w:t xml:space="preserve">dB. </w:t>
      </w:r>
      <w:r w:rsidR="007F6EF4">
        <w:rPr>
          <w:lang w:val="en-US"/>
        </w:rPr>
        <w:t xml:space="preserve">Since the measurement accuracy is worse at low SINR values, we should </w:t>
      </w:r>
      <w:r w:rsidR="00970B8D">
        <w:rPr>
          <w:lang w:val="en-US"/>
        </w:rPr>
        <w:t>consider the</w:t>
      </w:r>
      <w:r w:rsidR="007F6EF4">
        <w:rPr>
          <w:lang w:val="en-US"/>
        </w:rPr>
        <w:t xml:space="preserve"> accuracy of measurement at low SINR while defining requirements. </w:t>
      </w:r>
    </w:p>
    <w:p w:rsidR="00D22171" w:rsidRDefault="00D22171" w:rsidP="0040252B">
      <w:pPr>
        <w:spacing w:line="276" w:lineRule="auto"/>
        <w:rPr>
          <w:lang w:val="en-US"/>
        </w:rPr>
      </w:pPr>
      <w:r w:rsidRPr="00D22171">
        <w:rPr>
          <w:b/>
          <w:lang w:val="en-US"/>
        </w:rPr>
        <w:t>Proposal 1</w:t>
      </w:r>
      <w:r>
        <w:rPr>
          <w:lang w:val="en-US"/>
        </w:rPr>
        <w:t xml:space="preserve">: RS-SINR accuracy requirements should be defined considering the accuracy of measurements in both low and high-SINR values. Accuracy is worse in low SINR (about ±3dB). Accordingly the accuracy </w:t>
      </w:r>
      <w:r w:rsidR="00555F44">
        <w:rPr>
          <w:lang w:val="en-US"/>
        </w:rPr>
        <w:t>requirement should be defined.</w:t>
      </w:r>
    </w:p>
    <w:p w:rsidR="007F6EF4" w:rsidRDefault="007F6EF4" w:rsidP="007F6EF4">
      <w:pPr>
        <w:pStyle w:val="Heading2"/>
        <w:spacing w:line="276" w:lineRule="auto"/>
        <w:rPr>
          <w:rFonts w:ascii="Times New Roman" w:hAnsi="Times New Roman"/>
          <w:lang w:val="en-US"/>
        </w:rPr>
      </w:pPr>
      <w:r>
        <w:rPr>
          <w:rFonts w:ascii="Times New Roman" w:hAnsi="Times New Roman"/>
          <w:lang w:val="en-US"/>
        </w:rPr>
        <w:t>Accuracy in fading channel</w:t>
      </w:r>
    </w:p>
    <w:p w:rsidR="00CF4CE0" w:rsidRDefault="00CF4CE0" w:rsidP="0040252B">
      <w:pPr>
        <w:spacing w:line="276" w:lineRule="auto"/>
        <w:rPr>
          <w:lang w:val="en-US"/>
        </w:rPr>
      </w:pPr>
      <w:r w:rsidRPr="00CF4CE0">
        <w:rPr>
          <w:b/>
          <w:u w:val="single"/>
          <w:lang w:val="en-US"/>
        </w:rPr>
        <w:t>Low-</w:t>
      </w:r>
      <w:proofErr w:type="spellStart"/>
      <w:r w:rsidRPr="00CF4CE0">
        <w:rPr>
          <w:b/>
          <w:u w:val="single"/>
          <w:lang w:val="en-US"/>
        </w:rPr>
        <w:t>doppler</w:t>
      </w:r>
      <w:proofErr w:type="spellEnd"/>
      <w:r w:rsidRPr="00CF4CE0">
        <w:rPr>
          <w:b/>
          <w:u w:val="single"/>
          <w:lang w:val="en-US"/>
        </w:rPr>
        <w:t xml:space="preserve"> channels</w:t>
      </w:r>
      <w:r>
        <w:rPr>
          <w:u w:val="single"/>
          <w:lang w:val="en-US"/>
        </w:rPr>
        <w:t>:</w:t>
      </w:r>
      <w:r w:rsidR="001975F3">
        <w:rPr>
          <w:lang w:val="en-US"/>
        </w:rPr>
        <w:t xml:space="preserve"> </w:t>
      </w:r>
      <w:r w:rsidR="007F6EF4">
        <w:rPr>
          <w:lang w:val="en-US"/>
        </w:rPr>
        <w:t>In Figure 3, an example of the input SINR distribution for a Single Path 1Hz fadi</w:t>
      </w:r>
      <w:r w:rsidR="00555F44">
        <w:rPr>
          <w:lang w:val="en-US"/>
        </w:rPr>
        <w:t>ng channel with average SINR = 2</w:t>
      </w:r>
      <w:r w:rsidR="007F6EF4">
        <w:rPr>
          <w:lang w:val="en-US"/>
        </w:rPr>
        <w:t>0dB is shown.</w:t>
      </w:r>
      <w:r w:rsidR="005C481A">
        <w:rPr>
          <w:lang w:val="en-US"/>
        </w:rPr>
        <w:t xml:space="preserve"> </w:t>
      </w:r>
      <w:r>
        <w:rPr>
          <w:lang w:val="en-US"/>
        </w:rPr>
        <w:t>Since we are considering a fading channel, t</w:t>
      </w:r>
      <w:r w:rsidR="005C481A">
        <w:rPr>
          <w:lang w:val="en-US"/>
        </w:rPr>
        <w:t xml:space="preserve">he input </w:t>
      </w:r>
      <w:r>
        <w:rPr>
          <w:lang w:val="en-US"/>
        </w:rPr>
        <w:t xml:space="preserve">instantaneous </w:t>
      </w:r>
      <w:r w:rsidR="005C481A">
        <w:rPr>
          <w:lang w:val="en-US"/>
        </w:rPr>
        <w:t xml:space="preserve">SINR has a wide distribution. In Figure 3, we </w:t>
      </w:r>
      <w:r w:rsidR="00533335">
        <w:rPr>
          <w:lang w:val="en-US"/>
        </w:rPr>
        <w:t xml:space="preserve">have </w:t>
      </w:r>
      <w:r w:rsidR="005C481A">
        <w:rPr>
          <w:lang w:val="en-US"/>
        </w:rPr>
        <w:t xml:space="preserve">also </w:t>
      </w:r>
      <w:r w:rsidR="00533335">
        <w:rPr>
          <w:lang w:val="en-US"/>
        </w:rPr>
        <w:t xml:space="preserve">provided the </w:t>
      </w:r>
      <w:r w:rsidR="005C481A">
        <w:rPr>
          <w:lang w:val="en-US"/>
        </w:rPr>
        <w:t>distribution of the measured RS-SINR.</w:t>
      </w:r>
      <w:r w:rsidR="009E4E56">
        <w:rPr>
          <w:lang w:val="en-US"/>
        </w:rPr>
        <w:t xml:space="preserve"> </w:t>
      </w:r>
      <w:r>
        <w:rPr>
          <w:lang w:val="en-US"/>
        </w:rPr>
        <w:t>We observe that m</w:t>
      </w:r>
      <w:r w:rsidR="009E4E56">
        <w:rPr>
          <w:lang w:val="en-US"/>
        </w:rPr>
        <w:t>easured and input</w:t>
      </w:r>
      <w:r>
        <w:rPr>
          <w:lang w:val="en-US"/>
        </w:rPr>
        <w:t xml:space="preserve"> instantaneous</w:t>
      </w:r>
      <w:r w:rsidR="009E4E56">
        <w:rPr>
          <w:lang w:val="en-US"/>
        </w:rPr>
        <w:t xml:space="preserve"> SINR distribution are similar</w:t>
      </w:r>
      <w:r>
        <w:rPr>
          <w:lang w:val="en-US"/>
        </w:rPr>
        <w:t xml:space="preserve">. </w:t>
      </w:r>
      <w:r w:rsidR="005C481A">
        <w:rPr>
          <w:lang w:val="en-US"/>
        </w:rPr>
        <w:t>In Figure 4, we show the average measured SINR</w:t>
      </w:r>
      <w:r w:rsidR="009E4E56">
        <w:rPr>
          <w:lang w:val="en-US"/>
        </w:rPr>
        <w:t xml:space="preserve"> (where the average is computed across all observations)</w:t>
      </w:r>
      <w:r w:rsidR="005C481A">
        <w:rPr>
          <w:lang w:val="en-US"/>
        </w:rPr>
        <w:t xml:space="preserve"> for the Single Path 1Hz channel</w:t>
      </w:r>
      <w:r w:rsidR="001975F3">
        <w:rPr>
          <w:lang w:val="en-US"/>
        </w:rPr>
        <w:t>. We observe a bias in measurement only at very low and high SINR values</w:t>
      </w:r>
      <w:r w:rsidR="005C481A">
        <w:rPr>
          <w:lang w:val="en-US"/>
        </w:rPr>
        <w:t>.</w:t>
      </w:r>
      <w:r w:rsidR="009E4E56">
        <w:rPr>
          <w:lang w:val="en-US"/>
        </w:rPr>
        <w:t xml:space="preserve"> Since every observation of a single path 1Hz channel is very close to AWGN channel, although with different instantaneous SINR values, we expect the accuracy (relative to instantaneous input SINR) to be similar to AWGN channel. </w:t>
      </w:r>
    </w:p>
    <w:p w:rsidR="003E645F" w:rsidRDefault="001975F3" w:rsidP="0040252B">
      <w:pPr>
        <w:spacing w:line="276" w:lineRule="auto"/>
        <w:rPr>
          <w:lang w:val="en-US"/>
        </w:rPr>
      </w:pPr>
      <w:r>
        <w:rPr>
          <w:b/>
          <w:u w:val="single"/>
          <w:lang w:val="en-US"/>
        </w:rPr>
        <w:lastRenderedPageBreak/>
        <w:t>High</w:t>
      </w:r>
      <w:r w:rsidRPr="00CF4CE0">
        <w:rPr>
          <w:b/>
          <w:u w:val="single"/>
          <w:lang w:val="en-US"/>
        </w:rPr>
        <w:t>-</w:t>
      </w:r>
      <w:proofErr w:type="spellStart"/>
      <w:r w:rsidRPr="00CF4CE0">
        <w:rPr>
          <w:b/>
          <w:u w:val="single"/>
          <w:lang w:val="en-US"/>
        </w:rPr>
        <w:t>doppler</w:t>
      </w:r>
      <w:proofErr w:type="spellEnd"/>
      <w:r w:rsidRPr="00CF4CE0">
        <w:rPr>
          <w:b/>
          <w:u w:val="single"/>
          <w:lang w:val="en-US"/>
        </w:rPr>
        <w:t xml:space="preserve"> channels</w:t>
      </w:r>
      <w:r>
        <w:rPr>
          <w:b/>
          <w:u w:val="single"/>
          <w:lang w:val="en-US"/>
        </w:rPr>
        <w:t>:</w:t>
      </w:r>
      <w:r>
        <w:rPr>
          <w:lang w:val="en-US"/>
        </w:rPr>
        <w:t xml:space="preserve"> </w:t>
      </w:r>
      <w:r w:rsidR="002918C7">
        <w:rPr>
          <w:lang w:val="en-US"/>
        </w:rPr>
        <w:t xml:space="preserve">As the </w:t>
      </w:r>
      <w:proofErr w:type="spellStart"/>
      <w:proofErr w:type="gramStart"/>
      <w:r w:rsidR="002918C7">
        <w:rPr>
          <w:lang w:val="en-US"/>
        </w:rPr>
        <w:t>doppler</w:t>
      </w:r>
      <w:proofErr w:type="spellEnd"/>
      <w:proofErr w:type="gramEnd"/>
      <w:r w:rsidR="002918C7">
        <w:rPr>
          <w:lang w:val="en-US"/>
        </w:rPr>
        <w:t xml:space="preserve"> increases, the spectrum of the received signal itself widens. Averaging for the purposes of estimating noise also averages out the fade. Thus, the accuracy of RS-SINR measurement relative to instantaneous inpu</w:t>
      </w:r>
      <w:r w:rsidR="00E71916">
        <w:rPr>
          <w:lang w:val="en-US"/>
        </w:rPr>
        <w:t xml:space="preserve">t SINR is likely to degrade. Hence </w:t>
      </w:r>
      <w:r w:rsidR="00CE7134">
        <w:rPr>
          <w:lang w:val="en-US"/>
        </w:rPr>
        <w:t xml:space="preserve">while </w:t>
      </w:r>
      <w:r w:rsidR="00E71916">
        <w:rPr>
          <w:lang w:val="en-US"/>
        </w:rPr>
        <w:t>defining the accuracy requirements, high-</w:t>
      </w:r>
      <w:proofErr w:type="spellStart"/>
      <w:r w:rsidR="00E71916">
        <w:rPr>
          <w:lang w:val="en-US"/>
        </w:rPr>
        <w:t>doppler</w:t>
      </w:r>
      <w:proofErr w:type="spellEnd"/>
      <w:r w:rsidR="00E71916">
        <w:rPr>
          <w:lang w:val="en-US"/>
        </w:rPr>
        <w:t xml:space="preserve"> channels should not be considered.</w:t>
      </w:r>
    </w:p>
    <w:p w:rsidR="00D22171" w:rsidRDefault="00D22171" w:rsidP="0040252B">
      <w:pPr>
        <w:spacing w:line="276" w:lineRule="auto"/>
        <w:rPr>
          <w:lang w:val="en-US"/>
        </w:rPr>
      </w:pPr>
      <w:r w:rsidRPr="00D22171">
        <w:rPr>
          <w:b/>
          <w:lang w:val="en-US"/>
        </w:rPr>
        <w:t>Proposal 2</w:t>
      </w:r>
      <w:r>
        <w:rPr>
          <w:lang w:val="en-US"/>
        </w:rPr>
        <w:t>: Accuracy requirements should be defined only in AWGN channel.</w:t>
      </w:r>
    </w:p>
    <w:tbl>
      <w:tblPr>
        <w:tblStyle w:val="TableGrid"/>
        <w:tblW w:w="9985" w:type="dxa"/>
        <w:tblLayout w:type="fixed"/>
        <w:tblLook w:val="04A0" w:firstRow="1" w:lastRow="0" w:firstColumn="1" w:lastColumn="0" w:noHBand="0" w:noVBand="1"/>
      </w:tblPr>
      <w:tblGrid>
        <w:gridCol w:w="5035"/>
        <w:gridCol w:w="4950"/>
      </w:tblGrid>
      <w:tr w:rsidR="003E645F" w:rsidTr="003E645F">
        <w:tc>
          <w:tcPr>
            <w:tcW w:w="5035" w:type="dxa"/>
          </w:tcPr>
          <w:p w:rsidR="003E645F" w:rsidRDefault="00533335" w:rsidP="00F07BBD">
            <w:pPr>
              <w:spacing w:line="276" w:lineRule="auto"/>
              <w:jc w:val="center"/>
              <w:rPr>
                <w:noProof/>
                <w:lang w:val="en-US"/>
              </w:rPr>
            </w:pPr>
            <w:r>
              <w:rPr>
                <w:rFonts w:asciiTheme="minorHAnsi" w:hAnsiTheme="minorHAnsi"/>
                <w:b/>
                <w:noProof/>
                <w:lang w:val="en-US"/>
              </w:rPr>
              <w:t>S</w:t>
            </w:r>
            <w:r w:rsidR="00D075FA">
              <w:rPr>
                <w:rFonts w:asciiTheme="minorHAnsi" w:hAnsiTheme="minorHAnsi"/>
                <w:b/>
                <w:noProof/>
                <w:lang w:val="en-US"/>
              </w:rPr>
              <w:t>INR = 0</w:t>
            </w:r>
            <w:r w:rsidR="003E645F">
              <w:rPr>
                <w:rFonts w:asciiTheme="minorHAnsi" w:hAnsiTheme="minorHAnsi"/>
                <w:b/>
                <w:noProof/>
                <w:lang w:val="en-US"/>
              </w:rPr>
              <w:t>dB</w:t>
            </w:r>
            <w:r w:rsidR="002918C7">
              <w:rPr>
                <w:rFonts w:asciiTheme="minorHAnsi" w:hAnsiTheme="minorHAnsi"/>
                <w:b/>
                <w:noProof/>
                <w:lang w:val="en-US"/>
              </w:rPr>
              <w:t xml:space="preserve"> </w:t>
            </w:r>
          </w:p>
        </w:tc>
        <w:tc>
          <w:tcPr>
            <w:tcW w:w="4950" w:type="dxa"/>
          </w:tcPr>
          <w:p w:rsidR="003E645F" w:rsidRDefault="003E645F" w:rsidP="003E645F">
            <w:pPr>
              <w:spacing w:line="276" w:lineRule="auto"/>
              <w:jc w:val="center"/>
              <w:rPr>
                <w:noProof/>
                <w:lang w:val="en-US"/>
              </w:rPr>
            </w:pPr>
            <w:r>
              <w:rPr>
                <w:rFonts w:asciiTheme="minorHAnsi" w:hAnsiTheme="minorHAnsi"/>
                <w:b/>
                <w:noProof/>
                <w:lang w:val="en-US"/>
              </w:rPr>
              <w:t>SINR = 10dB</w:t>
            </w:r>
          </w:p>
        </w:tc>
      </w:tr>
      <w:tr w:rsidR="003E645F" w:rsidTr="003E645F">
        <w:tc>
          <w:tcPr>
            <w:tcW w:w="5035" w:type="dxa"/>
          </w:tcPr>
          <w:p w:rsidR="003E645F" w:rsidRDefault="00F07BBD" w:rsidP="0040252B">
            <w:pPr>
              <w:spacing w:line="276" w:lineRule="auto"/>
              <w:rPr>
                <w:lang w:val="en-US"/>
              </w:rPr>
            </w:pPr>
            <w:r>
              <w:rPr>
                <w:noProof/>
                <w:lang w:val="en-US"/>
              </w:rPr>
              <w:drawing>
                <wp:inline distT="0" distB="0" distL="0" distR="0">
                  <wp:extent cx="3060065" cy="2150110"/>
                  <wp:effectExtent l="0" t="0" r="6985"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S-SINR_FD_CDF_0dB.png"/>
                          <pic:cNvPicPr/>
                        </pic:nvPicPr>
                        <pic:blipFill>
                          <a:blip r:embed="rId6">
                            <a:extLst>
                              <a:ext uri="{28A0092B-C50C-407E-A947-70E740481C1C}">
                                <a14:useLocalDpi xmlns:a14="http://schemas.microsoft.com/office/drawing/2010/main" val="0"/>
                              </a:ext>
                            </a:extLst>
                          </a:blip>
                          <a:stretch>
                            <a:fillRect/>
                          </a:stretch>
                        </pic:blipFill>
                        <pic:spPr>
                          <a:xfrm>
                            <a:off x="0" y="0"/>
                            <a:ext cx="3060065" cy="2150110"/>
                          </a:xfrm>
                          <a:prstGeom prst="rect">
                            <a:avLst/>
                          </a:prstGeom>
                        </pic:spPr>
                      </pic:pic>
                    </a:graphicData>
                  </a:graphic>
                </wp:inline>
              </w:drawing>
            </w:r>
          </w:p>
        </w:tc>
        <w:tc>
          <w:tcPr>
            <w:tcW w:w="4950" w:type="dxa"/>
          </w:tcPr>
          <w:p w:rsidR="003E645F" w:rsidRDefault="003E645F" w:rsidP="0040252B">
            <w:pPr>
              <w:spacing w:line="276" w:lineRule="auto"/>
              <w:rPr>
                <w:lang w:val="en-US"/>
              </w:rPr>
            </w:pPr>
            <w:r>
              <w:rPr>
                <w:noProof/>
                <w:lang w:val="en-US"/>
              </w:rPr>
              <w:drawing>
                <wp:inline distT="0" distB="0" distL="0" distR="0" wp14:anchorId="07371C65" wp14:editId="6848FA39">
                  <wp:extent cx="3136512" cy="2203759"/>
                  <wp:effectExtent l="0" t="0" r="6985"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SINR_FD_CDF_10dB.png"/>
                          <pic:cNvPicPr/>
                        </pic:nvPicPr>
                        <pic:blipFill>
                          <a:blip r:embed="rId7">
                            <a:extLst>
                              <a:ext uri="{28A0092B-C50C-407E-A947-70E740481C1C}">
                                <a14:useLocalDpi xmlns:a14="http://schemas.microsoft.com/office/drawing/2010/main" val="0"/>
                              </a:ext>
                            </a:extLst>
                          </a:blip>
                          <a:stretch>
                            <a:fillRect/>
                          </a:stretch>
                        </pic:blipFill>
                        <pic:spPr>
                          <a:xfrm>
                            <a:off x="0" y="0"/>
                            <a:ext cx="3151608" cy="2214365"/>
                          </a:xfrm>
                          <a:prstGeom prst="rect">
                            <a:avLst/>
                          </a:prstGeom>
                        </pic:spPr>
                      </pic:pic>
                    </a:graphicData>
                  </a:graphic>
                </wp:inline>
              </w:drawing>
            </w:r>
          </w:p>
        </w:tc>
      </w:tr>
      <w:tr w:rsidR="003E645F" w:rsidTr="003E645F">
        <w:tc>
          <w:tcPr>
            <w:tcW w:w="5035" w:type="dxa"/>
          </w:tcPr>
          <w:p w:rsidR="003E645F" w:rsidRPr="003E645F" w:rsidRDefault="003E645F" w:rsidP="003E645F">
            <w:pPr>
              <w:spacing w:line="276" w:lineRule="auto"/>
              <w:jc w:val="center"/>
              <w:rPr>
                <w:rFonts w:asciiTheme="minorHAnsi" w:hAnsiTheme="minorHAnsi"/>
                <w:b/>
                <w:noProof/>
                <w:lang w:val="en-US"/>
              </w:rPr>
            </w:pPr>
            <w:r w:rsidRPr="003E645F">
              <w:rPr>
                <w:rFonts w:asciiTheme="minorHAnsi" w:hAnsiTheme="minorHAnsi"/>
                <w:b/>
                <w:noProof/>
                <w:lang w:val="en-US"/>
              </w:rPr>
              <w:t>SINR = 15dB</w:t>
            </w:r>
          </w:p>
        </w:tc>
        <w:tc>
          <w:tcPr>
            <w:tcW w:w="4950" w:type="dxa"/>
          </w:tcPr>
          <w:p w:rsidR="003E645F" w:rsidRDefault="003E645F" w:rsidP="003E645F">
            <w:pPr>
              <w:spacing w:line="276" w:lineRule="auto"/>
              <w:jc w:val="center"/>
              <w:rPr>
                <w:noProof/>
                <w:lang w:val="en-US"/>
              </w:rPr>
            </w:pPr>
            <w:r>
              <w:rPr>
                <w:rFonts w:asciiTheme="minorHAnsi" w:hAnsiTheme="minorHAnsi"/>
                <w:b/>
                <w:noProof/>
                <w:lang w:val="en-US"/>
              </w:rPr>
              <w:t>SINR = 20</w:t>
            </w:r>
            <w:r w:rsidRPr="003E645F">
              <w:rPr>
                <w:rFonts w:asciiTheme="minorHAnsi" w:hAnsiTheme="minorHAnsi"/>
                <w:b/>
                <w:noProof/>
                <w:lang w:val="en-US"/>
              </w:rPr>
              <w:t>dB</w:t>
            </w:r>
          </w:p>
        </w:tc>
      </w:tr>
      <w:tr w:rsidR="003E645F" w:rsidTr="003E645F">
        <w:tc>
          <w:tcPr>
            <w:tcW w:w="5035" w:type="dxa"/>
          </w:tcPr>
          <w:p w:rsidR="003E645F" w:rsidRDefault="00171875" w:rsidP="0040252B">
            <w:pPr>
              <w:spacing w:line="276" w:lineRule="auto"/>
              <w:rPr>
                <w:lang w:val="en-US"/>
              </w:rPr>
            </w:pPr>
            <w:r>
              <w:rPr>
                <w:noProof/>
                <w:lang w:val="en-US"/>
              </w:rPr>
              <w:drawing>
                <wp:inline distT="0" distB="0" distL="0" distR="0" wp14:anchorId="23147931" wp14:editId="637A2238">
                  <wp:extent cx="3154936" cy="2216703"/>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S-SINR_FD_CDF_15dB.png"/>
                          <pic:cNvPicPr/>
                        </pic:nvPicPr>
                        <pic:blipFill>
                          <a:blip r:embed="rId8">
                            <a:extLst>
                              <a:ext uri="{28A0092B-C50C-407E-A947-70E740481C1C}">
                                <a14:useLocalDpi xmlns:a14="http://schemas.microsoft.com/office/drawing/2010/main" val="0"/>
                              </a:ext>
                            </a:extLst>
                          </a:blip>
                          <a:stretch>
                            <a:fillRect/>
                          </a:stretch>
                        </pic:blipFill>
                        <pic:spPr>
                          <a:xfrm>
                            <a:off x="0" y="0"/>
                            <a:ext cx="3171451" cy="2228307"/>
                          </a:xfrm>
                          <a:prstGeom prst="rect">
                            <a:avLst/>
                          </a:prstGeom>
                        </pic:spPr>
                      </pic:pic>
                    </a:graphicData>
                  </a:graphic>
                </wp:inline>
              </w:drawing>
            </w:r>
          </w:p>
        </w:tc>
        <w:tc>
          <w:tcPr>
            <w:tcW w:w="4950" w:type="dxa"/>
          </w:tcPr>
          <w:p w:rsidR="003E645F" w:rsidRDefault="00171875" w:rsidP="0040252B">
            <w:pPr>
              <w:spacing w:line="276" w:lineRule="auto"/>
              <w:rPr>
                <w:lang w:val="en-US"/>
              </w:rPr>
            </w:pPr>
            <w:r>
              <w:rPr>
                <w:noProof/>
                <w:lang w:val="en-US"/>
              </w:rPr>
              <w:drawing>
                <wp:inline distT="0" distB="0" distL="0" distR="0" wp14:anchorId="7C55A0D6" wp14:editId="7C0833D0">
                  <wp:extent cx="3153716" cy="2215846"/>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S-SINR_FD_CDF_20dB.png"/>
                          <pic:cNvPicPr/>
                        </pic:nvPicPr>
                        <pic:blipFill>
                          <a:blip r:embed="rId9">
                            <a:extLst>
                              <a:ext uri="{28A0092B-C50C-407E-A947-70E740481C1C}">
                                <a14:useLocalDpi xmlns:a14="http://schemas.microsoft.com/office/drawing/2010/main" val="0"/>
                              </a:ext>
                            </a:extLst>
                          </a:blip>
                          <a:stretch>
                            <a:fillRect/>
                          </a:stretch>
                        </pic:blipFill>
                        <pic:spPr>
                          <a:xfrm>
                            <a:off x="0" y="0"/>
                            <a:ext cx="3198834" cy="2247547"/>
                          </a:xfrm>
                          <a:prstGeom prst="rect">
                            <a:avLst/>
                          </a:prstGeom>
                        </pic:spPr>
                      </pic:pic>
                    </a:graphicData>
                  </a:graphic>
                </wp:inline>
              </w:drawing>
            </w:r>
            <w:bookmarkStart w:id="0" w:name="_GoBack"/>
            <w:bookmarkEnd w:id="0"/>
          </w:p>
        </w:tc>
      </w:tr>
    </w:tbl>
    <w:p w:rsidR="003E645F" w:rsidRDefault="003E645F" w:rsidP="00C94BA1">
      <w:pPr>
        <w:spacing w:line="276" w:lineRule="auto"/>
        <w:jc w:val="center"/>
        <w:rPr>
          <w:b/>
          <w:lang w:val="en-US"/>
        </w:rPr>
      </w:pPr>
    </w:p>
    <w:p w:rsidR="00533335" w:rsidRDefault="00C94BA1" w:rsidP="00C94BA1">
      <w:pPr>
        <w:spacing w:line="276" w:lineRule="auto"/>
        <w:jc w:val="center"/>
        <w:rPr>
          <w:lang w:val="en-US"/>
        </w:rPr>
      </w:pPr>
      <w:r w:rsidRPr="00C94BA1">
        <w:rPr>
          <w:b/>
          <w:lang w:val="en-US"/>
        </w:rPr>
        <w:lastRenderedPageBreak/>
        <w:t>Figure 2</w:t>
      </w:r>
      <w:r>
        <w:rPr>
          <w:lang w:val="en-US"/>
        </w:rPr>
        <w:t>: RS-SINR measurement distribution for different SINR values</w:t>
      </w:r>
      <w:r w:rsidR="009E4E56">
        <w:rPr>
          <w:noProof/>
          <w:lang w:val="en-US"/>
        </w:rPr>
        <w:drawing>
          <wp:inline distT="0" distB="0" distL="0" distR="0">
            <wp:extent cx="4413504" cy="3100992"/>
            <wp:effectExtent l="0" t="0" r="635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cd.png"/>
                    <pic:cNvPicPr/>
                  </pic:nvPicPr>
                  <pic:blipFill>
                    <a:blip r:embed="rId10">
                      <a:extLst>
                        <a:ext uri="{28A0092B-C50C-407E-A947-70E740481C1C}">
                          <a14:useLocalDpi xmlns:a14="http://schemas.microsoft.com/office/drawing/2010/main" val="0"/>
                        </a:ext>
                      </a:extLst>
                    </a:blip>
                    <a:stretch>
                      <a:fillRect/>
                    </a:stretch>
                  </pic:blipFill>
                  <pic:spPr>
                    <a:xfrm>
                      <a:off x="0" y="0"/>
                      <a:ext cx="4417531" cy="3103821"/>
                    </a:xfrm>
                    <a:prstGeom prst="rect">
                      <a:avLst/>
                    </a:prstGeom>
                  </pic:spPr>
                </pic:pic>
              </a:graphicData>
            </a:graphic>
          </wp:inline>
        </w:drawing>
      </w:r>
    </w:p>
    <w:p w:rsidR="00533335" w:rsidRDefault="00533335" w:rsidP="00533335">
      <w:pPr>
        <w:spacing w:line="276" w:lineRule="auto"/>
        <w:jc w:val="center"/>
        <w:rPr>
          <w:lang w:val="en-US"/>
        </w:rPr>
      </w:pPr>
      <w:r w:rsidRPr="00C94BA1">
        <w:rPr>
          <w:b/>
          <w:lang w:val="en-US"/>
        </w:rPr>
        <w:t xml:space="preserve">Figure </w:t>
      </w:r>
      <w:r>
        <w:rPr>
          <w:b/>
          <w:lang w:val="en-US"/>
        </w:rPr>
        <w:t>3</w:t>
      </w:r>
      <w:r>
        <w:rPr>
          <w:lang w:val="en-US"/>
        </w:rPr>
        <w:t>: RS-SINR distribution for Single Path 1Hz channel when SINR = 20dB</w:t>
      </w:r>
    </w:p>
    <w:p w:rsidR="00533335" w:rsidRDefault="00466053" w:rsidP="00C94BA1">
      <w:pPr>
        <w:spacing w:line="276" w:lineRule="auto"/>
        <w:jc w:val="center"/>
        <w:rPr>
          <w:lang w:val="en-US"/>
        </w:rPr>
      </w:pPr>
      <w:r>
        <w:rPr>
          <w:noProof/>
          <w:lang w:val="en-US"/>
        </w:rPr>
        <w:drawing>
          <wp:inline distT="0" distB="0" distL="0" distR="0">
            <wp:extent cx="4937760" cy="346934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ntitled.png"/>
                    <pic:cNvPicPr/>
                  </pic:nvPicPr>
                  <pic:blipFill>
                    <a:blip r:embed="rId11">
                      <a:extLst>
                        <a:ext uri="{28A0092B-C50C-407E-A947-70E740481C1C}">
                          <a14:useLocalDpi xmlns:a14="http://schemas.microsoft.com/office/drawing/2010/main" val="0"/>
                        </a:ext>
                      </a:extLst>
                    </a:blip>
                    <a:stretch>
                      <a:fillRect/>
                    </a:stretch>
                  </pic:blipFill>
                  <pic:spPr>
                    <a:xfrm>
                      <a:off x="0" y="0"/>
                      <a:ext cx="4946779" cy="3475679"/>
                    </a:xfrm>
                    <a:prstGeom prst="rect">
                      <a:avLst/>
                    </a:prstGeom>
                  </pic:spPr>
                </pic:pic>
              </a:graphicData>
            </a:graphic>
          </wp:inline>
        </w:drawing>
      </w:r>
    </w:p>
    <w:p w:rsidR="00466053" w:rsidRDefault="00466053" w:rsidP="00466053">
      <w:pPr>
        <w:spacing w:line="276" w:lineRule="auto"/>
        <w:jc w:val="center"/>
        <w:rPr>
          <w:lang w:val="en-US"/>
        </w:rPr>
      </w:pPr>
      <w:r w:rsidRPr="00C94BA1">
        <w:rPr>
          <w:b/>
          <w:lang w:val="en-US"/>
        </w:rPr>
        <w:t xml:space="preserve">Figure </w:t>
      </w:r>
      <w:r>
        <w:rPr>
          <w:b/>
          <w:lang w:val="en-US"/>
        </w:rPr>
        <w:t>4</w:t>
      </w:r>
      <w:r>
        <w:rPr>
          <w:lang w:val="en-US"/>
        </w:rPr>
        <w:t xml:space="preserve">: Mean RS-SINR for Single Path 1Hz channel </w:t>
      </w:r>
    </w:p>
    <w:p w:rsidR="00533335" w:rsidRDefault="00533335" w:rsidP="00C94BA1">
      <w:pPr>
        <w:spacing w:line="276" w:lineRule="auto"/>
        <w:jc w:val="center"/>
        <w:rPr>
          <w:lang w:val="en-US"/>
        </w:rPr>
      </w:pPr>
    </w:p>
    <w:p w:rsidR="00533335" w:rsidRDefault="00533335" w:rsidP="00C94BA1">
      <w:pPr>
        <w:spacing w:line="276" w:lineRule="auto"/>
        <w:jc w:val="center"/>
        <w:rPr>
          <w:lang w:val="en-US"/>
        </w:rPr>
      </w:pPr>
    </w:p>
    <w:p w:rsidR="00C94BA1" w:rsidRDefault="00C94BA1" w:rsidP="00C94BA1">
      <w:pPr>
        <w:pStyle w:val="Heading1"/>
        <w:spacing w:line="276" w:lineRule="auto"/>
        <w:rPr>
          <w:rFonts w:cs="Arial"/>
          <w:lang w:val="en-US"/>
        </w:rPr>
      </w:pPr>
      <w:r w:rsidRPr="00C14255">
        <w:rPr>
          <w:rFonts w:cs="Arial"/>
          <w:lang w:val="en-US"/>
        </w:rPr>
        <w:lastRenderedPageBreak/>
        <w:t>Conclusion</w:t>
      </w:r>
    </w:p>
    <w:p w:rsidR="00C94BA1" w:rsidRPr="00C47CA1" w:rsidRDefault="00C94BA1" w:rsidP="00C94BA1">
      <w:pPr>
        <w:spacing w:line="276" w:lineRule="auto"/>
        <w:rPr>
          <w:rFonts w:cs="Arial"/>
          <w:snapToGrid w:val="0"/>
          <w:szCs w:val="18"/>
        </w:rPr>
      </w:pPr>
      <w:r w:rsidRPr="00C47CA1">
        <w:rPr>
          <w:rFonts w:cs="Arial"/>
          <w:snapToGrid w:val="0"/>
          <w:szCs w:val="18"/>
        </w:rPr>
        <w:t xml:space="preserve">In this contribution, we </w:t>
      </w:r>
      <w:r w:rsidR="00E71916">
        <w:rPr>
          <w:rFonts w:cs="Arial"/>
          <w:snapToGrid w:val="0"/>
          <w:szCs w:val="18"/>
        </w:rPr>
        <w:t>presented simulations results for RS-SINR measurements of intra-frequency neighbour in AWGN c</w:t>
      </w:r>
      <w:r w:rsidR="00D22171">
        <w:rPr>
          <w:rFonts w:cs="Arial"/>
          <w:snapToGrid w:val="0"/>
          <w:szCs w:val="18"/>
        </w:rPr>
        <w:t>hannel as well as Single Path 1Hz fading channels. We make the following proposals.</w:t>
      </w:r>
    </w:p>
    <w:p w:rsidR="00D22171" w:rsidRDefault="00D22171" w:rsidP="00D22171">
      <w:pPr>
        <w:spacing w:line="276" w:lineRule="auto"/>
        <w:rPr>
          <w:lang w:val="en-US"/>
        </w:rPr>
      </w:pPr>
      <w:r w:rsidRPr="00D22171">
        <w:rPr>
          <w:b/>
          <w:lang w:val="en-US"/>
        </w:rPr>
        <w:t>Proposal 1</w:t>
      </w:r>
      <w:r>
        <w:rPr>
          <w:lang w:val="en-US"/>
        </w:rPr>
        <w:t>: RS-SINR accuracy requirements should be defined considering the accuracy of measurements in both low and high-SINR values. Accuracy is worse in low SINR (about ±3dB). Accordingly the accuracy requirement should be defined.</w:t>
      </w:r>
    </w:p>
    <w:p w:rsidR="00D22171" w:rsidRDefault="00D22171" w:rsidP="00D22171">
      <w:pPr>
        <w:spacing w:line="276" w:lineRule="auto"/>
        <w:rPr>
          <w:lang w:val="en-US"/>
        </w:rPr>
      </w:pPr>
      <w:r w:rsidRPr="00D22171">
        <w:rPr>
          <w:b/>
          <w:lang w:val="en-US"/>
        </w:rPr>
        <w:t>Proposal 2</w:t>
      </w:r>
      <w:r>
        <w:rPr>
          <w:lang w:val="en-US"/>
        </w:rPr>
        <w:t>: Accuracy requirements should be defined only in AWGN channel.</w:t>
      </w:r>
    </w:p>
    <w:p w:rsidR="00C94BA1" w:rsidRDefault="00C94BA1" w:rsidP="00C94BA1">
      <w:pPr>
        <w:keepNext/>
        <w:keepLines/>
        <w:pBdr>
          <w:top w:val="single" w:sz="12" w:space="3" w:color="auto"/>
        </w:pBdr>
        <w:tabs>
          <w:tab w:val="num" w:pos="432"/>
        </w:tabs>
        <w:spacing w:before="240" w:line="276" w:lineRule="auto"/>
        <w:ind w:left="432" w:hanging="432"/>
        <w:outlineLvl w:val="0"/>
        <w:rPr>
          <w:rFonts w:ascii="Arial" w:hAnsi="Arial"/>
          <w:sz w:val="36"/>
          <w:lang w:val="en-US"/>
        </w:rPr>
      </w:pPr>
      <w:r w:rsidRPr="00884F15">
        <w:rPr>
          <w:rFonts w:ascii="Arial" w:hAnsi="Arial"/>
          <w:sz w:val="36"/>
          <w:lang w:val="en-US"/>
        </w:rPr>
        <w:t>References</w:t>
      </w:r>
    </w:p>
    <w:p w:rsidR="00C94BA1" w:rsidRPr="008F15C5" w:rsidRDefault="00C94BA1" w:rsidP="00C94BA1">
      <w:pPr>
        <w:tabs>
          <w:tab w:val="left" w:pos="1985"/>
        </w:tabs>
        <w:jc w:val="both"/>
        <w:rPr>
          <w:rFonts w:ascii="Arial" w:hAnsi="Arial"/>
          <w:lang w:val="en-US"/>
        </w:rPr>
      </w:pPr>
      <w:r w:rsidRPr="008F15C5">
        <w:rPr>
          <w:rFonts w:eastAsia="SimSun"/>
          <w:lang w:val="en-US" w:eastAsia="zh-CN"/>
        </w:rPr>
        <w:t xml:space="preserve">[1] </w:t>
      </w:r>
      <w:r w:rsidR="008F15C5" w:rsidRPr="008F15C5">
        <w:rPr>
          <w:lang w:val="sv-SE"/>
        </w:rPr>
        <w:t xml:space="preserve">R4-160443, </w:t>
      </w:r>
      <w:r w:rsidR="008F15C5" w:rsidRPr="008F15C5">
        <w:rPr>
          <w:lang w:val="en-US"/>
        </w:rPr>
        <w:t>“Accuracy of RS-SINR measurement”, Qualcomm, Malta, February 2016</w:t>
      </w:r>
    </w:p>
    <w:p w:rsidR="00C94BA1" w:rsidRPr="00942AE9" w:rsidRDefault="00C94BA1" w:rsidP="00C94BA1">
      <w:pPr>
        <w:tabs>
          <w:tab w:val="left" w:pos="1985"/>
        </w:tabs>
        <w:ind w:left="1800" w:hangingChars="900" w:hanging="1800"/>
        <w:jc w:val="both"/>
        <w:rPr>
          <w:rFonts w:eastAsia="SimSun"/>
          <w:lang w:eastAsia="zh-CN"/>
        </w:rPr>
      </w:pPr>
      <w:r>
        <w:rPr>
          <w:rFonts w:eastAsia="SimSun"/>
          <w:lang w:val="en-US" w:eastAsia="zh-CN"/>
        </w:rPr>
        <w:t>[</w:t>
      </w:r>
      <w:r>
        <w:rPr>
          <w:rFonts w:eastAsia="SimSun" w:hint="eastAsia"/>
          <w:lang w:val="en-US" w:eastAsia="zh-CN"/>
        </w:rPr>
        <w:t>2]</w:t>
      </w:r>
      <w:r w:rsidRPr="00803B0F">
        <w:rPr>
          <w:rFonts w:eastAsia="SimSun" w:hint="eastAsia"/>
          <w:lang w:eastAsia="zh-CN"/>
        </w:rPr>
        <w:t xml:space="preserve"> </w:t>
      </w:r>
      <w:r w:rsidRPr="0096482A">
        <w:rPr>
          <w:rFonts w:eastAsia="SimSun"/>
          <w:lang w:eastAsia="zh-CN"/>
        </w:rPr>
        <w:t>R4-155139</w:t>
      </w:r>
      <w:r w:rsidRPr="007B555C">
        <w:rPr>
          <w:rFonts w:eastAsia="SimSun" w:hint="eastAsia"/>
          <w:lang w:eastAsia="zh-CN"/>
        </w:rPr>
        <w:t xml:space="preserve">, </w:t>
      </w:r>
      <w:r w:rsidRPr="007B555C">
        <w:rPr>
          <w:rFonts w:eastAsia="SimSun"/>
          <w:lang w:eastAsia="zh-CN"/>
        </w:rPr>
        <w:t>“</w:t>
      </w:r>
      <w:r w:rsidRPr="0096482A">
        <w:rPr>
          <w:rFonts w:eastAsia="SimSun"/>
          <w:lang w:eastAsia="zh-CN"/>
        </w:rPr>
        <w:t>Way forward on RS-SINR measurement</w:t>
      </w:r>
      <w:r w:rsidRPr="007B555C">
        <w:rPr>
          <w:rFonts w:eastAsia="SimSun"/>
          <w:lang w:eastAsia="zh-CN"/>
        </w:rPr>
        <w:t>”,</w:t>
      </w:r>
      <w:r w:rsidRPr="007B555C">
        <w:rPr>
          <w:rFonts w:eastAsia="SimSun" w:hint="eastAsia"/>
          <w:lang w:eastAsia="zh-CN"/>
        </w:rPr>
        <w:t xml:space="preserve"> </w:t>
      </w:r>
      <w:r w:rsidRPr="0096482A">
        <w:rPr>
          <w:rFonts w:eastAsia="SimSun"/>
          <w:lang w:eastAsia="zh-CN"/>
        </w:rPr>
        <w:t>CMCC, Intel, Ericsson, Nokia</w:t>
      </w:r>
    </w:p>
    <w:p w:rsidR="00C94BA1" w:rsidRDefault="00C94BA1" w:rsidP="00C94BA1">
      <w:pPr>
        <w:spacing w:line="276" w:lineRule="auto"/>
        <w:jc w:val="center"/>
        <w:rPr>
          <w:lang w:val="en-US"/>
        </w:rPr>
      </w:pPr>
    </w:p>
    <w:sectPr w:rsidR="00C94B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D1BC8"/>
    <w:multiLevelType w:val="hybridMultilevel"/>
    <w:tmpl w:val="0792D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A133A"/>
    <w:multiLevelType w:val="hybridMultilevel"/>
    <w:tmpl w:val="8542A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970F8A"/>
    <w:multiLevelType w:val="hybridMultilevel"/>
    <w:tmpl w:val="46D4BE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33532"/>
    <w:multiLevelType w:val="hybridMultilevel"/>
    <w:tmpl w:val="1684444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DB43D7B"/>
    <w:multiLevelType w:val="hybridMultilevel"/>
    <w:tmpl w:val="BDF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6202E10"/>
    <w:multiLevelType w:val="hybridMultilevel"/>
    <w:tmpl w:val="C6B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8"/>
  </w:num>
  <w:num w:numId="5">
    <w:abstractNumId w:val="2"/>
  </w:num>
  <w:num w:numId="6">
    <w:abstractNumId w:val="7"/>
  </w:num>
  <w:num w:numId="7">
    <w:abstractNumId w:val="10"/>
  </w:num>
  <w:num w:numId="8">
    <w:abstractNumId w:val="9"/>
  </w:num>
  <w:num w:numId="9">
    <w:abstractNumId w:val="1"/>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15"/>
    <w:rsid w:val="00013559"/>
    <w:rsid w:val="000273ED"/>
    <w:rsid w:val="00053515"/>
    <w:rsid w:val="0006585F"/>
    <w:rsid w:val="00074A01"/>
    <w:rsid w:val="000772D0"/>
    <w:rsid w:val="0009023B"/>
    <w:rsid w:val="00092418"/>
    <w:rsid w:val="00093A85"/>
    <w:rsid w:val="000A438B"/>
    <w:rsid w:val="00107458"/>
    <w:rsid w:val="00167D5E"/>
    <w:rsid w:val="00171875"/>
    <w:rsid w:val="001975F3"/>
    <w:rsid w:val="001C6E10"/>
    <w:rsid w:val="00253D6A"/>
    <w:rsid w:val="002552AA"/>
    <w:rsid w:val="002714E1"/>
    <w:rsid w:val="00272A38"/>
    <w:rsid w:val="002918C7"/>
    <w:rsid w:val="002C4562"/>
    <w:rsid w:val="002D26FA"/>
    <w:rsid w:val="002D5A3E"/>
    <w:rsid w:val="002D6A34"/>
    <w:rsid w:val="002F1EF9"/>
    <w:rsid w:val="00307BAD"/>
    <w:rsid w:val="003218C5"/>
    <w:rsid w:val="003451F5"/>
    <w:rsid w:val="003568D3"/>
    <w:rsid w:val="00357354"/>
    <w:rsid w:val="00373B71"/>
    <w:rsid w:val="00396BDD"/>
    <w:rsid w:val="003A0805"/>
    <w:rsid w:val="003A0943"/>
    <w:rsid w:val="003D40E1"/>
    <w:rsid w:val="003E645F"/>
    <w:rsid w:val="0040252B"/>
    <w:rsid w:val="00405E53"/>
    <w:rsid w:val="00406EF5"/>
    <w:rsid w:val="004143C4"/>
    <w:rsid w:val="004177AB"/>
    <w:rsid w:val="00466053"/>
    <w:rsid w:val="00472E7E"/>
    <w:rsid w:val="004842C0"/>
    <w:rsid w:val="00497F00"/>
    <w:rsid w:val="004B6776"/>
    <w:rsid w:val="004D6890"/>
    <w:rsid w:val="004D7012"/>
    <w:rsid w:val="00533335"/>
    <w:rsid w:val="005348F3"/>
    <w:rsid w:val="005401A8"/>
    <w:rsid w:val="005556C6"/>
    <w:rsid w:val="00555F44"/>
    <w:rsid w:val="005602A4"/>
    <w:rsid w:val="005A46EA"/>
    <w:rsid w:val="005C481A"/>
    <w:rsid w:val="005D4ECF"/>
    <w:rsid w:val="005D71DF"/>
    <w:rsid w:val="005E38FA"/>
    <w:rsid w:val="005E5A5A"/>
    <w:rsid w:val="005E63CB"/>
    <w:rsid w:val="00630820"/>
    <w:rsid w:val="006C5517"/>
    <w:rsid w:val="00740C16"/>
    <w:rsid w:val="00757D5C"/>
    <w:rsid w:val="00780B1D"/>
    <w:rsid w:val="0079163F"/>
    <w:rsid w:val="00792A08"/>
    <w:rsid w:val="007A0C35"/>
    <w:rsid w:val="007A0FF6"/>
    <w:rsid w:val="007A3EEE"/>
    <w:rsid w:val="007A5EBE"/>
    <w:rsid w:val="007F6EF4"/>
    <w:rsid w:val="00821369"/>
    <w:rsid w:val="00826A09"/>
    <w:rsid w:val="00833FB9"/>
    <w:rsid w:val="0083620D"/>
    <w:rsid w:val="00836A0E"/>
    <w:rsid w:val="00891BAB"/>
    <w:rsid w:val="008C6F7B"/>
    <w:rsid w:val="008E1C25"/>
    <w:rsid w:val="008F15C5"/>
    <w:rsid w:val="009156AD"/>
    <w:rsid w:val="00922E1D"/>
    <w:rsid w:val="009240D6"/>
    <w:rsid w:val="00933305"/>
    <w:rsid w:val="00946DAE"/>
    <w:rsid w:val="00970B8D"/>
    <w:rsid w:val="00980544"/>
    <w:rsid w:val="009A7D4E"/>
    <w:rsid w:val="009D7BF9"/>
    <w:rsid w:val="009E4E56"/>
    <w:rsid w:val="009E77EC"/>
    <w:rsid w:val="00A5150A"/>
    <w:rsid w:val="00A57BBA"/>
    <w:rsid w:val="00A62F0C"/>
    <w:rsid w:val="00A8662D"/>
    <w:rsid w:val="00AA7860"/>
    <w:rsid w:val="00AB3644"/>
    <w:rsid w:val="00B21EAB"/>
    <w:rsid w:val="00B60D38"/>
    <w:rsid w:val="00B61F20"/>
    <w:rsid w:val="00B64183"/>
    <w:rsid w:val="00B65F49"/>
    <w:rsid w:val="00B72742"/>
    <w:rsid w:val="00BA05CF"/>
    <w:rsid w:val="00BA4206"/>
    <w:rsid w:val="00BB24D3"/>
    <w:rsid w:val="00BB7C24"/>
    <w:rsid w:val="00C00A49"/>
    <w:rsid w:val="00C126E0"/>
    <w:rsid w:val="00C14255"/>
    <w:rsid w:val="00C44130"/>
    <w:rsid w:val="00C47CA1"/>
    <w:rsid w:val="00C924C4"/>
    <w:rsid w:val="00C94BA1"/>
    <w:rsid w:val="00C95FFC"/>
    <w:rsid w:val="00CE7134"/>
    <w:rsid w:val="00CF3804"/>
    <w:rsid w:val="00CF4CE0"/>
    <w:rsid w:val="00D075FA"/>
    <w:rsid w:val="00D07EBD"/>
    <w:rsid w:val="00D203DD"/>
    <w:rsid w:val="00D22171"/>
    <w:rsid w:val="00D36E79"/>
    <w:rsid w:val="00D441BD"/>
    <w:rsid w:val="00D61FFF"/>
    <w:rsid w:val="00D657C0"/>
    <w:rsid w:val="00D919AB"/>
    <w:rsid w:val="00D949EE"/>
    <w:rsid w:val="00DD2550"/>
    <w:rsid w:val="00DF3066"/>
    <w:rsid w:val="00E107A1"/>
    <w:rsid w:val="00E2342C"/>
    <w:rsid w:val="00E24F55"/>
    <w:rsid w:val="00E6455A"/>
    <w:rsid w:val="00E71916"/>
    <w:rsid w:val="00E731F1"/>
    <w:rsid w:val="00E73768"/>
    <w:rsid w:val="00E93C6E"/>
    <w:rsid w:val="00EC1BC8"/>
    <w:rsid w:val="00ED2F98"/>
    <w:rsid w:val="00EE03A9"/>
    <w:rsid w:val="00EE4119"/>
    <w:rsid w:val="00F07BBD"/>
    <w:rsid w:val="00F13BFF"/>
    <w:rsid w:val="00F217D9"/>
    <w:rsid w:val="00F468E9"/>
    <w:rsid w:val="00F509D1"/>
    <w:rsid w:val="00F5112C"/>
    <w:rsid w:val="00F83D8F"/>
    <w:rsid w:val="00F9503C"/>
    <w:rsid w:val="00FD2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A392A-B4C8-43C3-830B-4AF1180F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FA"/>
    <w:pPr>
      <w:spacing w:after="180" w:line="240" w:lineRule="auto"/>
    </w:pPr>
    <w:rPr>
      <w:rFonts w:ascii="Times New Roman" w:eastAsia="MS Mincho" w:hAnsi="Times New Roman" w:cs="Times New Roman"/>
      <w:sz w:val="20"/>
      <w:szCs w:val="20"/>
      <w:lang w:val="en-GB"/>
    </w:rPr>
  </w:style>
  <w:style w:type="paragraph" w:styleId="Heading1">
    <w:name w:val="heading 1"/>
    <w:aliases w:val="H1,Char,h1,Heading 1 3GPP,Memo Heading 1,NMP Heading 1,app heading 1,l1,h11,h12,h13,h14,h15,h16,h17,h111,h121,h131,h141,h151,h161,h18,h112,h122,h132,h142,h152,h162,h19,h113,h123,h133,h143,h153,h163,1,Section of paper,Heading 1_a,heading 1"/>
    <w:next w:val="Normal"/>
    <w:link w:val="Heading1Char"/>
    <w:qFormat/>
    <w:rsid w:val="005E38F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Char Char,H2,h2,DO NOT USE_h2,h21,Heading 2 3GPP,Head2A,2,UNDERRUBRIK 1-2,Head 2,l2,TitreProp,Header 2,ITT t2,PA Major Section,Livello 2,R2,H21,Heading 2 Hidden,Head1,2nd level,heading 2,I2,Section Title,Heading2,list2,H2-Heading 2,Header&#10;2"/>
    <w:basedOn w:val="Heading1"/>
    <w:next w:val="Normal"/>
    <w:link w:val="Heading2Char"/>
    <w:qFormat/>
    <w:rsid w:val="005E38FA"/>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E38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E38FA"/>
    <w:pPr>
      <w:numPr>
        <w:ilvl w:val="3"/>
      </w:numPr>
      <w:outlineLvl w:val="3"/>
    </w:pPr>
    <w:rPr>
      <w:sz w:val="24"/>
    </w:rPr>
  </w:style>
  <w:style w:type="paragraph" w:styleId="Heading5">
    <w:name w:val="heading 5"/>
    <w:aliases w:val="h5,Heading5"/>
    <w:basedOn w:val="Heading4"/>
    <w:next w:val="Normal"/>
    <w:link w:val="Heading5Char"/>
    <w:qFormat/>
    <w:rsid w:val="005E38FA"/>
    <w:pPr>
      <w:numPr>
        <w:ilvl w:val="5"/>
      </w:numPr>
      <w:outlineLvl w:val="4"/>
    </w:pPr>
    <w:rPr>
      <w:sz w:val="22"/>
    </w:rPr>
  </w:style>
  <w:style w:type="paragraph" w:styleId="Heading6">
    <w:name w:val="heading 6"/>
    <w:basedOn w:val="Normal"/>
    <w:next w:val="Normal"/>
    <w:link w:val="Heading6Char"/>
    <w:qFormat/>
    <w:rsid w:val="00EE03A9"/>
    <w:pPr>
      <w:tabs>
        <w:tab w:val="num" w:pos="1499"/>
      </w:tabs>
      <w:spacing w:before="120" w:beforeAutospacing="1" w:afterLines="100"/>
      <w:ind w:left="1985" w:hanging="1985"/>
      <w:outlineLvl w:val="5"/>
    </w:pPr>
    <w:rPr>
      <w:rFonts w:ascii="Arial" w:eastAsia="Arial" w:hAnsi="Arial"/>
    </w:rPr>
  </w:style>
  <w:style w:type="paragraph" w:styleId="Heading7">
    <w:name w:val="heading 7"/>
    <w:basedOn w:val="Normal"/>
    <w:next w:val="Normal"/>
    <w:link w:val="Heading7Char"/>
    <w:qFormat/>
    <w:rsid w:val="005E38F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E38FA"/>
    <w:pPr>
      <w:numPr>
        <w:ilvl w:val="7"/>
      </w:numPr>
      <w:outlineLvl w:val="7"/>
    </w:pPr>
  </w:style>
  <w:style w:type="paragraph" w:styleId="Heading9">
    <w:name w:val="heading 9"/>
    <w:basedOn w:val="Heading8"/>
    <w:next w:val="Normal"/>
    <w:link w:val="Heading9Char"/>
    <w:qFormat/>
    <w:rsid w:val="005E38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h1 Char,Heading 1 3GPP Char,Memo Heading 1 Char,NMP Heading 1 Char,app heading 1 Char,l1 Char,h11 Char,h12 Char,h13 Char,h14 Char,h15 Char,h16 Char,h17 Char,h111 Char,h121 Char,h131 Char,h141 Char,h151 Char,h161 Char"/>
    <w:basedOn w:val="DefaultParagraphFont"/>
    <w:link w:val="Heading1"/>
    <w:rsid w:val="005E38FA"/>
    <w:rPr>
      <w:rFonts w:ascii="Arial" w:eastAsia="MS Mincho" w:hAnsi="Arial" w:cs="Times New Roman"/>
      <w:sz w:val="36"/>
      <w:szCs w:val="20"/>
      <w:lang w:val="en-GB"/>
    </w:rPr>
  </w:style>
  <w:style w:type="character" w:customStyle="1" w:styleId="Heading2Char">
    <w:name w:val="Heading 2 Char"/>
    <w:aliases w:val="Char Char Char,H2 Char,h2 Char,DO NOT USE_h2 Char,h21 Char,Heading 2 3GPP Char,Head2A Char,2 Char,UNDERRUBRIK 1-2 Char,Head 2 Char,l2 Char,TitreProp Char,Header 2 Char,ITT t2 Char,PA Major Section Char,Livello 2 Char,R2 Char,H21 Char"/>
    <w:basedOn w:val="DefaultParagraphFont"/>
    <w:link w:val="Heading2"/>
    <w:rsid w:val="005E38F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E38F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38F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5E38FA"/>
    <w:rPr>
      <w:rFonts w:ascii="Arial" w:eastAsia="MS Mincho" w:hAnsi="Arial" w:cs="Times New Roman"/>
      <w:szCs w:val="20"/>
      <w:lang w:val="en-GB"/>
    </w:rPr>
  </w:style>
  <w:style w:type="character" w:customStyle="1" w:styleId="Heading7Char">
    <w:name w:val="Heading 7 Char"/>
    <w:basedOn w:val="DefaultParagraphFont"/>
    <w:link w:val="Heading7"/>
    <w:rsid w:val="005E38FA"/>
    <w:rPr>
      <w:rFonts w:ascii="Arial" w:eastAsia="MS Mincho" w:hAnsi="Arial" w:cs="Times New Roman"/>
      <w:sz w:val="20"/>
      <w:szCs w:val="20"/>
      <w:lang w:val="en-GB"/>
    </w:rPr>
  </w:style>
  <w:style w:type="character" w:customStyle="1" w:styleId="Heading8Char">
    <w:name w:val="Heading 8 Char"/>
    <w:basedOn w:val="DefaultParagraphFont"/>
    <w:link w:val="Heading8"/>
    <w:rsid w:val="005E38FA"/>
    <w:rPr>
      <w:rFonts w:ascii="Arial" w:eastAsia="MS Mincho" w:hAnsi="Arial" w:cs="Times New Roman"/>
      <w:sz w:val="36"/>
      <w:szCs w:val="20"/>
      <w:lang w:val="en-GB"/>
    </w:rPr>
  </w:style>
  <w:style w:type="character" w:customStyle="1" w:styleId="Heading9Char">
    <w:name w:val="Heading 9 Char"/>
    <w:basedOn w:val="DefaultParagraphFont"/>
    <w:link w:val="Heading9"/>
    <w:rsid w:val="005E38F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38F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38FA"/>
    <w:rPr>
      <w:rFonts w:ascii="Arial" w:eastAsia="MS Mincho" w:hAnsi="Arial" w:cs="Times New Roman"/>
      <w:b/>
      <w:noProof/>
      <w:sz w:val="18"/>
      <w:szCs w:val="20"/>
    </w:rPr>
  </w:style>
  <w:style w:type="paragraph" w:styleId="Footer">
    <w:name w:val="footer"/>
    <w:basedOn w:val="Header"/>
    <w:link w:val="FooterChar"/>
    <w:rsid w:val="005E38FA"/>
    <w:pPr>
      <w:jc w:val="center"/>
    </w:pPr>
    <w:rPr>
      <w:i/>
    </w:rPr>
  </w:style>
  <w:style w:type="character" w:customStyle="1" w:styleId="FooterChar">
    <w:name w:val="Footer Char"/>
    <w:basedOn w:val="DefaultParagraphFont"/>
    <w:link w:val="Footer"/>
    <w:rsid w:val="005E38FA"/>
    <w:rPr>
      <w:rFonts w:ascii="Arial" w:eastAsia="MS Mincho" w:hAnsi="Arial" w:cs="Times New Roman"/>
      <w:b/>
      <w:i/>
      <w:noProof/>
      <w:sz w:val="18"/>
      <w:szCs w:val="20"/>
    </w:rPr>
  </w:style>
  <w:style w:type="character" w:customStyle="1" w:styleId="Heading6Char">
    <w:name w:val="Heading 6 Char"/>
    <w:basedOn w:val="DefaultParagraphFont"/>
    <w:link w:val="Heading6"/>
    <w:rsid w:val="00EE03A9"/>
    <w:rPr>
      <w:rFonts w:ascii="Arial" w:eastAsia="Arial" w:hAnsi="Arial" w:cs="Times New Roman"/>
      <w:sz w:val="20"/>
      <w:szCs w:val="20"/>
      <w:lang w:val="en-GB"/>
    </w:rPr>
  </w:style>
  <w:style w:type="paragraph" w:styleId="ListParagraph">
    <w:name w:val="List Paragraph"/>
    <w:basedOn w:val="Normal"/>
    <w:uiPriority w:val="34"/>
    <w:qFormat/>
    <w:rsid w:val="00396BDD"/>
    <w:pPr>
      <w:ind w:left="720"/>
      <w:contextualSpacing/>
    </w:pPr>
  </w:style>
  <w:style w:type="paragraph" w:customStyle="1" w:styleId="TAC">
    <w:name w:val="TAC"/>
    <w:basedOn w:val="Normal"/>
    <w:link w:val="TACChar"/>
    <w:rsid w:val="00396BDD"/>
    <w:pPr>
      <w:keepNext/>
      <w:keepLines/>
      <w:overflowPunct w:val="0"/>
      <w:autoSpaceDE w:val="0"/>
      <w:autoSpaceDN w:val="0"/>
      <w:adjustRightInd w:val="0"/>
      <w:spacing w:after="0"/>
      <w:jc w:val="center"/>
      <w:textAlignment w:val="baseline"/>
    </w:pPr>
    <w:rPr>
      <w:rFonts w:ascii="Arial" w:eastAsia="SimSun" w:hAnsi="Arial"/>
      <w:sz w:val="18"/>
      <w:lang w:eastAsia="en-GB"/>
    </w:rPr>
  </w:style>
  <w:style w:type="character" w:customStyle="1" w:styleId="TACChar">
    <w:name w:val="TAC Char"/>
    <w:link w:val="TAC"/>
    <w:rsid w:val="00396BDD"/>
    <w:rPr>
      <w:rFonts w:ascii="Arial" w:eastAsia="SimSun" w:hAnsi="Arial" w:cs="Times New Roman"/>
      <w:sz w:val="18"/>
      <w:szCs w:val="20"/>
      <w:lang w:val="en-GB" w:eastAsia="en-GB"/>
    </w:rPr>
  </w:style>
  <w:style w:type="paragraph" w:customStyle="1" w:styleId="TAH">
    <w:name w:val="TAH"/>
    <w:basedOn w:val="TAC"/>
    <w:link w:val="TAHCar"/>
    <w:rsid w:val="00396BDD"/>
    <w:rPr>
      <w:b/>
    </w:rPr>
  </w:style>
  <w:style w:type="character" w:customStyle="1" w:styleId="TAHCar">
    <w:name w:val="TAH Car"/>
    <w:link w:val="TAH"/>
    <w:rsid w:val="00396BDD"/>
    <w:rPr>
      <w:rFonts w:ascii="Arial" w:eastAsia="SimSun" w:hAnsi="Arial" w:cs="Times New Roman"/>
      <w:b/>
      <w:sz w:val="18"/>
      <w:szCs w:val="20"/>
      <w:lang w:val="en-GB" w:eastAsia="en-GB"/>
    </w:rPr>
  </w:style>
  <w:style w:type="table" w:styleId="TableGrid">
    <w:name w:val="Table Grid"/>
    <w:basedOn w:val="TableNormal"/>
    <w:uiPriority w:val="39"/>
    <w:rsid w:val="0055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1425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H">
    <w:name w:val="TH"/>
    <w:basedOn w:val="Normal"/>
    <w:link w:val="THChar"/>
    <w:rsid w:val="00092418"/>
    <w:pPr>
      <w:keepNext/>
      <w:keepLines/>
      <w:spacing w:before="60"/>
      <w:jc w:val="center"/>
    </w:pPr>
    <w:rPr>
      <w:rFonts w:ascii="Arial" w:eastAsia="SimSun" w:hAnsi="Arial"/>
      <w:b/>
    </w:rPr>
  </w:style>
  <w:style w:type="character" w:customStyle="1" w:styleId="THChar">
    <w:name w:val="TH Char"/>
    <w:basedOn w:val="DefaultParagraphFont"/>
    <w:link w:val="TH"/>
    <w:rsid w:val="00092418"/>
    <w:rPr>
      <w:rFonts w:ascii="Arial" w:eastAsia="SimSun" w:hAnsi="Arial" w:cs="Times New Roman"/>
      <w:b/>
      <w:sz w:val="20"/>
      <w:szCs w:val="20"/>
      <w:lang w:val="en-GB"/>
    </w:rPr>
  </w:style>
  <w:style w:type="character" w:styleId="PlaceholderText">
    <w:name w:val="Placeholder Text"/>
    <w:basedOn w:val="DefaultParagraphFont"/>
    <w:uiPriority w:val="99"/>
    <w:semiHidden/>
    <w:rsid w:val="00E73768"/>
    <w:rPr>
      <w:color w:val="808080"/>
    </w:rPr>
  </w:style>
  <w:style w:type="character" w:customStyle="1" w:styleId="B1Char1">
    <w:name w:val="B1 Char1"/>
    <w:link w:val="B1"/>
    <w:locked/>
    <w:rsid w:val="003568D3"/>
    <w:rPr>
      <w:rFonts w:ascii="Times New Roman" w:hAnsi="Times New Roman" w:cs="Times New Roman"/>
      <w:lang w:val="x-none"/>
    </w:rPr>
  </w:style>
  <w:style w:type="paragraph" w:customStyle="1" w:styleId="B1">
    <w:name w:val="B1"/>
    <w:basedOn w:val="List"/>
    <w:link w:val="B1Char1"/>
    <w:rsid w:val="003568D3"/>
    <w:pPr>
      <w:ind w:left="568" w:hanging="284"/>
      <w:contextualSpacing w:val="0"/>
    </w:pPr>
    <w:rPr>
      <w:rFonts w:eastAsiaTheme="minorHAnsi"/>
      <w:sz w:val="22"/>
      <w:szCs w:val="22"/>
      <w:lang w:val="x-none"/>
    </w:rPr>
  </w:style>
  <w:style w:type="paragraph" w:styleId="List">
    <w:name w:val="List"/>
    <w:basedOn w:val="Normal"/>
    <w:uiPriority w:val="99"/>
    <w:semiHidden/>
    <w:unhideWhenUsed/>
    <w:rsid w:val="003568D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778932">
      <w:bodyDiv w:val="1"/>
      <w:marLeft w:val="0"/>
      <w:marRight w:val="0"/>
      <w:marTop w:val="0"/>
      <w:marBottom w:val="0"/>
      <w:divBdr>
        <w:top w:val="none" w:sz="0" w:space="0" w:color="auto"/>
        <w:left w:val="none" w:sz="0" w:space="0" w:color="auto"/>
        <w:bottom w:val="none" w:sz="0" w:space="0" w:color="auto"/>
        <w:right w:val="none" w:sz="0" w:space="0" w:color="auto"/>
      </w:divBdr>
    </w:div>
    <w:div w:id="748846209">
      <w:bodyDiv w:val="1"/>
      <w:marLeft w:val="0"/>
      <w:marRight w:val="0"/>
      <w:marTop w:val="0"/>
      <w:marBottom w:val="0"/>
      <w:divBdr>
        <w:top w:val="none" w:sz="0" w:space="0" w:color="auto"/>
        <w:left w:val="none" w:sz="0" w:space="0" w:color="auto"/>
        <w:bottom w:val="none" w:sz="0" w:space="0" w:color="auto"/>
        <w:right w:val="none" w:sz="0" w:space="0" w:color="auto"/>
      </w:divBdr>
    </w:div>
    <w:div w:id="19803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5</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13</cp:revision>
  <dcterms:created xsi:type="dcterms:W3CDTF">2016-03-31T20:35:00Z</dcterms:created>
  <dcterms:modified xsi:type="dcterms:W3CDTF">2016-04-01T01:12:00Z</dcterms:modified>
</cp:coreProperties>
</file>