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w:t>
      </w:r>
      <w:r w:rsidR="003972BD">
        <w:rPr>
          <w:rFonts w:ascii="Arial" w:hAnsi="Arial" w:cs="Arial"/>
          <w:sz w:val="28"/>
        </w:rPr>
        <w:t>7</w:t>
      </w:r>
      <w:r w:rsidRPr="00E00A26">
        <w:rPr>
          <w:rFonts w:ascii="Arial" w:hAnsi="Arial" w:cs="Arial"/>
          <w:sz w:val="28"/>
        </w:rPr>
        <w:tab/>
        <w:t>R4-15</w:t>
      </w:r>
      <w:r w:rsidR="00C00114">
        <w:rPr>
          <w:rFonts w:ascii="Arial" w:hAnsi="Arial" w:cs="Arial"/>
          <w:sz w:val="28"/>
        </w:rPr>
        <w:t>7856</w:t>
      </w:r>
    </w:p>
    <w:p w:rsidR="004C5B9A" w:rsidRPr="00E00A26" w:rsidRDefault="00A47248" w:rsidP="004C5B9A">
      <w:pPr>
        <w:tabs>
          <w:tab w:val="center" w:pos="4153"/>
          <w:tab w:val="right" w:pos="9781"/>
          <w:tab w:val="right" w:pos="13323"/>
        </w:tabs>
        <w:rPr>
          <w:rFonts w:ascii="Arial" w:hAnsi="Arial" w:cs="Arial"/>
          <w:sz w:val="28"/>
          <w:szCs w:val="28"/>
        </w:rPr>
      </w:pPr>
      <w:r>
        <w:rPr>
          <w:rFonts w:ascii="Arial" w:hAnsi="Arial" w:cs="Arial"/>
          <w:sz w:val="28"/>
          <w:szCs w:val="28"/>
        </w:rPr>
        <w:t>An</w:t>
      </w:r>
      <w:r w:rsidR="003972BD">
        <w:rPr>
          <w:rFonts w:ascii="Arial" w:hAnsi="Arial" w:cs="Arial"/>
          <w:sz w:val="28"/>
          <w:szCs w:val="28"/>
        </w:rPr>
        <w:t>aheim</w:t>
      </w:r>
      <w:r w:rsidR="00D91984" w:rsidRPr="00A41D35">
        <w:rPr>
          <w:rFonts w:ascii="Arial" w:hAnsi="Arial" w:cs="Arial"/>
          <w:sz w:val="28"/>
          <w:szCs w:val="28"/>
        </w:rPr>
        <w:t xml:space="preserve">, </w:t>
      </w:r>
      <w:r w:rsidR="003972BD">
        <w:rPr>
          <w:rFonts w:ascii="Arial" w:hAnsi="Arial" w:cs="Arial"/>
          <w:sz w:val="28"/>
          <w:szCs w:val="28"/>
        </w:rPr>
        <w:t>CA, US</w:t>
      </w:r>
      <w:r w:rsidR="007F4245">
        <w:rPr>
          <w:rFonts w:ascii="Arial" w:hAnsi="Arial" w:cs="Arial"/>
          <w:sz w:val="28"/>
          <w:szCs w:val="28"/>
        </w:rPr>
        <w:t xml:space="preserve">, </w:t>
      </w:r>
      <w:r>
        <w:rPr>
          <w:rFonts w:ascii="Arial" w:hAnsi="Arial" w:cs="Arial"/>
          <w:sz w:val="28"/>
          <w:szCs w:val="28"/>
        </w:rPr>
        <w:t>1</w:t>
      </w:r>
      <w:r w:rsidR="003972BD">
        <w:rPr>
          <w:rFonts w:ascii="Arial" w:hAnsi="Arial" w:cs="Arial"/>
          <w:sz w:val="28"/>
          <w:szCs w:val="28"/>
        </w:rPr>
        <w:t>6</w:t>
      </w:r>
      <w:r w:rsidR="00D91984" w:rsidRPr="00A41D35">
        <w:rPr>
          <w:rFonts w:ascii="Arial" w:hAnsi="Arial" w:cs="Arial"/>
          <w:sz w:val="28"/>
          <w:szCs w:val="28"/>
        </w:rPr>
        <w:t xml:space="preserve"> – </w:t>
      </w:r>
      <w:r w:rsidR="003972BD">
        <w:rPr>
          <w:rFonts w:ascii="Arial" w:hAnsi="Arial" w:cs="Arial"/>
          <w:sz w:val="28"/>
          <w:szCs w:val="28"/>
        </w:rPr>
        <w:t>20</w:t>
      </w:r>
      <w:r w:rsidR="00D91984" w:rsidRPr="00A41D35">
        <w:rPr>
          <w:rFonts w:ascii="Arial" w:hAnsi="Arial" w:cs="Arial"/>
          <w:sz w:val="28"/>
          <w:szCs w:val="28"/>
        </w:rPr>
        <w:t xml:space="preserve"> </w:t>
      </w:r>
      <w:r w:rsidR="003972BD">
        <w:rPr>
          <w:rFonts w:ascii="Arial" w:hAnsi="Arial" w:cs="Arial"/>
          <w:sz w:val="28"/>
          <w:szCs w:val="28"/>
        </w:rPr>
        <w:t>Novem</w:t>
      </w:r>
      <w:r>
        <w:rPr>
          <w:rFonts w:ascii="Arial" w:hAnsi="Arial" w:cs="Arial"/>
          <w:sz w:val="28"/>
          <w:szCs w:val="28"/>
        </w:rPr>
        <w:t>ber</w:t>
      </w:r>
      <w:r w:rsidR="00D91984" w:rsidRPr="00A41D35">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3972BD">
        <w:rPr>
          <w:rFonts w:ascii="Arial" w:hAnsi="Arial"/>
        </w:rPr>
        <w:t>7.</w:t>
      </w:r>
      <w:r w:rsidR="009D2A20">
        <w:rPr>
          <w:rFonts w:ascii="Arial" w:hAnsi="Arial"/>
          <w:b/>
        </w:rPr>
        <w:t>5</w:t>
      </w:r>
      <w:r w:rsidR="00436EC5">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D0029D" w:rsidRPr="00D0029D">
        <w:rPr>
          <w:rFonts w:ascii="Arial" w:hAnsi="Arial" w:cs="Arial"/>
          <w:b/>
        </w:rPr>
        <w:t>Requirements for Unspecified</w:t>
      </w:r>
      <w:r w:rsidR="00D0029D">
        <w:rPr>
          <w:rFonts w:ascii="Arial" w:hAnsi="Arial" w:cs="Arial"/>
          <w:b/>
        </w:rPr>
        <w:t xml:space="preserve"> </w:t>
      </w:r>
      <w:r w:rsidR="00D0029D" w:rsidRPr="00D0029D">
        <w:rPr>
          <w:rFonts w:ascii="Arial" w:hAnsi="Arial" w:cs="Arial"/>
          <w:b/>
        </w:rPr>
        <w:t>Carrier Configurations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0029D">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D0029D" w:rsidRDefault="00D0029D" w:rsidP="009A354A">
      <w:pPr>
        <w:pStyle w:val="BodyText"/>
      </w:pPr>
      <w:r w:rsidRPr="00D0029D">
        <w:t>In TS 36.141, a set of test cases for the operating band unwanted emissions is defined addressing the most common carrier configurations. They are seen as worst case scenarios and the assumption is that if these tests are pa</w:t>
      </w:r>
      <w:r>
        <w:t>ssed, the equipment will fulfil</w:t>
      </w:r>
      <w:r w:rsidRPr="00D0029D">
        <w:t xml:space="preserve"> the spectral requirements in all cases.</w:t>
      </w:r>
    </w:p>
    <w:p w:rsidR="00D0029D" w:rsidRDefault="00D0029D" w:rsidP="009A354A">
      <w:pPr>
        <w:pStyle w:val="BodyText"/>
      </w:pPr>
      <w:r w:rsidRPr="00D0029D">
        <w:t>However, network operators sometimes have to apply carrier configurations in the field that are not covered by the specified tests yet. One example is static output power lower than the declared maximum output power of the transmitter. Another example is multi carrier operation where the power levels of the carriers are not equal. These cases are described in detail in the following sections.</w:t>
      </w:r>
      <w:r>
        <w:t xml:space="preserve"> </w:t>
      </w:r>
      <w:r w:rsidRPr="00D0029D">
        <w:t>Since there is currently no way to prove the compliance of the equipment with the requirements, it’s up to the interpretation by the designers what requirements are applied in such unspecified cases. This could lead to completely different performance of equipment from different vendors in the field.</w:t>
      </w:r>
    </w:p>
    <w:p w:rsidR="00065391" w:rsidRDefault="00D0029D" w:rsidP="009A354A">
      <w:pPr>
        <w:pStyle w:val="BodyText"/>
      </w:pPr>
      <w:r w:rsidRPr="00D0029D">
        <w:t xml:space="preserve">We believe that a discussion in </w:t>
      </w:r>
      <w:r>
        <w:t>RAN4</w:t>
      </w:r>
      <w:r w:rsidRPr="00D0029D">
        <w:t xml:space="preserve"> is </w:t>
      </w:r>
      <w:r>
        <w:t>required</w:t>
      </w:r>
      <w:r w:rsidRPr="00D0029D">
        <w:t xml:space="preserve"> to </w:t>
      </w:r>
      <w:r w:rsidR="00DB2565">
        <w:t>address</w:t>
      </w:r>
      <w:r w:rsidRPr="00D0029D">
        <w:t xml:space="preserve"> the described </w:t>
      </w:r>
      <w:r w:rsidR="00DB2565">
        <w:t>issue</w:t>
      </w:r>
      <w:r w:rsidRPr="00D0029D">
        <w:t>. In order to support this discussion, we also submit some proposals in this paper to address these topics in the specifications. Although the described issues may occur in each base station class, we limit the examples in the following to the medium range class which applies to small cell base stations.</w:t>
      </w:r>
    </w:p>
    <w:p w:rsidR="00D0029D" w:rsidRPr="00D0029D" w:rsidRDefault="00D0029D" w:rsidP="009A354A">
      <w:pPr>
        <w:pStyle w:val="BodyText"/>
        <w:rPr>
          <w:lang w:val="en-US"/>
        </w:rPr>
      </w:pPr>
    </w:p>
    <w:p w:rsidR="0074633A" w:rsidRPr="00D3089E" w:rsidRDefault="0074633A" w:rsidP="0074633A">
      <w:pPr>
        <w:pStyle w:val="Heading1"/>
        <w:ind w:left="0" w:firstLine="0"/>
      </w:pPr>
      <w:r w:rsidRPr="00D3089E">
        <w:t>2.</w:t>
      </w:r>
      <w:r w:rsidRPr="00D3089E">
        <w:tab/>
      </w:r>
      <w:r w:rsidR="009C311B">
        <w:t>Discussion</w:t>
      </w:r>
    </w:p>
    <w:p w:rsidR="005B5415" w:rsidRDefault="009757F1" w:rsidP="00D0029D">
      <w:pPr>
        <w:pStyle w:val="Heading2"/>
        <w:ind w:left="709" w:hanging="709"/>
      </w:pPr>
      <w:bookmarkStart w:id="3" w:name="_Toc306263746"/>
      <w:r>
        <w:t>2.1</w:t>
      </w:r>
      <w:r>
        <w:tab/>
      </w:r>
      <w:r w:rsidR="00D0029D" w:rsidRPr="00D0029D">
        <w:rPr>
          <w:color w:val="000000"/>
          <w:lang w:val="en-US"/>
        </w:rPr>
        <w:t>Static output power lower than the declared maximum output power of the transmitter</w:t>
      </w:r>
    </w:p>
    <w:p w:rsidR="005B5415" w:rsidRDefault="005B5415" w:rsidP="005B5415"/>
    <w:p w:rsidR="00D0029D" w:rsidRDefault="00D0029D" w:rsidP="00D0029D">
      <w:pPr>
        <w:pStyle w:val="BodyText"/>
      </w:pPr>
      <w:r>
        <w:t>In order to optimize parameters such as throughput or the interfering situation in the field, the cell sizes are usually different. This requires different static output power levels on the transmitter side. However, it would be too costly for network operators to deploy many different hardware versions, each delivering only one desired output power. Therefore, the equipment must support a certain range of static output power levels to give network operators full flexibility in a cost-optimized way. Note that while in E-UTRA, there are currently no ‘static power steps’ defined, in GSM they were defined in the following way: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(see TS 45.005, section 4.1.2c). In the following, we limit the example to a single carrier configuration although the same issue could in principle also occur with multiple carriers.</w:t>
      </w:r>
    </w:p>
    <w:p w:rsidR="00D0029D" w:rsidRDefault="00D0029D" w:rsidP="00D0029D">
      <w:pPr>
        <w:pStyle w:val="BodyText"/>
      </w:pPr>
      <w:r>
        <w:t xml:space="preserve">Let’s assume that the maximum output power of a transmitter is 37 </w:t>
      </w:r>
      <w:proofErr w:type="spellStart"/>
      <w:r>
        <w:t>dBm</w:t>
      </w:r>
      <w:proofErr w:type="spellEnd"/>
      <w:r>
        <w:t xml:space="preserve"> and the static output power range is 5 dB. That means the minimum static power is 32 </w:t>
      </w:r>
      <w:proofErr w:type="spellStart"/>
      <w:r>
        <w:t>dBm</w:t>
      </w:r>
      <w:proofErr w:type="spellEnd"/>
      <w:r>
        <w:t xml:space="preserve">. With the existing test specification, the equipment would be tested at </w:t>
      </w:r>
      <w:proofErr w:type="spellStart"/>
      <w:r>
        <w:t>Pmax</w:t>
      </w:r>
      <w:proofErr w:type="spellEnd"/>
      <w:r>
        <w:t xml:space="preserve">, c = 37 </w:t>
      </w:r>
      <w:proofErr w:type="spellStart"/>
      <w:r>
        <w:t>dBm</w:t>
      </w:r>
      <w:proofErr w:type="spellEnd"/>
      <w:r>
        <w:t xml:space="preserve"> only and in this case, the most stringent limit (according to </w:t>
      </w:r>
      <w:r w:rsidR="00DB2565">
        <w:t xml:space="preserve">e.g. </w:t>
      </w:r>
      <w:r>
        <w:t xml:space="preserve">TS 36.141, Table 6.6.3.5.2C-5) is -25 </w:t>
      </w:r>
      <w:proofErr w:type="spellStart"/>
      <w:r>
        <w:t>dBm</w:t>
      </w:r>
      <w:proofErr w:type="spellEnd"/>
      <w:r>
        <w:t xml:space="preserve">/100 kHz. Let’s assume now that this transmitter is operated at 32 </w:t>
      </w:r>
      <w:proofErr w:type="spellStart"/>
      <w:r>
        <w:t>dBm</w:t>
      </w:r>
      <w:proofErr w:type="spellEnd"/>
      <w:r>
        <w:t xml:space="preserve"> in the field. It is not clear what limits have to be fulfilled then. Depending on the transmitter design and the used algorithms (e.g. for linearization of the power amplifier), the operating band unwanted emissions are not necessarily 5 dB lower than at 37 </w:t>
      </w:r>
      <w:proofErr w:type="spellStart"/>
      <w:r>
        <w:t>dBm</w:t>
      </w:r>
      <w:proofErr w:type="spellEnd"/>
      <w:r>
        <w:t xml:space="preserve"> output power. One opinion could be that it is ok if the equipment does not generate higher emissions than if it was operated at 37 </w:t>
      </w:r>
      <w:proofErr w:type="spellStart"/>
      <w:r>
        <w:t>dBm</w:t>
      </w:r>
      <w:proofErr w:type="spellEnd"/>
      <w:r>
        <w:t xml:space="preserve"> (that means adjacent channels are not affected in a worse way).</w:t>
      </w:r>
    </w:p>
    <w:p w:rsidR="00D0029D" w:rsidRDefault="00D0029D" w:rsidP="00D0029D">
      <w:pPr>
        <w:pStyle w:val="BodyText"/>
      </w:pPr>
      <w:r>
        <w:t xml:space="preserve">However, let’s then compare with a transmitter that is designed for a maximum output power of 32 </w:t>
      </w:r>
      <w:proofErr w:type="spellStart"/>
      <w:r>
        <w:t>dBm</w:t>
      </w:r>
      <w:proofErr w:type="spellEnd"/>
      <w:r>
        <w:t xml:space="preserve">. In this case, the most stringent limit is -28 </w:t>
      </w:r>
      <w:proofErr w:type="spellStart"/>
      <w:r>
        <w:t>dBm</w:t>
      </w:r>
      <w:proofErr w:type="spellEnd"/>
      <w:r>
        <w:t>/100 kHz (see TS 36.141, Table 6.6.3.5.2C-5), that means 3 dB lower than the limit mentioned above. Note that both types of transmitter could be deployed for the same cell size but they would generate significantly different amount of unwanted emissions.</w:t>
      </w:r>
    </w:p>
    <w:p w:rsidR="00D0029D" w:rsidRDefault="00D0029D" w:rsidP="00D0029D">
      <w:pPr>
        <w:pStyle w:val="BodyText"/>
      </w:pPr>
      <w:r w:rsidRPr="00DB2565">
        <w:rPr>
          <w:u w:val="single"/>
        </w:rPr>
        <w:t>Proposal 1</w:t>
      </w:r>
      <w:r>
        <w:t xml:space="preserve">: There are two options to address this </w:t>
      </w:r>
      <w:r w:rsidR="00DB2565">
        <w:t>issue</w:t>
      </w:r>
      <w:r>
        <w:t>:</w:t>
      </w:r>
    </w:p>
    <w:p w:rsidR="00D0029D" w:rsidRDefault="00D0029D" w:rsidP="00D0029D">
      <w:pPr>
        <w:pStyle w:val="BodyText"/>
        <w:ind w:left="709" w:hanging="709"/>
      </w:pPr>
      <w:r>
        <w:t>a)</w:t>
      </w:r>
      <w:r>
        <w:tab/>
        <w:t>Insert a note in the specifications saying that in case of static power reduction, the operating band unwanted emissions limits scale down with the output power.</w:t>
      </w:r>
    </w:p>
    <w:p w:rsidR="00D0029D" w:rsidRDefault="00D0029D" w:rsidP="00D0029D">
      <w:pPr>
        <w:pStyle w:val="BodyText"/>
        <w:ind w:left="709" w:hanging="709"/>
      </w:pPr>
      <w:r>
        <w:lastRenderedPageBreak/>
        <w:t>b)</w:t>
      </w:r>
      <w:r>
        <w:tab/>
        <w:t>Alternatively, the parameter ‘</w:t>
      </w:r>
      <w:proofErr w:type="spellStart"/>
      <w:r>
        <w:t>Pmax</w:t>
      </w:r>
      <w:proofErr w:type="gramStart"/>
      <w:r>
        <w:t>,c</w:t>
      </w:r>
      <w:proofErr w:type="spellEnd"/>
      <w:r>
        <w:t>’</w:t>
      </w:r>
      <w:proofErr w:type="gramEnd"/>
      <w:r>
        <w:t xml:space="preserve"> (e.g. in the tables of section 6.6.3.2C of TS 36.141) could be </w:t>
      </w:r>
      <w:r w:rsidR="00DB2565">
        <w:t>specifi</w:t>
      </w:r>
      <w:r>
        <w:t>ed in the way that it defines the configured carrier power.</w:t>
      </w:r>
    </w:p>
    <w:p w:rsidR="005B5415" w:rsidRDefault="00D0029D" w:rsidP="00D0029D">
      <w:pPr>
        <w:pStyle w:val="BodyText"/>
      </w:pPr>
      <w:r>
        <w:t>We furthermore propose that RAN4 discusses the need of an according test case.</w:t>
      </w:r>
    </w:p>
    <w:p w:rsidR="00D0029D" w:rsidRPr="00D0029D" w:rsidRDefault="00D0029D" w:rsidP="00D0029D">
      <w:pPr>
        <w:pStyle w:val="BodyText"/>
        <w:rPr>
          <w:lang w:val="en-US"/>
        </w:rPr>
      </w:pPr>
    </w:p>
    <w:p w:rsidR="00A15B37" w:rsidRDefault="00A15B37" w:rsidP="00A15B37">
      <w:pPr>
        <w:pStyle w:val="Heading2"/>
      </w:pPr>
      <w:r>
        <w:t>2.</w:t>
      </w:r>
      <w:r w:rsidR="00407343">
        <w:t>2</w:t>
      </w:r>
      <w:r>
        <w:tab/>
      </w:r>
      <w:r w:rsidR="00DB2565" w:rsidRPr="00DB2565">
        <w:rPr>
          <w:lang w:eastAsia="zh-CN"/>
        </w:rPr>
        <w:t>Multi carrier operation with unequal power levels of the carriers</w:t>
      </w:r>
    </w:p>
    <w:p w:rsidR="00A15B37" w:rsidRPr="005B5415" w:rsidRDefault="00A15B37" w:rsidP="00A15B37"/>
    <w:p w:rsidR="00DB2565" w:rsidRDefault="00DB2565" w:rsidP="00DB2565">
      <w:pPr>
        <w:pStyle w:val="BodyText"/>
      </w:pPr>
      <w:r>
        <w:t>In the field, different carrier powers can occur in case when different carrier bandwidths are deployed and the spectral power density is for example the same for all carriers. A network operator may also wish to address different cell sizes with different carrier powers in the future.</w:t>
      </w:r>
    </w:p>
    <w:p w:rsidR="00DB2565" w:rsidRDefault="00DB2565" w:rsidP="00DB2565">
      <w:pPr>
        <w:pStyle w:val="BodyText"/>
      </w:pPr>
      <w:r>
        <w:t xml:space="preserve">Let’s assume in the following a rated total output power of P = 37 </w:t>
      </w:r>
      <w:proofErr w:type="spellStart"/>
      <w:r>
        <w:t>dBm</w:t>
      </w:r>
      <w:proofErr w:type="spellEnd"/>
      <w:r>
        <w:t xml:space="preserve"> and the following two deployment scenarios:</w:t>
      </w:r>
    </w:p>
    <w:p w:rsidR="00DB2565" w:rsidRDefault="00DB2565" w:rsidP="00DB2565">
      <w:pPr>
        <w:pStyle w:val="BodyText"/>
        <w:ind w:left="709" w:hanging="709"/>
      </w:pPr>
      <w:r>
        <w:t>1)</w:t>
      </w:r>
      <w:r>
        <w:tab/>
        <w:t xml:space="preserve">P is distributed evenly among two carriers. Then each carrier has a power of P-3 dB, that means </w:t>
      </w:r>
      <w:proofErr w:type="spellStart"/>
      <w:r>
        <w:t>Pmax</w:t>
      </w:r>
      <w:proofErr w:type="gramStart"/>
      <w:r>
        <w:t>,c</w:t>
      </w:r>
      <w:proofErr w:type="spellEnd"/>
      <w:proofErr w:type="gramEnd"/>
      <w:r>
        <w:t xml:space="preserve"> = 34 </w:t>
      </w:r>
      <w:proofErr w:type="spellStart"/>
      <w:r>
        <w:t>dBm</w:t>
      </w:r>
      <w:proofErr w:type="spellEnd"/>
      <w:r>
        <w:t>.</w:t>
      </w:r>
    </w:p>
    <w:p w:rsidR="00DB2565" w:rsidRDefault="00DB2565" w:rsidP="00DB2565">
      <w:pPr>
        <w:pStyle w:val="BodyText"/>
        <w:ind w:left="709" w:hanging="709"/>
      </w:pPr>
      <w:r>
        <w:t>2)</w:t>
      </w:r>
      <w:r>
        <w:tab/>
        <w:t xml:space="preserve">P is distributed among two carriers in the way that they have a 6 dB power level difference. This could be achieved by setting one carrier to approx. 36 </w:t>
      </w:r>
      <w:proofErr w:type="spellStart"/>
      <w:r>
        <w:t>dBm</w:t>
      </w:r>
      <w:proofErr w:type="spellEnd"/>
      <w:r>
        <w:t xml:space="preserve"> and the other one to approx. 30 </w:t>
      </w:r>
      <w:proofErr w:type="spellStart"/>
      <w:r>
        <w:t>dBm</w:t>
      </w:r>
      <w:proofErr w:type="spellEnd"/>
      <w:r>
        <w:t xml:space="preserve"> (sum power is approx. 37 </w:t>
      </w:r>
      <w:proofErr w:type="spellStart"/>
      <w:r>
        <w:t>dBm</w:t>
      </w:r>
      <w:proofErr w:type="spellEnd"/>
      <w:r>
        <w:t xml:space="preserve"> as above). In this case, the stronger carrier has 2 dB higher power than the </w:t>
      </w:r>
      <w:proofErr w:type="spellStart"/>
      <w:r>
        <w:t>Pmax</w:t>
      </w:r>
      <w:proofErr w:type="gramStart"/>
      <w:r>
        <w:t>,c</w:t>
      </w:r>
      <w:proofErr w:type="spellEnd"/>
      <w:proofErr w:type="gramEnd"/>
      <w:r>
        <w:t xml:space="preserve"> value in case 1).</w:t>
      </w:r>
    </w:p>
    <w:p w:rsidR="00DB2565" w:rsidRDefault="00DB2565" w:rsidP="00DB2565">
      <w:pPr>
        <w:pStyle w:val="BodyText"/>
      </w:pPr>
      <w:r>
        <w:t>Currently, only case 1) is tested but it is not clear what requirements have to be fulfilled in case 2)</w:t>
      </w:r>
      <w:proofErr w:type="gramStart"/>
      <w:r>
        <w:t>.</w:t>
      </w:r>
      <w:proofErr w:type="gramEnd"/>
      <w:r>
        <w:t xml:space="preserve"> However, even if the equipment </w:t>
      </w:r>
      <w:proofErr w:type="spellStart"/>
      <w:r>
        <w:t>fulfills</w:t>
      </w:r>
      <w:proofErr w:type="spellEnd"/>
      <w:r>
        <w:t xml:space="preserve"> the limits of case 1) and the operator switches to the real deployment of case 2), the unwanted emissions may rise significantly because the stronger carrier typically dominates the total emissions.</w:t>
      </w:r>
    </w:p>
    <w:p w:rsidR="00DB2565" w:rsidRDefault="00DB2565" w:rsidP="00DB2565">
      <w:pPr>
        <w:pStyle w:val="BodyText"/>
      </w:pPr>
      <w:r w:rsidRPr="00DB2565">
        <w:rPr>
          <w:u w:val="single"/>
        </w:rPr>
        <w:t>Proposal 2</w:t>
      </w:r>
      <w:r>
        <w:t>: There are three options to address this issue:</w:t>
      </w:r>
    </w:p>
    <w:p w:rsidR="00DB2565" w:rsidRDefault="00DB2565" w:rsidP="00DB2565">
      <w:pPr>
        <w:pStyle w:val="BodyText"/>
        <w:ind w:left="709" w:hanging="709"/>
      </w:pPr>
      <w:r>
        <w:t>a)</w:t>
      </w:r>
      <w:r>
        <w:tab/>
        <w:t xml:space="preserve">Introduce in the specifications (e.g. TS 36.141, section 4.6.8) either two values of </w:t>
      </w:r>
      <w:proofErr w:type="spellStart"/>
      <w:r>
        <w:t>Pmax</w:t>
      </w:r>
      <w:proofErr w:type="gramStart"/>
      <w:r>
        <w:t>,c</w:t>
      </w:r>
      <w:proofErr w:type="spellEnd"/>
      <w:proofErr w:type="gramEnd"/>
      <w:r>
        <w:t xml:space="preserve"> (one for each carrier) or the maximum power level difference between the two carriers. Define then an additional test case with the declared power settings. However, this would cover just a certain carrier configuration. Note that in the future, even more complex configurations could come up, with more than 2 carriers at different power levels.</w:t>
      </w:r>
    </w:p>
    <w:p w:rsidR="00DB2565" w:rsidRDefault="00DB2565" w:rsidP="00DB2565">
      <w:pPr>
        <w:pStyle w:val="BodyText"/>
        <w:ind w:left="709" w:hanging="709"/>
      </w:pPr>
      <w:r>
        <w:t>b)</w:t>
      </w:r>
      <w:r>
        <w:tab/>
        <w:t>A more general solution would be to introduce a common rule what limits have to be fulfilled in cases with unequal power distribution among carriers. A quite obvious rule would be the superposition of the spectral requirements that would apply for each of the carriers on their own. Then, the total emission would not be higher than if several single carrier transmitters were operated at the same location and their emissions would accumulate by air-combining.</w:t>
      </w:r>
    </w:p>
    <w:p w:rsidR="003D03B4" w:rsidRDefault="00DB2565" w:rsidP="00DB2565">
      <w:pPr>
        <w:pStyle w:val="BodyText"/>
        <w:ind w:left="709" w:hanging="709"/>
      </w:pPr>
      <w:r>
        <w:t>c)</w:t>
      </w:r>
      <w:r>
        <w:tab/>
        <w:t>The mask could be derived based on the most powerful of the carriers because this will in any case dominate the total unwanted emissions.</w:t>
      </w:r>
    </w:p>
    <w:p w:rsidR="00DB2565" w:rsidRPr="00DB2565" w:rsidRDefault="00DB2565" w:rsidP="00DB2565">
      <w:pPr>
        <w:pStyle w:val="BodyText"/>
      </w:pPr>
    </w:p>
    <w:p w:rsidR="009C311B" w:rsidRPr="00D3089E" w:rsidRDefault="009C311B" w:rsidP="009C311B">
      <w:pPr>
        <w:pStyle w:val="Heading1"/>
        <w:ind w:left="0" w:firstLine="0"/>
      </w:pPr>
      <w:r>
        <w:t>3</w:t>
      </w:r>
      <w:r w:rsidRPr="00D3089E">
        <w:t>.</w:t>
      </w:r>
      <w:r w:rsidRPr="00D3089E">
        <w:tab/>
      </w:r>
      <w:r>
        <w:t>Conclusion</w:t>
      </w:r>
    </w:p>
    <w:p w:rsidR="003D03B4" w:rsidRDefault="00DB2565" w:rsidP="00DB2565">
      <w:pPr>
        <w:pStyle w:val="BodyText"/>
        <w:rPr>
          <w:lang w:val="en-US"/>
        </w:rPr>
      </w:pPr>
      <w:r w:rsidRPr="00DB2565">
        <w:t xml:space="preserve">In this document, some carrier configurations are described that are not specified in </w:t>
      </w:r>
      <w:r>
        <w:t>the RAN4 specifications</w:t>
      </w:r>
      <w:r w:rsidRPr="00DB2565">
        <w:t xml:space="preserve"> yet. We kindly ask RAN4 to discuss this topic and take into account the proposals submitted above.</w:t>
      </w:r>
      <w:bookmarkEnd w:id="3"/>
    </w:p>
    <w:sectPr w:rsidR="003D03B4"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B0F" w:rsidRDefault="009A7B0F">
      <w:r>
        <w:separator/>
      </w:r>
    </w:p>
  </w:endnote>
  <w:endnote w:type="continuationSeparator" w:id="0">
    <w:p w:rsidR="009A7B0F" w:rsidRDefault="009A7B0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B0F" w:rsidRDefault="009A7B0F">
      <w:r>
        <w:separator/>
      </w:r>
    </w:p>
  </w:footnote>
  <w:footnote w:type="continuationSeparator" w:id="0">
    <w:p w:rsidR="009A7B0F" w:rsidRDefault="009A7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0">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1"/>
  </w:num>
  <w:num w:numId="8">
    <w:abstractNumId w:val="6"/>
  </w:num>
  <w:num w:numId="9">
    <w:abstractNumId w:val="38"/>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7"/>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9"/>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40"/>
  </w:num>
  <w:num w:numId="38">
    <w:abstractNumId w:val="29"/>
  </w:num>
  <w:num w:numId="39">
    <w:abstractNumId w:val="5"/>
  </w:num>
  <w:num w:numId="40">
    <w:abstractNumId w:val="8"/>
  </w:num>
  <w:num w:numId="41">
    <w:abstractNumId w:val="10"/>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552F7"/>
    <w:rsid w:val="0056122C"/>
    <w:rsid w:val="005628F5"/>
    <w:rsid w:val="005634FC"/>
    <w:rsid w:val="0056523D"/>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55A5"/>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029D"/>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53BC"/>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0F011-E460-40C7-962F-322E4CF0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2015-11-06T11:23:00Z</dcterms:created>
  <dcterms:modified xsi:type="dcterms:W3CDTF">2015-11-06T15:14:00Z</dcterms:modified>
</cp:coreProperties>
</file>