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D7F" w:rsidRPr="004D3036" w:rsidRDefault="00260D7F" w:rsidP="00260D7F">
      <w:pPr>
        <w:pStyle w:val="CRCoverPage"/>
        <w:tabs>
          <w:tab w:val="right" w:pos="9639"/>
        </w:tabs>
        <w:spacing w:after="0"/>
        <w:rPr>
          <w:b/>
          <w:noProof/>
          <w:sz w:val="28"/>
        </w:rPr>
      </w:pPr>
      <w:bookmarkStart w:id="0" w:name="_GoBack"/>
      <w:bookmarkEnd w:id="0"/>
      <w:r>
        <w:rPr>
          <w:b/>
          <w:noProof/>
          <w:sz w:val="24"/>
        </w:rPr>
        <w:t>3GPP TSG-RAN4 Meeting #61</w:t>
      </w:r>
      <w:r>
        <w:rPr>
          <w:b/>
          <w:i/>
          <w:noProof/>
          <w:sz w:val="24"/>
        </w:rPr>
        <w:t xml:space="preserve"> </w:t>
      </w:r>
      <w:r>
        <w:rPr>
          <w:b/>
          <w:i/>
          <w:noProof/>
          <w:sz w:val="28"/>
        </w:rPr>
        <w:tab/>
      </w:r>
      <w:r w:rsidRPr="004D3036">
        <w:rPr>
          <w:rStyle w:val="CommentReference"/>
          <w:rFonts w:ascii="Times New Roman" w:hAnsi="Times New Roman"/>
          <w:noProof/>
          <w:vanish/>
          <w:sz w:val="2"/>
        </w:rPr>
        <w:t>R</w:t>
      </w:r>
      <w:r w:rsidRPr="004D3036">
        <w:rPr>
          <w:b/>
          <w:noProof/>
          <w:sz w:val="28"/>
        </w:rPr>
        <w:t>R4-</w:t>
      </w:r>
      <w:r w:rsidR="004D3036" w:rsidRPr="004D3036">
        <w:rPr>
          <w:b/>
          <w:noProof/>
          <w:sz w:val="28"/>
        </w:rPr>
        <w:t>115727</w:t>
      </w:r>
    </w:p>
    <w:p w:rsidR="00260D7F" w:rsidRPr="009E5117" w:rsidRDefault="00260D7F" w:rsidP="00260D7F">
      <w:pPr>
        <w:pStyle w:val="FootnoteText"/>
        <w:tabs>
          <w:tab w:val="right" w:pos="9360"/>
        </w:tabs>
        <w:rPr>
          <w:rFonts w:ascii="Arial" w:hAnsi="Arial" w:cs="Arial"/>
          <w:b/>
          <w:sz w:val="24"/>
          <w:szCs w:val="24"/>
          <w:lang w:val="sv-SE" w:eastAsia="ja-JP"/>
        </w:rPr>
      </w:pPr>
      <w:r w:rsidRPr="009E5117">
        <w:rPr>
          <w:rFonts w:ascii="Arial" w:hAnsi="Arial" w:cs="Arial"/>
          <w:b/>
          <w:noProof/>
          <w:sz w:val="24"/>
        </w:rPr>
        <w:t>San Francisco, US, November 14</w:t>
      </w:r>
      <w:r w:rsidRPr="009E5117">
        <w:rPr>
          <w:rFonts w:ascii="Arial" w:hAnsi="Arial" w:cs="Arial"/>
          <w:b/>
          <w:noProof/>
          <w:sz w:val="24"/>
          <w:vertAlign w:val="superscript"/>
        </w:rPr>
        <w:t>th</w:t>
      </w:r>
      <w:r w:rsidRPr="009E5117">
        <w:rPr>
          <w:rFonts w:ascii="Arial" w:hAnsi="Arial" w:cs="Arial"/>
          <w:b/>
          <w:noProof/>
          <w:sz w:val="24"/>
        </w:rPr>
        <w:t xml:space="preserve"> – 18</w:t>
      </w:r>
      <w:r w:rsidRPr="009E5117">
        <w:rPr>
          <w:rFonts w:ascii="Arial" w:hAnsi="Arial" w:cs="Arial"/>
          <w:b/>
          <w:noProof/>
          <w:sz w:val="24"/>
          <w:vertAlign w:val="superscript"/>
        </w:rPr>
        <w:t>th</w:t>
      </w:r>
      <w:r w:rsidRPr="009E5117">
        <w:rPr>
          <w:rFonts w:ascii="Arial" w:hAnsi="Arial" w:cs="Arial"/>
          <w:b/>
          <w:noProof/>
          <w:sz w:val="24"/>
        </w:rPr>
        <w:t>, 2011</w:t>
      </w:r>
    </w:p>
    <w:p w:rsidR="00F75ACF" w:rsidRPr="00EB3081" w:rsidRDefault="00F75ACF" w:rsidP="00F75ACF">
      <w:pPr>
        <w:pStyle w:val="FootnoteText"/>
        <w:rPr>
          <w:b/>
          <w:sz w:val="24"/>
          <w:szCs w:val="24"/>
          <w:lang w:val="en-US" w:eastAsia="ja-JP"/>
        </w:rPr>
      </w:pPr>
    </w:p>
    <w:p w:rsidR="00F75ACF" w:rsidRPr="00EB3081" w:rsidRDefault="00092F69" w:rsidP="00092F69">
      <w:pPr>
        <w:pBdr>
          <w:top w:val="single" w:sz="4" w:space="1" w:color="auto"/>
        </w:pBdr>
        <w:spacing w:before="120"/>
        <w:ind w:left="2160" w:hanging="2160"/>
        <w:rPr>
          <w:b/>
        </w:rPr>
      </w:pPr>
      <w:r w:rsidRPr="00EB3081">
        <w:rPr>
          <w:b/>
        </w:rPr>
        <w:t>Agenda Item:</w:t>
      </w:r>
      <w:r w:rsidRPr="00EB3081">
        <w:rPr>
          <w:b/>
        </w:rPr>
        <w:tab/>
      </w:r>
      <w:r w:rsidR="00121730">
        <w:rPr>
          <w:b/>
        </w:rPr>
        <w:t>6.1.1</w:t>
      </w:r>
    </w:p>
    <w:p w:rsidR="00F75ACF" w:rsidRPr="00EB3081" w:rsidRDefault="00092F69" w:rsidP="00092F69">
      <w:pPr>
        <w:ind w:left="2160" w:hanging="2160"/>
        <w:rPr>
          <w:b/>
        </w:rPr>
      </w:pPr>
      <w:r w:rsidRPr="00EB3081">
        <w:rPr>
          <w:b/>
        </w:rPr>
        <w:t>Source:</w:t>
      </w:r>
      <w:r w:rsidRPr="00EB3081">
        <w:rPr>
          <w:b/>
        </w:rPr>
        <w:tab/>
      </w:r>
      <w:r w:rsidR="00121730">
        <w:rPr>
          <w:b/>
        </w:rPr>
        <w:t>DBSD</w:t>
      </w:r>
    </w:p>
    <w:p w:rsidR="00F75ACF" w:rsidRPr="00EB3081" w:rsidRDefault="00F75ACF" w:rsidP="00092F69">
      <w:pPr>
        <w:ind w:left="2160" w:hanging="2160"/>
        <w:rPr>
          <w:b/>
        </w:rPr>
      </w:pPr>
      <w:r w:rsidRPr="00EB3081">
        <w:rPr>
          <w:b/>
        </w:rPr>
        <w:t>Title:</w:t>
      </w:r>
      <w:r w:rsidRPr="00EB3081">
        <w:rPr>
          <w:b/>
        </w:rPr>
        <w:tab/>
      </w:r>
      <w:r w:rsidR="00D641F7">
        <w:rPr>
          <w:b/>
        </w:rPr>
        <w:t xml:space="preserve">Band 23 </w:t>
      </w:r>
      <w:r w:rsidR="005E5085">
        <w:rPr>
          <w:b/>
        </w:rPr>
        <w:t xml:space="preserve">UE </w:t>
      </w:r>
      <w:r w:rsidR="00260D7F">
        <w:rPr>
          <w:b/>
        </w:rPr>
        <w:t xml:space="preserve">Coexistence and Regulatory </w:t>
      </w:r>
      <w:r w:rsidR="004D3036">
        <w:rPr>
          <w:b/>
        </w:rPr>
        <w:t>Considerations</w:t>
      </w:r>
    </w:p>
    <w:p w:rsidR="00F75ACF" w:rsidRPr="00EB3081" w:rsidRDefault="00092F69" w:rsidP="00092F69">
      <w:pPr>
        <w:pBdr>
          <w:bottom w:val="single" w:sz="4" w:space="3" w:color="auto"/>
        </w:pBdr>
        <w:spacing w:after="120"/>
        <w:ind w:left="2160" w:hanging="2160"/>
        <w:rPr>
          <w:b/>
        </w:rPr>
      </w:pPr>
      <w:r w:rsidRPr="00EB3081">
        <w:rPr>
          <w:b/>
        </w:rPr>
        <w:t>Document for:</w:t>
      </w:r>
      <w:r w:rsidRPr="00EB3081">
        <w:rPr>
          <w:b/>
        </w:rPr>
        <w:tab/>
      </w:r>
      <w:r w:rsidR="007E78A3" w:rsidRPr="00EB3081">
        <w:rPr>
          <w:b/>
        </w:rPr>
        <w:t>Discussion</w:t>
      </w:r>
    </w:p>
    <w:p w:rsidR="00B16CA3" w:rsidRDefault="00692115" w:rsidP="00BD5727">
      <w:pPr>
        <w:pStyle w:val="Head1Mine"/>
      </w:pPr>
      <w:r>
        <w:t>Introduction</w:t>
      </w:r>
    </w:p>
    <w:p w:rsidR="00260D7F" w:rsidRDefault="00260D7F" w:rsidP="00714B4D">
      <w:pPr>
        <w:pStyle w:val="StandardText"/>
        <w:rPr>
          <w:lang w:val="en-GB"/>
        </w:rPr>
      </w:pPr>
      <w:r>
        <w:rPr>
          <w:lang w:val="en-GB"/>
        </w:rPr>
        <w:t>This contribution discusses two aspects related to Band 23</w:t>
      </w:r>
      <w:r w:rsidR="0032362A">
        <w:rPr>
          <w:lang w:val="en-GB"/>
        </w:rPr>
        <w:t>:</w:t>
      </w:r>
      <w:r>
        <w:rPr>
          <w:lang w:val="en-GB"/>
        </w:rPr>
        <w:t xml:space="preserve"> </w:t>
      </w:r>
      <w:r w:rsidR="0032362A">
        <w:rPr>
          <w:lang w:val="en-GB"/>
        </w:rPr>
        <w:t>first, potential</w:t>
      </w:r>
      <w:r>
        <w:rPr>
          <w:lang w:val="en-GB"/>
        </w:rPr>
        <w:t xml:space="preserve"> </w:t>
      </w:r>
      <w:r w:rsidR="0032362A">
        <w:rPr>
          <w:lang w:val="en-GB"/>
        </w:rPr>
        <w:t>steps</w:t>
      </w:r>
      <w:r>
        <w:rPr>
          <w:lang w:val="en-GB"/>
        </w:rPr>
        <w:t xml:space="preserve"> to improve the coexistence conditions with respect to Band 25, and </w:t>
      </w:r>
      <w:r w:rsidR="0032362A">
        <w:rPr>
          <w:lang w:val="en-GB"/>
        </w:rPr>
        <w:t>second, clarification of</w:t>
      </w:r>
      <w:r>
        <w:rPr>
          <w:lang w:val="en-GB"/>
        </w:rPr>
        <w:t xml:space="preserve"> the FCC requirements and </w:t>
      </w:r>
      <w:r w:rsidR="0032362A">
        <w:rPr>
          <w:lang w:val="en-GB"/>
        </w:rPr>
        <w:t xml:space="preserve">revisions to the </w:t>
      </w:r>
      <w:r>
        <w:rPr>
          <w:lang w:val="en-GB"/>
        </w:rPr>
        <w:t xml:space="preserve">specifications to </w:t>
      </w:r>
      <w:r w:rsidR="0032362A">
        <w:rPr>
          <w:lang w:val="en-GB"/>
        </w:rPr>
        <w:t>better reflect the FCC requirements</w:t>
      </w:r>
      <w:r>
        <w:rPr>
          <w:lang w:val="en-GB"/>
        </w:rPr>
        <w:t>.</w:t>
      </w:r>
    </w:p>
    <w:p w:rsidR="00B551AA" w:rsidRDefault="00C91FB3" w:rsidP="00714B4D">
      <w:pPr>
        <w:pStyle w:val="StandardText"/>
        <w:rPr>
          <w:lang w:val="en-GB"/>
        </w:rPr>
      </w:pPr>
      <w:r>
        <w:rPr>
          <w:lang w:val="en-GB"/>
        </w:rPr>
        <w:t>Band 23 contains stringent A-MPR for UE transmissions in 2000-2010 MHz</w:t>
      </w:r>
      <w:r w:rsidR="00D814AC">
        <w:rPr>
          <w:lang w:val="en-GB"/>
        </w:rPr>
        <w:t xml:space="preserve"> to remain below the required emissions levels</w:t>
      </w:r>
      <w:r>
        <w:rPr>
          <w:lang w:val="en-GB"/>
        </w:rPr>
        <w:t xml:space="preserve">.  </w:t>
      </w:r>
      <w:r w:rsidR="00B551AA">
        <w:rPr>
          <w:lang w:val="en-GB"/>
        </w:rPr>
        <w:t>If gr</w:t>
      </w:r>
      <w:r>
        <w:rPr>
          <w:lang w:val="en-GB"/>
        </w:rPr>
        <w:t xml:space="preserve">eater transmit frequency separation from the 2000 MHz band edge </w:t>
      </w:r>
      <w:r w:rsidR="00B551AA">
        <w:rPr>
          <w:lang w:val="en-GB"/>
        </w:rPr>
        <w:t>were available, benefits would include:</w:t>
      </w:r>
    </w:p>
    <w:p w:rsidR="00B551AA" w:rsidRDefault="00B551AA" w:rsidP="00B551AA">
      <w:pPr>
        <w:pStyle w:val="StandardText"/>
        <w:numPr>
          <w:ilvl w:val="0"/>
          <w:numId w:val="20"/>
        </w:numPr>
        <w:spacing w:after="0"/>
        <w:ind w:left="778"/>
        <w:rPr>
          <w:lang w:val="en-GB"/>
        </w:rPr>
      </w:pPr>
      <w:r>
        <w:rPr>
          <w:lang w:val="en-GB"/>
        </w:rPr>
        <w:t>Reduce</w:t>
      </w:r>
      <w:r w:rsidR="00D814AC">
        <w:rPr>
          <w:lang w:val="en-GB"/>
        </w:rPr>
        <w:t>d</w:t>
      </w:r>
      <w:r>
        <w:rPr>
          <w:lang w:val="en-GB"/>
        </w:rPr>
        <w:t xml:space="preserve"> A-MPR requirements</w:t>
      </w:r>
    </w:p>
    <w:p w:rsidR="00B551AA" w:rsidRDefault="00B551AA" w:rsidP="00B551AA">
      <w:pPr>
        <w:pStyle w:val="StandardText"/>
        <w:numPr>
          <w:ilvl w:val="0"/>
          <w:numId w:val="20"/>
        </w:numPr>
        <w:spacing w:after="0"/>
        <w:ind w:left="778"/>
        <w:rPr>
          <w:lang w:val="en-GB"/>
        </w:rPr>
      </w:pPr>
      <w:r>
        <w:rPr>
          <w:lang w:val="en-GB"/>
        </w:rPr>
        <w:t>Improve</w:t>
      </w:r>
      <w:r w:rsidR="00D814AC">
        <w:rPr>
          <w:lang w:val="en-GB"/>
        </w:rPr>
        <w:t>d</w:t>
      </w:r>
      <w:r>
        <w:rPr>
          <w:lang w:val="en-GB"/>
        </w:rPr>
        <w:t xml:space="preserve"> emissions attenuation below 2000 MHz</w:t>
      </w:r>
    </w:p>
    <w:p w:rsidR="00B551AA" w:rsidRDefault="00B551AA" w:rsidP="00B551AA">
      <w:pPr>
        <w:pStyle w:val="StandardText"/>
        <w:numPr>
          <w:ilvl w:val="0"/>
          <w:numId w:val="20"/>
        </w:numPr>
        <w:spacing w:after="0"/>
        <w:ind w:left="778"/>
        <w:rPr>
          <w:lang w:val="en-GB"/>
        </w:rPr>
      </w:pPr>
      <w:r>
        <w:rPr>
          <w:lang w:val="en-GB"/>
        </w:rPr>
        <w:t>Improve</w:t>
      </w:r>
      <w:r w:rsidR="00D814AC">
        <w:rPr>
          <w:lang w:val="en-GB"/>
        </w:rPr>
        <w:t>d</w:t>
      </w:r>
      <w:r>
        <w:rPr>
          <w:lang w:val="en-GB"/>
        </w:rPr>
        <w:t xml:space="preserve"> Band 25 receiver blocking performance</w:t>
      </w:r>
    </w:p>
    <w:p w:rsidR="00C91FB3" w:rsidRDefault="00B551AA" w:rsidP="00B551AA">
      <w:pPr>
        <w:pStyle w:val="StandardText"/>
        <w:numPr>
          <w:ilvl w:val="0"/>
          <w:numId w:val="20"/>
        </w:numPr>
        <w:rPr>
          <w:lang w:val="en-GB"/>
        </w:rPr>
      </w:pPr>
      <w:r>
        <w:rPr>
          <w:lang w:val="en-GB"/>
        </w:rPr>
        <w:t>Improve</w:t>
      </w:r>
      <w:r w:rsidR="00D814AC">
        <w:rPr>
          <w:lang w:val="en-GB"/>
        </w:rPr>
        <w:t>d</w:t>
      </w:r>
      <w:r>
        <w:rPr>
          <w:lang w:val="en-GB"/>
        </w:rPr>
        <w:t xml:space="preserve"> Band 23 e-Node B selectivity from Band 25 transmissions.</w:t>
      </w:r>
      <w:r w:rsidR="00C91FB3">
        <w:rPr>
          <w:lang w:val="en-GB"/>
        </w:rPr>
        <w:t xml:space="preserve"> </w:t>
      </w:r>
    </w:p>
    <w:p w:rsidR="00B551AA" w:rsidRDefault="00B551AA" w:rsidP="00714B4D">
      <w:pPr>
        <w:pStyle w:val="StandardText"/>
        <w:rPr>
          <w:lang w:val="en-GB"/>
        </w:rPr>
      </w:pPr>
      <w:r>
        <w:rPr>
          <w:lang w:val="en-GB"/>
        </w:rPr>
        <w:t xml:space="preserve">The current A-MPR specifications in TS 36.101 assumed more stringent linear interpolation rules than indicated by </w:t>
      </w:r>
      <w:r w:rsidR="00D814AC">
        <w:rPr>
          <w:lang w:val="en-GB"/>
        </w:rPr>
        <w:t xml:space="preserve">the </w:t>
      </w:r>
      <w:r>
        <w:rPr>
          <w:lang w:val="en-GB"/>
        </w:rPr>
        <w:t xml:space="preserve">FCC rules.  </w:t>
      </w:r>
    </w:p>
    <w:p w:rsidR="00496CD2" w:rsidRDefault="003960EF" w:rsidP="006731EA">
      <w:pPr>
        <w:pStyle w:val="StandardText"/>
        <w:rPr>
          <w:lang w:val="en-GB"/>
        </w:rPr>
      </w:pPr>
      <w:r>
        <w:rPr>
          <w:lang w:val="en-GB"/>
        </w:rPr>
        <w:t>Correction of the linear interpolation rules combined with an adjustment to E-UTRA channel placement for intra-operator use would provide greater frequency separation from the 2000 MHz boundary.</w:t>
      </w:r>
    </w:p>
    <w:p w:rsidR="008F23A9" w:rsidRPr="008F23A9" w:rsidRDefault="003960EF" w:rsidP="008F23A9">
      <w:pPr>
        <w:pStyle w:val="Head1Mine"/>
      </w:pPr>
      <w:r>
        <w:t>Discussion</w:t>
      </w:r>
    </w:p>
    <w:p w:rsidR="00496CD2" w:rsidRDefault="003960EF" w:rsidP="00714B4D">
      <w:pPr>
        <w:rPr>
          <w:sz w:val="22"/>
          <w:szCs w:val="20"/>
          <w:lang w:val="en-GB"/>
        </w:rPr>
      </w:pPr>
      <w:r>
        <w:rPr>
          <w:sz w:val="22"/>
          <w:szCs w:val="20"/>
          <w:lang w:val="en-GB"/>
        </w:rPr>
        <w:t>Normally, E-UTRA channels are placed as defined in TS 36.101 and shown in</w:t>
      </w:r>
      <w:r w:rsidR="00D814AC">
        <w:rPr>
          <w:sz w:val="22"/>
          <w:szCs w:val="20"/>
          <w:lang w:val="en-GB"/>
        </w:rPr>
        <w:t xml:space="preserve"> the upper half of</w:t>
      </w:r>
      <w:r>
        <w:rPr>
          <w:sz w:val="22"/>
          <w:szCs w:val="20"/>
          <w:lang w:val="en-GB"/>
        </w:rPr>
        <w:t xml:space="preserve"> Figure 1</w:t>
      </w:r>
      <w:r w:rsidR="00D814AC">
        <w:rPr>
          <w:sz w:val="22"/>
          <w:szCs w:val="20"/>
          <w:lang w:val="en-GB"/>
        </w:rPr>
        <w:t xml:space="preserve">, </w:t>
      </w:r>
      <w:r>
        <w:rPr>
          <w:sz w:val="22"/>
          <w:szCs w:val="20"/>
          <w:lang w:val="en-GB"/>
        </w:rPr>
        <w:t xml:space="preserve">for inter-operator </w:t>
      </w:r>
      <w:r w:rsidR="006731EA">
        <w:rPr>
          <w:sz w:val="22"/>
          <w:szCs w:val="20"/>
          <w:lang w:val="en-GB"/>
        </w:rPr>
        <w:t>spacing</w:t>
      </w:r>
      <w:r>
        <w:rPr>
          <w:sz w:val="22"/>
          <w:szCs w:val="20"/>
          <w:lang w:val="en-GB"/>
        </w:rPr>
        <w:t>.</w:t>
      </w:r>
      <w:r w:rsidR="00D814AC">
        <w:rPr>
          <w:sz w:val="22"/>
          <w:szCs w:val="20"/>
          <w:lang w:val="en-GB"/>
        </w:rPr>
        <w:t xml:space="preserve">  A 10 MHz channel consists of a 9 MHz transmission bandwidth and 500 kHz of unused blocks on each side of the channel.</w:t>
      </w:r>
    </w:p>
    <w:p w:rsidR="003960EF" w:rsidRDefault="003960EF" w:rsidP="00714B4D">
      <w:pPr>
        <w:rPr>
          <w:sz w:val="22"/>
          <w:szCs w:val="20"/>
          <w:lang w:val="en-GB"/>
        </w:rPr>
      </w:pPr>
    </w:p>
    <w:p w:rsidR="003960EF" w:rsidRDefault="003960EF" w:rsidP="006731EA">
      <w:pPr>
        <w:jc w:val="center"/>
        <w:rPr>
          <w:sz w:val="22"/>
          <w:szCs w:val="20"/>
          <w:lang w:val="en-GB"/>
        </w:rPr>
      </w:pPr>
      <w:r w:rsidRPr="003960EF">
        <w:rPr>
          <w:noProof/>
        </w:rPr>
        <w:drawing>
          <wp:inline distT="0" distB="0" distL="0" distR="0">
            <wp:extent cx="4194551" cy="19145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204548" cy="1919088"/>
                    </a:xfrm>
                    <a:prstGeom prst="rect">
                      <a:avLst/>
                    </a:prstGeom>
                    <a:noFill/>
                    <a:ln w="9525">
                      <a:noFill/>
                      <a:miter lim="800000"/>
                      <a:headEnd/>
                      <a:tailEnd/>
                    </a:ln>
                  </pic:spPr>
                </pic:pic>
              </a:graphicData>
            </a:graphic>
          </wp:inline>
        </w:drawing>
      </w:r>
    </w:p>
    <w:p w:rsidR="003960EF" w:rsidRPr="006731EA" w:rsidRDefault="006731EA" w:rsidP="006731EA">
      <w:pPr>
        <w:jc w:val="center"/>
        <w:rPr>
          <w:b/>
          <w:sz w:val="22"/>
          <w:szCs w:val="20"/>
          <w:lang w:val="en-GB"/>
        </w:rPr>
      </w:pPr>
      <w:r w:rsidRPr="006731EA">
        <w:rPr>
          <w:b/>
          <w:sz w:val="22"/>
          <w:szCs w:val="20"/>
          <w:lang w:val="en-GB"/>
        </w:rPr>
        <w:t>Figure 1: E-UTRA Channel Placement with Inter-operator and Intra-operator Spacing</w:t>
      </w:r>
    </w:p>
    <w:p w:rsidR="003960EF" w:rsidRDefault="003960EF" w:rsidP="00714B4D">
      <w:pPr>
        <w:rPr>
          <w:sz w:val="22"/>
          <w:szCs w:val="20"/>
          <w:lang w:val="en-GB"/>
        </w:rPr>
      </w:pPr>
    </w:p>
    <w:p w:rsidR="006731EA" w:rsidRDefault="006731EA" w:rsidP="006731EA">
      <w:pPr>
        <w:spacing w:after="120"/>
        <w:rPr>
          <w:sz w:val="22"/>
          <w:szCs w:val="20"/>
          <w:lang w:val="en-GB"/>
        </w:rPr>
      </w:pPr>
      <w:r>
        <w:rPr>
          <w:sz w:val="22"/>
          <w:szCs w:val="20"/>
          <w:lang w:val="en-GB"/>
        </w:rPr>
        <w:t xml:space="preserve">The </w:t>
      </w:r>
      <w:r w:rsidR="001B0E5E">
        <w:rPr>
          <w:sz w:val="22"/>
          <w:szCs w:val="20"/>
          <w:lang w:val="en-GB"/>
        </w:rPr>
        <w:t xml:space="preserve">unused channels provide frequency space to reduce </w:t>
      </w:r>
      <w:r>
        <w:rPr>
          <w:sz w:val="22"/>
          <w:szCs w:val="20"/>
          <w:lang w:val="en-GB"/>
        </w:rPr>
        <w:t xml:space="preserve">emissions </w:t>
      </w:r>
      <w:r w:rsidR="001B0E5E">
        <w:rPr>
          <w:sz w:val="22"/>
          <w:szCs w:val="20"/>
          <w:lang w:val="en-GB"/>
        </w:rPr>
        <w:t xml:space="preserve">into </w:t>
      </w:r>
      <w:r>
        <w:rPr>
          <w:sz w:val="22"/>
          <w:szCs w:val="20"/>
          <w:lang w:val="en-GB"/>
        </w:rPr>
        <w:t>adjacent channels</w:t>
      </w:r>
      <w:r w:rsidR="001B0E5E">
        <w:rPr>
          <w:sz w:val="22"/>
          <w:szCs w:val="20"/>
          <w:lang w:val="en-GB"/>
        </w:rPr>
        <w:t xml:space="preserve"> in cases where the channels are </w:t>
      </w:r>
      <w:r>
        <w:rPr>
          <w:sz w:val="22"/>
          <w:szCs w:val="20"/>
          <w:lang w:val="en-GB"/>
        </w:rPr>
        <w:t>used on different, non-co-located e-Node Bs.</w:t>
      </w:r>
    </w:p>
    <w:p w:rsidR="006731EA" w:rsidRDefault="00AE3DC1" w:rsidP="006731EA">
      <w:pPr>
        <w:spacing w:after="120"/>
        <w:rPr>
          <w:sz w:val="22"/>
          <w:szCs w:val="20"/>
          <w:lang w:val="en-GB"/>
        </w:rPr>
      </w:pPr>
      <w:r>
        <w:rPr>
          <w:sz w:val="22"/>
          <w:szCs w:val="20"/>
          <w:lang w:val="en-GB"/>
        </w:rPr>
        <w:lastRenderedPageBreak/>
        <w:t>An UTRA contribution acknowledged that</w:t>
      </w:r>
      <w:r w:rsidR="00C37803">
        <w:rPr>
          <w:sz w:val="22"/>
          <w:szCs w:val="20"/>
          <w:lang w:val="en-GB"/>
        </w:rPr>
        <w:t xml:space="preserve"> </w:t>
      </w:r>
      <w:r>
        <w:rPr>
          <w:sz w:val="22"/>
          <w:szCs w:val="20"/>
          <w:lang w:val="en-GB"/>
        </w:rPr>
        <w:t xml:space="preserve">intra-operator channel spacing could be less than that of inter-operator spacing [2].  </w:t>
      </w:r>
      <w:r w:rsidR="006731EA">
        <w:rPr>
          <w:sz w:val="22"/>
          <w:szCs w:val="20"/>
          <w:lang w:val="en-GB"/>
        </w:rPr>
        <w:t xml:space="preserve">When different E-UTRA channels are </w:t>
      </w:r>
      <w:r w:rsidR="001B0E5E">
        <w:rPr>
          <w:sz w:val="22"/>
          <w:szCs w:val="20"/>
          <w:lang w:val="en-GB"/>
        </w:rPr>
        <w:t>employe</w:t>
      </w:r>
      <w:r w:rsidR="006731EA">
        <w:rPr>
          <w:sz w:val="22"/>
          <w:szCs w:val="20"/>
          <w:lang w:val="en-GB"/>
        </w:rPr>
        <w:t xml:space="preserve">d within the same e-Node B, </w:t>
      </w:r>
      <w:r>
        <w:rPr>
          <w:sz w:val="22"/>
          <w:szCs w:val="20"/>
          <w:lang w:val="en-GB"/>
        </w:rPr>
        <w:t xml:space="preserve">a similar reduction to </w:t>
      </w:r>
      <w:r w:rsidR="006731EA">
        <w:rPr>
          <w:sz w:val="22"/>
          <w:szCs w:val="20"/>
          <w:lang w:val="en-GB"/>
        </w:rPr>
        <w:t xml:space="preserve">the inter-operator </w:t>
      </w:r>
      <w:r w:rsidR="001B0E5E">
        <w:rPr>
          <w:sz w:val="22"/>
          <w:szCs w:val="20"/>
          <w:lang w:val="en-GB"/>
        </w:rPr>
        <w:t xml:space="preserve">frequency </w:t>
      </w:r>
      <w:r w:rsidR="006731EA">
        <w:rPr>
          <w:sz w:val="22"/>
          <w:szCs w:val="20"/>
          <w:lang w:val="en-GB"/>
        </w:rPr>
        <w:t xml:space="preserve">spacing </w:t>
      </w:r>
      <w:r>
        <w:rPr>
          <w:sz w:val="22"/>
          <w:szCs w:val="20"/>
          <w:lang w:val="en-GB"/>
        </w:rPr>
        <w:t>may be made</w:t>
      </w:r>
      <w:r w:rsidR="006731EA">
        <w:rPr>
          <w:sz w:val="22"/>
          <w:szCs w:val="20"/>
          <w:lang w:val="en-GB"/>
        </w:rPr>
        <w:t xml:space="preserve">.  UEs assigned to adjacent channels employ power control similarly when near the tower, avoiding intra-operator, inter-channel interference.  The intra-operator spacing shown in the lower half of Figure 1 may be employed without </w:t>
      </w:r>
      <w:r w:rsidR="001B0E5E">
        <w:rPr>
          <w:sz w:val="22"/>
          <w:szCs w:val="20"/>
          <w:lang w:val="en-GB"/>
        </w:rPr>
        <w:t xml:space="preserve">a </w:t>
      </w:r>
      <w:r w:rsidR="006731EA">
        <w:rPr>
          <w:sz w:val="22"/>
          <w:szCs w:val="20"/>
          <w:lang w:val="en-GB"/>
        </w:rPr>
        <w:t>reduction in performance.</w:t>
      </w:r>
    </w:p>
    <w:p w:rsidR="00DF6E9D" w:rsidRDefault="001B0E5E" w:rsidP="006731EA">
      <w:pPr>
        <w:spacing w:after="120"/>
        <w:rPr>
          <w:sz w:val="22"/>
          <w:szCs w:val="20"/>
          <w:lang w:val="en-GB"/>
        </w:rPr>
      </w:pPr>
      <w:r>
        <w:rPr>
          <w:sz w:val="22"/>
          <w:szCs w:val="20"/>
          <w:lang w:val="en-GB"/>
        </w:rPr>
        <w:t>The intra-operator configuration increases</w:t>
      </w:r>
      <w:r w:rsidR="00DF6E9D">
        <w:rPr>
          <w:sz w:val="22"/>
          <w:szCs w:val="20"/>
          <w:lang w:val="en-GB"/>
        </w:rPr>
        <w:t xml:space="preserve"> the corner offset</w:t>
      </w:r>
      <w:r>
        <w:rPr>
          <w:sz w:val="22"/>
          <w:szCs w:val="20"/>
          <w:lang w:val="en-GB"/>
        </w:rPr>
        <w:t xml:space="preserve"> size</w:t>
      </w:r>
      <w:r w:rsidR="00DF6E9D">
        <w:rPr>
          <w:sz w:val="22"/>
          <w:szCs w:val="20"/>
          <w:lang w:val="en-GB"/>
        </w:rPr>
        <w:t xml:space="preserve"> from 500 kHz to 1.5 MHz.</w:t>
      </w:r>
      <w:r>
        <w:rPr>
          <w:sz w:val="22"/>
          <w:szCs w:val="20"/>
          <w:lang w:val="en-GB"/>
        </w:rPr>
        <w:t xml:space="preserve">  This additional frequency spacing may be used to improve UE RF filter performance, reducing emissions and easing the A-MPR restrictions.</w:t>
      </w:r>
    </w:p>
    <w:p w:rsidR="00DF6E9D" w:rsidRDefault="00DF6E9D" w:rsidP="006731EA">
      <w:pPr>
        <w:spacing w:after="120"/>
        <w:rPr>
          <w:sz w:val="22"/>
          <w:szCs w:val="20"/>
          <w:lang w:val="en-GB"/>
        </w:rPr>
      </w:pPr>
      <w:r>
        <w:rPr>
          <w:sz w:val="22"/>
          <w:szCs w:val="20"/>
          <w:lang w:val="en-GB"/>
        </w:rPr>
        <w:t xml:space="preserve">Second, the Band 23 A-MPR requirements were calculated </w:t>
      </w:r>
      <w:r w:rsidR="005D6565">
        <w:rPr>
          <w:sz w:val="22"/>
          <w:szCs w:val="20"/>
          <w:lang w:val="en-GB"/>
        </w:rPr>
        <w:t xml:space="preserve">using a decibel scale interpolation of emissions from </w:t>
      </w:r>
      <w:r>
        <w:rPr>
          <w:sz w:val="22"/>
          <w:szCs w:val="20"/>
          <w:lang w:val="en-GB"/>
        </w:rPr>
        <w:t>2000 MHz to 1995 MHz.  The FCC rule states a linear interpolation of attenuation below the transmit power in watts</w:t>
      </w:r>
      <w:r w:rsidR="00121730">
        <w:rPr>
          <w:sz w:val="22"/>
          <w:szCs w:val="20"/>
          <w:lang w:val="en-GB"/>
        </w:rPr>
        <w:t xml:space="preserve"> [1]</w:t>
      </w:r>
      <w:r>
        <w:rPr>
          <w:sz w:val="22"/>
          <w:szCs w:val="20"/>
          <w:lang w:val="en-GB"/>
        </w:rPr>
        <w:t>.  The decibel scale is nonlinear</w:t>
      </w:r>
      <w:r w:rsidR="00F2496F">
        <w:rPr>
          <w:sz w:val="22"/>
          <w:szCs w:val="20"/>
          <w:lang w:val="en-GB"/>
        </w:rPr>
        <w:t xml:space="preserve"> by definition</w:t>
      </w:r>
      <w:r>
        <w:rPr>
          <w:sz w:val="22"/>
          <w:szCs w:val="20"/>
          <w:lang w:val="en-GB"/>
        </w:rPr>
        <w:t>, and thus should not have been used in the interpolation process.</w:t>
      </w:r>
    </w:p>
    <w:p w:rsidR="00DF6E9D" w:rsidRDefault="00DF6E9D" w:rsidP="006731EA">
      <w:pPr>
        <w:spacing w:after="120"/>
        <w:rPr>
          <w:sz w:val="22"/>
          <w:szCs w:val="20"/>
          <w:lang w:val="en-GB"/>
        </w:rPr>
      </w:pPr>
      <w:r>
        <w:rPr>
          <w:sz w:val="22"/>
          <w:szCs w:val="20"/>
          <w:lang w:val="en-GB"/>
        </w:rPr>
        <w:t>The correct interpolation process is indicated in Table 1:</w:t>
      </w:r>
    </w:p>
    <w:tbl>
      <w:tblPr>
        <w:tblW w:w="6160" w:type="dxa"/>
        <w:jc w:val="center"/>
        <w:tblInd w:w="93" w:type="dxa"/>
        <w:tblLook w:val="04A0"/>
      </w:tblPr>
      <w:tblGrid>
        <w:gridCol w:w="2040"/>
        <w:gridCol w:w="1340"/>
        <w:gridCol w:w="1400"/>
        <w:gridCol w:w="1380"/>
      </w:tblGrid>
      <w:tr w:rsidR="00DF6E9D" w:rsidRPr="00DF6E9D" w:rsidTr="00DF6E9D">
        <w:trPr>
          <w:trHeight w:val="600"/>
          <w:jc w:val="center"/>
        </w:trPr>
        <w:tc>
          <w:tcPr>
            <w:tcW w:w="2040" w:type="dxa"/>
            <w:tcBorders>
              <w:top w:val="nil"/>
              <w:left w:val="nil"/>
              <w:bottom w:val="nil"/>
              <w:right w:val="nil"/>
            </w:tcBorders>
            <w:shd w:val="clear" w:color="auto" w:fill="auto"/>
            <w:noWrap/>
            <w:vAlign w:val="bottom"/>
            <w:hideMark/>
          </w:tcPr>
          <w:p w:rsidR="00DF6E9D" w:rsidRPr="00DF6E9D" w:rsidRDefault="00DF6E9D" w:rsidP="00DF6E9D">
            <w:pPr>
              <w:rPr>
                <w:rFonts w:ascii="Arial" w:hAnsi="Arial" w:cs="Arial"/>
                <w:color w:val="000000"/>
                <w:sz w:val="22"/>
                <w:szCs w:val="22"/>
              </w:rPr>
            </w:pP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6E9D" w:rsidRPr="00DF6E9D" w:rsidRDefault="00DF6E9D" w:rsidP="00DF6E9D">
            <w:pPr>
              <w:jc w:val="center"/>
              <w:rPr>
                <w:rFonts w:ascii="Arial" w:hAnsi="Arial" w:cs="Arial"/>
                <w:b/>
                <w:bCs/>
                <w:color w:val="000000"/>
                <w:sz w:val="22"/>
                <w:szCs w:val="22"/>
              </w:rPr>
            </w:pPr>
            <w:r w:rsidRPr="00DF6E9D">
              <w:rPr>
                <w:rFonts w:ascii="Arial" w:hAnsi="Arial" w:cs="Arial"/>
                <w:b/>
                <w:bCs/>
                <w:color w:val="000000"/>
                <w:sz w:val="22"/>
                <w:szCs w:val="22"/>
              </w:rPr>
              <w:t>Frequency (MHz)</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DF6E9D" w:rsidRPr="00DF6E9D" w:rsidRDefault="00DF6E9D" w:rsidP="00DF6E9D">
            <w:pPr>
              <w:jc w:val="center"/>
              <w:rPr>
                <w:rFonts w:ascii="Arial" w:hAnsi="Arial" w:cs="Arial"/>
                <w:b/>
                <w:bCs/>
                <w:color w:val="000000"/>
                <w:sz w:val="22"/>
                <w:szCs w:val="22"/>
              </w:rPr>
            </w:pPr>
            <w:r w:rsidRPr="00DF6E9D">
              <w:rPr>
                <w:rFonts w:ascii="Arial" w:hAnsi="Arial" w:cs="Arial"/>
                <w:b/>
                <w:bCs/>
                <w:color w:val="000000"/>
                <w:sz w:val="22"/>
                <w:szCs w:val="22"/>
              </w:rPr>
              <w:t>Power (mW)</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DF6E9D" w:rsidRPr="00DF6E9D" w:rsidRDefault="00DF6E9D" w:rsidP="00DF6E9D">
            <w:pPr>
              <w:jc w:val="center"/>
              <w:rPr>
                <w:rFonts w:ascii="Arial" w:hAnsi="Arial" w:cs="Arial"/>
                <w:b/>
                <w:bCs/>
                <w:color w:val="000000"/>
                <w:sz w:val="22"/>
                <w:szCs w:val="22"/>
              </w:rPr>
            </w:pPr>
            <w:r w:rsidRPr="00DF6E9D">
              <w:rPr>
                <w:rFonts w:ascii="Arial" w:hAnsi="Arial" w:cs="Arial"/>
                <w:b/>
                <w:bCs/>
                <w:color w:val="000000"/>
                <w:sz w:val="22"/>
                <w:szCs w:val="22"/>
              </w:rPr>
              <w:t>Power (dBm)</w:t>
            </w:r>
          </w:p>
        </w:tc>
      </w:tr>
      <w:tr w:rsidR="00DF6E9D" w:rsidRPr="00DF6E9D" w:rsidTr="00DF6E9D">
        <w:trPr>
          <w:trHeight w:val="285"/>
          <w:jc w:val="center"/>
        </w:trPr>
        <w:tc>
          <w:tcPr>
            <w:tcW w:w="20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F6E9D" w:rsidRPr="00DF6E9D" w:rsidRDefault="00DF6E9D" w:rsidP="00DF6E9D">
            <w:pPr>
              <w:jc w:val="center"/>
              <w:rPr>
                <w:rFonts w:ascii="Arial" w:hAnsi="Arial" w:cs="Arial"/>
                <w:color w:val="000000"/>
                <w:sz w:val="22"/>
                <w:szCs w:val="22"/>
              </w:rPr>
            </w:pPr>
            <w:r w:rsidRPr="00DF6E9D">
              <w:rPr>
                <w:rFonts w:ascii="Arial" w:hAnsi="Arial" w:cs="Arial"/>
                <w:color w:val="000000"/>
                <w:sz w:val="22"/>
                <w:szCs w:val="22"/>
              </w:rPr>
              <w:t xml:space="preserve">Linear Interpolation by </w:t>
            </w:r>
            <w:r>
              <w:rPr>
                <w:rFonts w:ascii="Arial" w:hAnsi="Arial" w:cs="Arial"/>
                <w:color w:val="000000"/>
                <w:sz w:val="22"/>
                <w:szCs w:val="22"/>
              </w:rPr>
              <w:t>watts</w:t>
            </w:r>
          </w:p>
        </w:tc>
        <w:tc>
          <w:tcPr>
            <w:tcW w:w="1340" w:type="dxa"/>
            <w:tcBorders>
              <w:top w:val="nil"/>
              <w:left w:val="nil"/>
              <w:bottom w:val="single" w:sz="4" w:space="0" w:color="auto"/>
              <w:right w:val="nil"/>
            </w:tcBorders>
            <w:shd w:val="clear" w:color="auto" w:fill="auto"/>
            <w:vAlign w:val="center"/>
            <w:hideMark/>
          </w:tcPr>
          <w:p w:rsidR="00DF6E9D" w:rsidRPr="00DF6E9D" w:rsidRDefault="00DF6E9D" w:rsidP="00DF6E9D">
            <w:pPr>
              <w:jc w:val="center"/>
              <w:rPr>
                <w:rFonts w:ascii="Arial" w:hAnsi="Arial" w:cs="Arial"/>
                <w:color w:val="000000"/>
                <w:sz w:val="22"/>
                <w:szCs w:val="22"/>
              </w:rPr>
            </w:pPr>
            <w:r w:rsidRPr="00DF6E9D">
              <w:rPr>
                <w:rFonts w:ascii="Arial" w:hAnsi="Arial" w:cs="Arial"/>
                <w:color w:val="000000"/>
                <w:sz w:val="22"/>
                <w:szCs w:val="22"/>
              </w:rPr>
              <w:t>2000</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DF6E9D" w:rsidRPr="00DF6E9D" w:rsidRDefault="00DF6E9D" w:rsidP="00DF6E9D">
            <w:pPr>
              <w:jc w:val="center"/>
              <w:rPr>
                <w:rFonts w:ascii="Arial" w:hAnsi="Arial" w:cs="Arial"/>
                <w:color w:val="000000"/>
                <w:sz w:val="22"/>
                <w:szCs w:val="22"/>
              </w:rPr>
            </w:pPr>
            <w:r w:rsidRPr="00DF6E9D">
              <w:rPr>
                <w:rFonts w:ascii="Arial" w:hAnsi="Arial" w:cs="Arial"/>
                <w:color w:val="000000"/>
                <w:sz w:val="22"/>
                <w:szCs w:val="22"/>
              </w:rPr>
              <w:t>0.050</w:t>
            </w:r>
          </w:p>
        </w:tc>
        <w:tc>
          <w:tcPr>
            <w:tcW w:w="1380" w:type="dxa"/>
            <w:tcBorders>
              <w:top w:val="nil"/>
              <w:left w:val="nil"/>
              <w:bottom w:val="single" w:sz="4" w:space="0" w:color="auto"/>
              <w:right w:val="single" w:sz="4" w:space="0" w:color="auto"/>
            </w:tcBorders>
            <w:shd w:val="clear" w:color="auto" w:fill="auto"/>
            <w:vAlign w:val="center"/>
            <w:hideMark/>
          </w:tcPr>
          <w:p w:rsidR="00DF6E9D" w:rsidRPr="00DF6E9D" w:rsidRDefault="00DF6E9D" w:rsidP="00DF6E9D">
            <w:pPr>
              <w:jc w:val="center"/>
              <w:rPr>
                <w:rFonts w:ascii="Arial" w:hAnsi="Arial" w:cs="Arial"/>
                <w:color w:val="000000"/>
                <w:sz w:val="22"/>
                <w:szCs w:val="22"/>
              </w:rPr>
            </w:pPr>
            <w:r w:rsidRPr="00DF6E9D">
              <w:rPr>
                <w:rFonts w:ascii="Arial" w:hAnsi="Arial" w:cs="Arial"/>
                <w:color w:val="000000"/>
                <w:sz w:val="22"/>
                <w:szCs w:val="22"/>
              </w:rPr>
              <w:t>-13</w:t>
            </w:r>
          </w:p>
        </w:tc>
      </w:tr>
      <w:tr w:rsidR="00DF6E9D" w:rsidRPr="00DF6E9D" w:rsidTr="00DF6E9D">
        <w:trPr>
          <w:trHeight w:val="285"/>
          <w:jc w:val="center"/>
        </w:trPr>
        <w:tc>
          <w:tcPr>
            <w:tcW w:w="2040" w:type="dxa"/>
            <w:vMerge/>
            <w:tcBorders>
              <w:top w:val="single" w:sz="4" w:space="0" w:color="auto"/>
              <w:left w:val="single" w:sz="4" w:space="0" w:color="auto"/>
              <w:bottom w:val="single" w:sz="4" w:space="0" w:color="000000"/>
              <w:right w:val="single" w:sz="4" w:space="0" w:color="auto"/>
            </w:tcBorders>
            <w:vAlign w:val="center"/>
            <w:hideMark/>
          </w:tcPr>
          <w:p w:rsidR="00DF6E9D" w:rsidRPr="00DF6E9D" w:rsidRDefault="00DF6E9D" w:rsidP="00DF6E9D">
            <w:pPr>
              <w:rPr>
                <w:rFonts w:ascii="Arial" w:hAnsi="Arial" w:cs="Arial"/>
                <w:color w:val="000000"/>
                <w:sz w:val="22"/>
                <w:szCs w:val="22"/>
              </w:rPr>
            </w:pPr>
          </w:p>
        </w:tc>
        <w:tc>
          <w:tcPr>
            <w:tcW w:w="1340" w:type="dxa"/>
            <w:tcBorders>
              <w:top w:val="nil"/>
              <w:left w:val="nil"/>
              <w:bottom w:val="single" w:sz="4" w:space="0" w:color="auto"/>
              <w:right w:val="nil"/>
            </w:tcBorders>
            <w:shd w:val="clear" w:color="auto" w:fill="auto"/>
            <w:vAlign w:val="center"/>
            <w:hideMark/>
          </w:tcPr>
          <w:p w:rsidR="00DF6E9D" w:rsidRPr="00DF6E9D" w:rsidRDefault="00DF6E9D" w:rsidP="00DF6E9D">
            <w:pPr>
              <w:jc w:val="center"/>
              <w:rPr>
                <w:rFonts w:ascii="Arial" w:hAnsi="Arial" w:cs="Arial"/>
                <w:color w:val="000000"/>
                <w:sz w:val="22"/>
                <w:szCs w:val="22"/>
              </w:rPr>
            </w:pPr>
            <w:r w:rsidRPr="00DF6E9D">
              <w:rPr>
                <w:rFonts w:ascii="Arial" w:hAnsi="Arial" w:cs="Arial"/>
                <w:color w:val="000000"/>
                <w:sz w:val="22"/>
                <w:szCs w:val="22"/>
              </w:rPr>
              <w:t>1999</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DF6E9D" w:rsidRPr="00DF6E9D" w:rsidRDefault="00DF6E9D" w:rsidP="00DF6E9D">
            <w:pPr>
              <w:jc w:val="center"/>
              <w:rPr>
                <w:rFonts w:ascii="Arial" w:hAnsi="Arial" w:cs="Arial"/>
                <w:color w:val="000000"/>
                <w:sz w:val="22"/>
                <w:szCs w:val="22"/>
              </w:rPr>
            </w:pPr>
            <w:r w:rsidRPr="00DF6E9D">
              <w:rPr>
                <w:rFonts w:ascii="Arial" w:hAnsi="Arial" w:cs="Arial"/>
                <w:color w:val="000000"/>
                <w:sz w:val="22"/>
                <w:szCs w:val="22"/>
              </w:rPr>
              <w:t>0.040</w:t>
            </w:r>
          </w:p>
        </w:tc>
        <w:tc>
          <w:tcPr>
            <w:tcW w:w="1380" w:type="dxa"/>
            <w:tcBorders>
              <w:top w:val="nil"/>
              <w:left w:val="nil"/>
              <w:bottom w:val="single" w:sz="4" w:space="0" w:color="auto"/>
              <w:right w:val="single" w:sz="4" w:space="0" w:color="auto"/>
            </w:tcBorders>
            <w:shd w:val="clear" w:color="auto" w:fill="auto"/>
            <w:vAlign w:val="center"/>
            <w:hideMark/>
          </w:tcPr>
          <w:p w:rsidR="00DF6E9D" w:rsidRPr="00DF6E9D" w:rsidRDefault="00DF6E9D" w:rsidP="00DF6E9D">
            <w:pPr>
              <w:jc w:val="center"/>
              <w:rPr>
                <w:rFonts w:ascii="Arial" w:hAnsi="Arial" w:cs="Arial"/>
                <w:color w:val="000000"/>
                <w:sz w:val="22"/>
                <w:szCs w:val="22"/>
              </w:rPr>
            </w:pPr>
            <w:r w:rsidRPr="00DF6E9D">
              <w:rPr>
                <w:rFonts w:ascii="Arial" w:hAnsi="Arial" w:cs="Arial"/>
                <w:color w:val="000000"/>
                <w:sz w:val="22"/>
                <w:szCs w:val="22"/>
              </w:rPr>
              <w:t>-14</w:t>
            </w:r>
          </w:p>
        </w:tc>
      </w:tr>
      <w:tr w:rsidR="00DF6E9D" w:rsidRPr="00DF6E9D" w:rsidTr="00DF6E9D">
        <w:trPr>
          <w:trHeight w:val="300"/>
          <w:jc w:val="center"/>
        </w:trPr>
        <w:tc>
          <w:tcPr>
            <w:tcW w:w="2040" w:type="dxa"/>
            <w:vMerge/>
            <w:tcBorders>
              <w:top w:val="single" w:sz="4" w:space="0" w:color="auto"/>
              <w:left w:val="single" w:sz="4" w:space="0" w:color="auto"/>
              <w:bottom w:val="single" w:sz="4" w:space="0" w:color="000000"/>
              <w:right w:val="single" w:sz="4" w:space="0" w:color="auto"/>
            </w:tcBorders>
            <w:vAlign w:val="center"/>
            <w:hideMark/>
          </w:tcPr>
          <w:p w:rsidR="00DF6E9D" w:rsidRPr="00DF6E9D" w:rsidRDefault="00DF6E9D" w:rsidP="00DF6E9D">
            <w:pPr>
              <w:rPr>
                <w:rFonts w:ascii="Arial" w:hAnsi="Arial" w:cs="Arial"/>
                <w:color w:val="000000"/>
                <w:sz w:val="22"/>
                <w:szCs w:val="22"/>
              </w:rPr>
            </w:pPr>
          </w:p>
        </w:tc>
        <w:tc>
          <w:tcPr>
            <w:tcW w:w="1340" w:type="dxa"/>
            <w:tcBorders>
              <w:top w:val="nil"/>
              <w:left w:val="nil"/>
              <w:bottom w:val="single" w:sz="4" w:space="0" w:color="auto"/>
              <w:right w:val="single" w:sz="4" w:space="0" w:color="auto"/>
            </w:tcBorders>
            <w:shd w:val="clear" w:color="auto" w:fill="auto"/>
            <w:vAlign w:val="center"/>
            <w:hideMark/>
          </w:tcPr>
          <w:p w:rsidR="00DF6E9D" w:rsidRPr="00DF6E9D" w:rsidRDefault="00DF6E9D" w:rsidP="00DF6E9D">
            <w:pPr>
              <w:jc w:val="center"/>
              <w:rPr>
                <w:rFonts w:ascii="Arial" w:hAnsi="Arial" w:cs="Arial"/>
                <w:color w:val="000000"/>
                <w:sz w:val="22"/>
                <w:szCs w:val="22"/>
              </w:rPr>
            </w:pPr>
            <w:r w:rsidRPr="00DF6E9D">
              <w:rPr>
                <w:rFonts w:ascii="Arial" w:hAnsi="Arial" w:cs="Arial"/>
                <w:color w:val="000000"/>
                <w:sz w:val="22"/>
                <w:szCs w:val="22"/>
              </w:rPr>
              <w:t>1998</w:t>
            </w:r>
          </w:p>
        </w:tc>
        <w:tc>
          <w:tcPr>
            <w:tcW w:w="1400" w:type="dxa"/>
            <w:tcBorders>
              <w:top w:val="nil"/>
              <w:left w:val="nil"/>
              <w:bottom w:val="single" w:sz="4" w:space="0" w:color="auto"/>
              <w:right w:val="single" w:sz="4" w:space="0" w:color="auto"/>
            </w:tcBorders>
            <w:shd w:val="clear" w:color="auto" w:fill="auto"/>
            <w:vAlign w:val="center"/>
            <w:hideMark/>
          </w:tcPr>
          <w:p w:rsidR="00DF6E9D" w:rsidRPr="00DF6E9D" w:rsidRDefault="00DF6E9D" w:rsidP="00DF6E9D">
            <w:pPr>
              <w:jc w:val="center"/>
              <w:rPr>
                <w:rFonts w:ascii="Arial" w:hAnsi="Arial" w:cs="Arial"/>
                <w:color w:val="000000"/>
                <w:sz w:val="22"/>
                <w:szCs w:val="22"/>
              </w:rPr>
            </w:pPr>
            <w:r w:rsidRPr="00DF6E9D">
              <w:rPr>
                <w:rFonts w:ascii="Arial" w:hAnsi="Arial" w:cs="Arial"/>
                <w:color w:val="000000"/>
                <w:sz w:val="22"/>
                <w:szCs w:val="22"/>
              </w:rPr>
              <w:t>0.030</w:t>
            </w:r>
          </w:p>
        </w:tc>
        <w:tc>
          <w:tcPr>
            <w:tcW w:w="1380" w:type="dxa"/>
            <w:tcBorders>
              <w:top w:val="nil"/>
              <w:left w:val="nil"/>
              <w:bottom w:val="single" w:sz="4" w:space="0" w:color="auto"/>
              <w:right w:val="single" w:sz="4" w:space="0" w:color="auto"/>
            </w:tcBorders>
            <w:shd w:val="clear" w:color="auto" w:fill="auto"/>
            <w:vAlign w:val="center"/>
            <w:hideMark/>
          </w:tcPr>
          <w:p w:rsidR="00DF6E9D" w:rsidRPr="00DF6E9D" w:rsidRDefault="00DF6E9D" w:rsidP="00DF6E9D">
            <w:pPr>
              <w:jc w:val="center"/>
              <w:rPr>
                <w:rFonts w:ascii="Arial" w:hAnsi="Arial" w:cs="Arial"/>
                <w:color w:val="000000"/>
                <w:sz w:val="22"/>
                <w:szCs w:val="22"/>
              </w:rPr>
            </w:pPr>
            <w:r w:rsidRPr="00DF6E9D">
              <w:rPr>
                <w:rFonts w:ascii="Arial" w:hAnsi="Arial" w:cs="Arial"/>
                <w:color w:val="000000"/>
                <w:sz w:val="22"/>
                <w:szCs w:val="22"/>
              </w:rPr>
              <w:t>-15</w:t>
            </w:r>
          </w:p>
        </w:tc>
      </w:tr>
      <w:tr w:rsidR="00DF6E9D" w:rsidRPr="00DF6E9D" w:rsidTr="00DF6E9D">
        <w:trPr>
          <w:trHeight w:val="285"/>
          <w:jc w:val="center"/>
        </w:trPr>
        <w:tc>
          <w:tcPr>
            <w:tcW w:w="2040" w:type="dxa"/>
            <w:vMerge/>
            <w:tcBorders>
              <w:top w:val="single" w:sz="4" w:space="0" w:color="auto"/>
              <w:left w:val="single" w:sz="4" w:space="0" w:color="auto"/>
              <w:bottom w:val="single" w:sz="4" w:space="0" w:color="000000"/>
              <w:right w:val="single" w:sz="4" w:space="0" w:color="auto"/>
            </w:tcBorders>
            <w:vAlign w:val="center"/>
            <w:hideMark/>
          </w:tcPr>
          <w:p w:rsidR="00DF6E9D" w:rsidRPr="00DF6E9D" w:rsidRDefault="00DF6E9D" w:rsidP="00DF6E9D">
            <w:pPr>
              <w:rPr>
                <w:rFonts w:ascii="Arial" w:hAnsi="Arial" w:cs="Arial"/>
                <w:color w:val="000000"/>
                <w:sz w:val="22"/>
                <w:szCs w:val="22"/>
              </w:rPr>
            </w:pPr>
          </w:p>
        </w:tc>
        <w:tc>
          <w:tcPr>
            <w:tcW w:w="1340" w:type="dxa"/>
            <w:tcBorders>
              <w:top w:val="nil"/>
              <w:left w:val="nil"/>
              <w:bottom w:val="single" w:sz="4" w:space="0" w:color="auto"/>
              <w:right w:val="single" w:sz="4" w:space="0" w:color="auto"/>
            </w:tcBorders>
            <w:shd w:val="clear" w:color="auto" w:fill="auto"/>
            <w:vAlign w:val="center"/>
            <w:hideMark/>
          </w:tcPr>
          <w:p w:rsidR="00DF6E9D" w:rsidRPr="00DF6E9D" w:rsidRDefault="00DF6E9D" w:rsidP="00DF6E9D">
            <w:pPr>
              <w:jc w:val="center"/>
              <w:rPr>
                <w:rFonts w:ascii="Arial" w:hAnsi="Arial" w:cs="Arial"/>
                <w:color w:val="000000"/>
                <w:sz w:val="22"/>
                <w:szCs w:val="22"/>
              </w:rPr>
            </w:pPr>
            <w:r w:rsidRPr="00DF6E9D">
              <w:rPr>
                <w:rFonts w:ascii="Arial" w:hAnsi="Arial" w:cs="Arial"/>
                <w:color w:val="000000"/>
                <w:sz w:val="22"/>
                <w:szCs w:val="22"/>
              </w:rPr>
              <w:t>1997</w:t>
            </w:r>
          </w:p>
        </w:tc>
        <w:tc>
          <w:tcPr>
            <w:tcW w:w="1400" w:type="dxa"/>
            <w:tcBorders>
              <w:top w:val="nil"/>
              <w:left w:val="nil"/>
              <w:bottom w:val="single" w:sz="4" w:space="0" w:color="auto"/>
              <w:right w:val="single" w:sz="4" w:space="0" w:color="auto"/>
            </w:tcBorders>
            <w:shd w:val="clear" w:color="auto" w:fill="auto"/>
            <w:vAlign w:val="center"/>
            <w:hideMark/>
          </w:tcPr>
          <w:p w:rsidR="00DF6E9D" w:rsidRPr="00DF6E9D" w:rsidRDefault="00DF6E9D" w:rsidP="00DF6E9D">
            <w:pPr>
              <w:jc w:val="center"/>
              <w:rPr>
                <w:rFonts w:ascii="Arial" w:hAnsi="Arial" w:cs="Arial"/>
                <w:color w:val="000000"/>
                <w:sz w:val="22"/>
                <w:szCs w:val="22"/>
              </w:rPr>
            </w:pPr>
            <w:r w:rsidRPr="00DF6E9D">
              <w:rPr>
                <w:rFonts w:ascii="Arial" w:hAnsi="Arial" w:cs="Arial"/>
                <w:color w:val="000000"/>
                <w:sz w:val="22"/>
                <w:szCs w:val="22"/>
              </w:rPr>
              <w:t>0.020</w:t>
            </w:r>
          </w:p>
        </w:tc>
        <w:tc>
          <w:tcPr>
            <w:tcW w:w="1380" w:type="dxa"/>
            <w:tcBorders>
              <w:top w:val="nil"/>
              <w:left w:val="nil"/>
              <w:bottom w:val="single" w:sz="4" w:space="0" w:color="auto"/>
              <w:right w:val="single" w:sz="4" w:space="0" w:color="auto"/>
            </w:tcBorders>
            <w:shd w:val="clear" w:color="auto" w:fill="auto"/>
            <w:vAlign w:val="center"/>
            <w:hideMark/>
          </w:tcPr>
          <w:p w:rsidR="00DF6E9D" w:rsidRPr="00DF6E9D" w:rsidRDefault="00DF6E9D" w:rsidP="00DF6E9D">
            <w:pPr>
              <w:jc w:val="center"/>
              <w:rPr>
                <w:rFonts w:ascii="Arial" w:hAnsi="Arial" w:cs="Arial"/>
                <w:color w:val="000000"/>
                <w:sz w:val="22"/>
                <w:szCs w:val="22"/>
              </w:rPr>
            </w:pPr>
            <w:r w:rsidRPr="00DF6E9D">
              <w:rPr>
                <w:rFonts w:ascii="Arial" w:hAnsi="Arial" w:cs="Arial"/>
                <w:color w:val="000000"/>
                <w:sz w:val="22"/>
                <w:szCs w:val="22"/>
              </w:rPr>
              <w:t>-17</w:t>
            </w:r>
          </w:p>
        </w:tc>
      </w:tr>
      <w:tr w:rsidR="00DF6E9D" w:rsidRPr="00DF6E9D" w:rsidTr="00DF6E9D">
        <w:trPr>
          <w:trHeight w:val="285"/>
          <w:jc w:val="center"/>
        </w:trPr>
        <w:tc>
          <w:tcPr>
            <w:tcW w:w="2040" w:type="dxa"/>
            <w:vMerge/>
            <w:tcBorders>
              <w:top w:val="single" w:sz="4" w:space="0" w:color="auto"/>
              <w:left w:val="single" w:sz="4" w:space="0" w:color="auto"/>
              <w:bottom w:val="single" w:sz="4" w:space="0" w:color="000000"/>
              <w:right w:val="single" w:sz="4" w:space="0" w:color="auto"/>
            </w:tcBorders>
            <w:vAlign w:val="center"/>
            <w:hideMark/>
          </w:tcPr>
          <w:p w:rsidR="00DF6E9D" w:rsidRPr="00DF6E9D" w:rsidRDefault="00DF6E9D" w:rsidP="00DF6E9D">
            <w:pPr>
              <w:rPr>
                <w:rFonts w:ascii="Arial" w:hAnsi="Arial" w:cs="Arial"/>
                <w:color w:val="000000"/>
                <w:sz w:val="22"/>
                <w:szCs w:val="22"/>
              </w:rPr>
            </w:pPr>
          </w:p>
        </w:tc>
        <w:tc>
          <w:tcPr>
            <w:tcW w:w="1340" w:type="dxa"/>
            <w:tcBorders>
              <w:top w:val="nil"/>
              <w:left w:val="nil"/>
              <w:bottom w:val="single" w:sz="4" w:space="0" w:color="auto"/>
              <w:right w:val="single" w:sz="4" w:space="0" w:color="auto"/>
            </w:tcBorders>
            <w:shd w:val="clear" w:color="auto" w:fill="auto"/>
            <w:vAlign w:val="center"/>
            <w:hideMark/>
          </w:tcPr>
          <w:p w:rsidR="00DF6E9D" w:rsidRPr="00DF6E9D" w:rsidRDefault="00DF6E9D" w:rsidP="00DF6E9D">
            <w:pPr>
              <w:jc w:val="center"/>
              <w:rPr>
                <w:rFonts w:ascii="Arial" w:hAnsi="Arial" w:cs="Arial"/>
                <w:color w:val="000000"/>
                <w:sz w:val="22"/>
                <w:szCs w:val="22"/>
              </w:rPr>
            </w:pPr>
            <w:r w:rsidRPr="00DF6E9D">
              <w:rPr>
                <w:rFonts w:ascii="Arial" w:hAnsi="Arial" w:cs="Arial"/>
                <w:color w:val="000000"/>
                <w:sz w:val="22"/>
                <w:szCs w:val="22"/>
              </w:rPr>
              <w:t>1996</w:t>
            </w:r>
          </w:p>
        </w:tc>
        <w:tc>
          <w:tcPr>
            <w:tcW w:w="1400" w:type="dxa"/>
            <w:tcBorders>
              <w:top w:val="nil"/>
              <w:left w:val="nil"/>
              <w:bottom w:val="single" w:sz="4" w:space="0" w:color="auto"/>
              <w:right w:val="single" w:sz="4" w:space="0" w:color="auto"/>
            </w:tcBorders>
            <w:shd w:val="clear" w:color="auto" w:fill="auto"/>
            <w:vAlign w:val="center"/>
            <w:hideMark/>
          </w:tcPr>
          <w:p w:rsidR="00DF6E9D" w:rsidRPr="00DF6E9D" w:rsidRDefault="00DF6E9D" w:rsidP="00DF6E9D">
            <w:pPr>
              <w:jc w:val="center"/>
              <w:rPr>
                <w:rFonts w:ascii="Arial" w:hAnsi="Arial" w:cs="Arial"/>
                <w:color w:val="000000"/>
                <w:sz w:val="22"/>
                <w:szCs w:val="22"/>
              </w:rPr>
            </w:pPr>
            <w:r w:rsidRPr="00DF6E9D">
              <w:rPr>
                <w:rFonts w:ascii="Arial" w:hAnsi="Arial" w:cs="Arial"/>
                <w:color w:val="000000"/>
                <w:sz w:val="22"/>
                <w:szCs w:val="22"/>
              </w:rPr>
              <w:t>0.010</w:t>
            </w:r>
          </w:p>
        </w:tc>
        <w:tc>
          <w:tcPr>
            <w:tcW w:w="1380" w:type="dxa"/>
            <w:tcBorders>
              <w:top w:val="nil"/>
              <w:left w:val="nil"/>
              <w:bottom w:val="single" w:sz="4" w:space="0" w:color="auto"/>
              <w:right w:val="single" w:sz="4" w:space="0" w:color="auto"/>
            </w:tcBorders>
            <w:shd w:val="clear" w:color="auto" w:fill="auto"/>
            <w:vAlign w:val="center"/>
            <w:hideMark/>
          </w:tcPr>
          <w:p w:rsidR="00DF6E9D" w:rsidRPr="00DF6E9D" w:rsidRDefault="00DF6E9D" w:rsidP="00DF6E9D">
            <w:pPr>
              <w:jc w:val="center"/>
              <w:rPr>
                <w:rFonts w:ascii="Arial" w:hAnsi="Arial" w:cs="Arial"/>
                <w:color w:val="000000"/>
                <w:sz w:val="22"/>
                <w:szCs w:val="22"/>
              </w:rPr>
            </w:pPr>
            <w:r w:rsidRPr="00DF6E9D">
              <w:rPr>
                <w:rFonts w:ascii="Arial" w:hAnsi="Arial" w:cs="Arial"/>
                <w:color w:val="000000"/>
                <w:sz w:val="22"/>
                <w:szCs w:val="22"/>
              </w:rPr>
              <w:t>-20</w:t>
            </w:r>
          </w:p>
        </w:tc>
      </w:tr>
      <w:tr w:rsidR="00DF6E9D" w:rsidRPr="00DF6E9D" w:rsidTr="00DF6E9D">
        <w:trPr>
          <w:trHeight w:val="285"/>
          <w:jc w:val="center"/>
        </w:trPr>
        <w:tc>
          <w:tcPr>
            <w:tcW w:w="2040" w:type="dxa"/>
            <w:vMerge/>
            <w:tcBorders>
              <w:top w:val="single" w:sz="4" w:space="0" w:color="auto"/>
              <w:left w:val="single" w:sz="4" w:space="0" w:color="auto"/>
              <w:bottom w:val="single" w:sz="4" w:space="0" w:color="000000"/>
              <w:right w:val="single" w:sz="4" w:space="0" w:color="auto"/>
            </w:tcBorders>
            <w:vAlign w:val="center"/>
            <w:hideMark/>
          </w:tcPr>
          <w:p w:rsidR="00DF6E9D" w:rsidRPr="00DF6E9D" w:rsidRDefault="00DF6E9D" w:rsidP="00DF6E9D">
            <w:pPr>
              <w:rPr>
                <w:rFonts w:ascii="Arial" w:hAnsi="Arial" w:cs="Arial"/>
                <w:color w:val="000000"/>
                <w:sz w:val="22"/>
                <w:szCs w:val="22"/>
              </w:rPr>
            </w:pPr>
          </w:p>
        </w:tc>
        <w:tc>
          <w:tcPr>
            <w:tcW w:w="1340" w:type="dxa"/>
            <w:tcBorders>
              <w:top w:val="nil"/>
              <w:left w:val="nil"/>
              <w:bottom w:val="single" w:sz="4" w:space="0" w:color="auto"/>
              <w:right w:val="nil"/>
            </w:tcBorders>
            <w:shd w:val="clear" w:color="auto" w:fill="auto"/>
            <w:noWrap/>
            <w:vAlign w:val="bottom"/>
            <w:hideMark/>
          </w:tcPr>
          <w:p w:rsidR="00DF6E9D" w:rsidRPr="00DF6E9D" w:rsidRDefault="00DF6E9D" w:rsidP="00DF6E9D">
            <w:pPr>
              <w:jc w:val="center"/>
              <w:rPr>
                <w:rFonts w:ascii="Arial" w:hAnsi="Arial" w:cs="Arial"/>
                <w:color w:val="000000"/>
                <w:sz w:val="22"/>
                <w:szCs w:val="22"/>
              </w:rPr>
            </w:pPr>
            <w:r w:rsidRPr="00DF6E9D">
              <w:rPr>
                <w:rFonts w:ascii="Arial" w:hAnsi="Arial" w:cs="Arial"/>
                <w:color w:val="000000"/>
                <w:sz w:val="22"/>
                <w:szCs w:val="22"/>
              </w:rPr>
              <w:t>1995</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DF6E9D" w:rsidRPr="00DF6E9D" w:rsidRDefault="00DF6E9D" w:rsidP="00DF6E9D">
            <w:pPr>
              <w:jc w:val="center"/>
              <w:rPr>
                <w:rFonts w:ascii="Arial" w:hAnsi="Arial" w:cs="Arial"/>
                <w:color w:val="000000"/>
                <w:sz w:val="22"/>
                <w:szCs w:val="22"/>
              </w:rPr>
            </w:pPr>
            <w:r w:rsidRPr="00DF6E9D">
              <w:rPr>
                <w:rFonts w:ascii="Arial" w:hAnsi="Arial" w:cs="Arial"/>
                <w:color w:val="000000"/>
                <w:sz w:val="22"/>
                <w:szCs w:val="22"/>
              </w:rPr>
              <w:t>0.0001</w:t>
            </w:r>
          </w:p>
        </w:tc>
        <w:tc>
          <w:tcPr>
            <w:tcW w:w="1380" w:type="dxa"/>
            <w:tcBorders>
              <w:top w:val="nil"/>
              <w:left w:val="nil"/>
              <w:bottom w:val="single" w:sz="4" w:space="0" w:color="auto"/>
              <w:right w:val="single" w:sz="4" w:space="0" w:color="auto"/>
            </w:tcBorders>
            <w:shd w:val="clear" w:color="auto" w:fill="auto"/>
            <w:vAlign w:val="center"/>
            <w:hideMark/>
          </w:tcPr>
          <w:p w:rsidR="00DF6E9D" w:rsidRPr="00DF6E9D" w:rsidRDefault="00DF6E9D" w:rsidP="00DF6E9D">
            <w:pPr>
              <w:jc w:val="center"/>
              <w:rPr>
                <w:rFonts w:ascii="Arial" w:hAnsi="Arial" w:cs="Arial"/>
                <w:color w:val="000000"/>
                <w:sz w:val="22"/>
                <w:szCs w:val="22"/>
              </w:rPr>
            </w:pPr>
            <w:r w:rsidRPr="00DF6E9D">
              <w:rPr>
                <w:rFonts w:ascii="Arial" w:hAnsi="Arial" w:cs="Arial"/>
                <w:color w:val="000000"/>
                <w:sz w:val="22"/>
                <w:szCs w:val="22"/>
              </w:rPr>
              <w:t>-40</w:t>
            </w:r>
          </w:p>
        </w:tc>
      </w:tr>
    </w:tbl>
    <w:p w:rsidR="00DF6E9D" w:rsidRPr="00DF6E9D" w:rsidRDefault="00DF6E9D" w:rsidP="00DF6E9D">
      <w:pPr>
        <w:spacing w:after="120"/>
        <w:jc w:val="center"/>
        <w:rPr>
          <w:b/>
          <w:sz w:val="22"/>
          <w:szCs w:val="20"/>
          <w:lang w:val="en-GB"/>
        </w:rPr>
      </w:pPr>
      <w:r w:rsidRPr="00DF6E9D">
        <w:rPr>
          <w:b/>
          <w:sz w:val="22"/>
          <w:szCs w:val="20"/>
          <w:lang w:val="en-GB"/>
        </w:rPr>
        <w:t>Table 1: Band 23 Linear Interpolation of Emissions Below 2000 MHz</w:t>
      </w:r>
    </w:p>
    <w:p w:rsidR="003960EF" w:rsidRDefault="00DF6E9D" w:rsidP="00714B4D">
      <w:pPr>
        <w:rPr>
          <w:sz w:val="22"/>
          <w:szCs w:val="20"/>
          <w:lang w:val="en-GB"/>
        </w:rPr>
      </w:pPr>
      <w:r>
        <w:rPr>
          <w:sz w:val="22"/>
          <w:szCs w:val="20"/>
          <w:lang w:val="en-GB"/>
        </w:rPr>
        <w:t>The Band 23 A-MPR requirements may be reduced with this corrected interpolation process.</w:t>
      </w:r>
    </w:p>
    <w:p w:rsidR="003960EF" w:rsidRDefault="003960EF" w:rsidP="00714B4D">
      <w:pPr>
        <w:rPr>
          <w:sz w:val="22"/>
          <w:szCs w:val="20"/>
          <w:lang w:val="en-GB"/>
        </w:rPr>
      </w:pPr>
    </w:p>
    <w:p w:rsidR="003960EF" w:rsidRDefault="00DF6E9D" w:rsidP="00714B4D">
      <w:pPr>
        <w:rPr>
          <w:sz w:val="22"/>
          <w:szCs w:val="20"/>
          <w:lang w:val="en-GB"/>
        </w:rPr>
      </w:pPr>
      <w:r>
        <w:rPr>
          <w:sz w:val="22"/>
          <w:szCs w:val="20"/>
          <w:lang w:val="en-GB"/>
        </w:rPr>
        <w:t xml:space="preserve">Third, </w:t>
      </w:r>
      <w:r w:rsidR="00922C49">
        <w:rPr>
          <w:sz w:val="22"/>
          <w:szCs w:val="20"/>
          <w:lang w:val="en-GB"/>
        </w:rPr>
        <w:t xml:space="preserve">the UE transmit filter duplexer was not considered in developing the A-MPR requirements.  </w:t>
      </w:r>
      <w:r w:rsidR="00E9407A">
        <w:rPr>
          <w:sz w:val="22"/>
          <w:szCs w:val="20"/>
          <w:lang w:val="en-GB"/>
        </w:rPr>
        <w:t>T</w:t>
      </w:r>
      <w:r w:rsidR="00922C49">
        <w:rPr>
          <w:sz w:val="22"/>
          <w:szCs w:val="20"/>
          <w:lang w:val="en-GB"/>
        </w:rPr>
        <w:t xml:space="preserve">he intra-operator channel spacing </w:t>
      </w:r>
      <w:r w:rsidR="00E9407A">
        <w:rPr>
          <w:sz w:val="22"/>
          <w:szCs w:val="20"/>
          <w:lang w:val="en-GB"/>
        </w:rPr>
        <w:t xml:space="preserve">will </w:t>
      </w:r>
      <w:r w:rsidR="00922C49">
        <w:rPr>
          <w:sz w:val="22"/>
          <w:szCs w:val="20"/>
          <w:lang w:val="en-GB"/>
        </w:rPr>
        <w:t>increas</w:t>
      </w:r>
      <w:r w:rsidR="00E9407A">
        <w:rPr>
          <w:sz w:val="22"/>
          <w:szCs w:val="20"/>
          <w:lang w:val="en-GB"/>
        </w:rPr>
        <w:t>e the frequency</w:t>
      </w:r>
      <w:r w:rsidR="00922C49">
        <w:rPr>
          <w:sz w:val="22"/>
          <w:szCs w:val="20"/>
          <w:lang w:val="en-GB"/>
        </w:rPr>
        <w:t xml:space="preserve"> separation from 1995 MHz,</w:t>
      </w:r>
      <w:r w:rsidR="00E9407A">
        <w:rPr>
          <w:sz w:val="22"/>
          <w:szCs w:val="20"/>
          <w:lang w:val="en-GB"/>
        </w:rPr>
        <w:t xml:space="preserve"> providing additional room for filter roll-off.  With</w:t>
      </w:r>
      <w:r w:rsidR="00922C49">
        <w:rPr>
          <w:sz w:val="22"/>
          <w:szCs w:val="20"/>
          <w:lang w:val="en-GB"/>
        </w:rPr>
        <w:t xml:space="preserve"> recent improvements in filter technology, the Band 23 A-MPR</w:t>
      </w:r>
      <w:r w:rsidR="00E9407A">
        <w:rPr>
          <w:sz w:val="22"/>
          <w:szCs w:val="20"/>
          <w:lang w:val="en-GB"/>
        </w:rPr>
        <w:t xml:space="preserve"> requirements</w:t>
      </w:r>
      <w:r w:rsidR="00922C49">
        <w:rPr>
          <w:sz w:val="22"/>
          <w:szCs w:val="20"/>
          <w:lang w:val="en-GB"/>
        </w:rPr>
        <w:t xml:space="preserve"> may be significantly reduced</w:t>
      </w:r>
      <w:r w:rsidR="00E9407A">
        <w:rPr>
          <w:sz w:val="22"/>
          <w:szCs w:val="20"/>
          <w:lang w:val="en-GB"/>
        </w:rPr>
        <w:t>, or eliminated</w:t>
      </w:r>
      <w:r w:rsidR="00922C49">
        <w:rPr>
          <w:sz w:val="22"/>
          <w:szCs w:val="20"/>
          <w:lang w:val="en-GB"/>
        </w:rPr>
        <w:t>.</w:t>
      </w:r>
    </w:p>
    <w:p w:rsidR="003960EF" w:rsidRDefault="003960EF" w:rsidP="00714B4D">
      <w:pPr>
        <w:rPr>
          <w:sz w:val="22"/>
          <w:szCs w:val="20"/>
          <w:lang w:val="en-GB"/>
        </w:rPr>
      </w:pPr>
    </w:p>
    <w:p w:rsidR="00922C49" w:rsidRDefault="00922C49" w:rsidP="00922C49">
      <w:pPr>
        <w:pStyle w:val="Head1Mine"/>
      </w:pPr>
      <w:r>
        <w:t>Conclusions</w:t>
      </w:r>
    </w:p>
    <w:p w:rsidR="00922C49" w:rsidRDefault="00922C49" w:rsidP="00BD5727">
      <w:pPr>
        <w:jc w:val="both"/>
      </w:pPr>
    </w:p>
    <w:p w:rsidR="00922C49" w:rsidRDefault="00922C49" w:rsidP="00922C49">
      <w:pPr>
        <w:jc w:val="both"/>
      </w:pPr>
      <w:r>
        <w:t>The E-UTRA intra-operator channel placement should be considered as a means of increasing frequency separation between non-harmonized bands and improving performance.</w:t>
      </w:r>
    </w:p>
    <w:p w:rsidR="00922C49" w:rsidRDefault="00922C49" w:rsidP="00BD5727">
      <w:pPr>
        <w:jc w:val="both"/>
      </w:pPr>
    </w:p>
    <w:p w:rsidR="00922C49" w:rsidRDefault="00922C49" w:rsidP="00BD5727">
      <w:pPr>
        <w:jc w:val="both"/>
      </w:pPr>
      <w:r>
        <w:t xml:space="preserve">The Band 23 A-MPR analysis should be re-examined with the </w:t>
      </w:r>
      <w:r w:rsidR="00826E1A">
        <w:t xml:space="preserve">correct </w:t>
      </w:r>
      <w:r>
        <w:t xml:space="preserve">linear interpolation process </w:t>
      </w:r>
      <w:r w:rsidR="00826E1A">
        <w:t xml:space="preserve">as defined by the FCC </w:t>
      </w:r>
      <w:r>
        <w:t>for emissions below 2000 MHz.</w:t>
      </w:r>
      <w:r w:rsidR="00FB3639">
        <w:t xml:space="preserve">  The A-MPR analysis should consider transmit filter contributions based on the 6.5 MHz of frequency separation</w:t>
      </w:r>
      <w:r w:rsidR="00826E1A">
        <w:t xml:space="preserve"> with the 1995 MHz border</w:t>
      </w:r>
      <w:r w:rsidR="00FB3639">
        <w:t>.</w:t>
      </w:r>
    </w:p>
    <w:p w:rsidR="00922C49" w:rsidRPr="005C30E8" w:rsidRDefault="00922C49" w:rsidP="00BD5727">
      <w:pPr>
        <w:jc w:val="both"/>
      </w:pPr>
    </w:p>
    <w:p w:rsidR="000A7B35" w:rsidRDefault="00334C92" w:rsidP="00BD5727">
      <w:pPr>
        <w:pStyle w:val="Head1Mine"/>
      </w:pPr>
      <w:bookmarkStart w:id="1" w:name="_Ref200338651"/>
      <w:r w:rsidRPr="005C142E">
        <w:t>References</w:t>
      </w:r>
      <w:bookmarkEnd w:id="1"/>
    </w:p>
    <w:p w:rsidR="00826E1A" w:rsidRPr="00826E1A" w:rsidRDefault="00714B4D" w:rsidP="00826E1A">
      <w:pPr>
        <w:pStyle w:val="myReference"/>
      </w:pPr>
      <w:bookmarkStart w:id="2" w:name="_Ref236455476"/>
      <w:r>
        <w:t>FCC Title 47 Part 25 “Satellite Communications, Subpart C-Technical Standards”, Section 25.252</w:t>
      </w:r>
      <w:r w:rsidR="00826E1A">
        <w:t xml:space="preserve"> (c) when defining protection states:</w:t>
      </w:r>
      <w:r>
        <w:t xml:space="preserve"> “</w:t>
      </w:r>
      <w:r w:rsidR="00826E1A" w:rsidRPr="00826E1A">
        <w:t xml:space="preserve">(c)  For ATC operations in the 2000-2020 MHz band, the </w:t>
      </w:r>
      <w:r w:rsidR="00826E1A" w:rsidRPr="00826E1A">
        <w:lastRenderedPageBreak/>
        <w:t>power of any emission outside the licensee's frequency band(s) of operation shall be attenuated below the transmitter power (P) within the licensed band(s) of operation, measured in watts, in accordance with the following:</w:t>
      </w:r>
      <w:r w:rsidR="00826E1A">
        <w:t>” sub clause c(2) defines the linear interpolation</w:t>
      </w:r>
    </w:p>
    <w:p w:rsidR="00826E1A" w:rsidRDefault="00826E1A" w:rsidP="00826E1A">
      <w:pPr>
        <w:pStyle w:val="myReference"/>
      </w:pPr>
      <w:r>
        <w:t>3GPP TSG RAN WG4 #3 R4-99100 “Definition of Channel Raster”, Siemens, Tokyo 29-31 March 1999.</w:t>
      </w:r>
    </w:p>
    <w:p w:rsidR="00826E1A" w:rsidRPr="00826E1A" w:rsidRDefault="00826E1A" w:rsidP="00826E1A">
      <w:pPr>
        <w:pStyle w:val="myHyper"/>
      </w:pPr>
    </w:p>
    <w:bookmarkEnd w:id="2"/>
    <w:p w:rsidR="00D60AEC" w:rsidRDefault="00D60AEC" w:rsidP="00D60AEC">
      <w:pPr>
        <w:jc w:val="both"/>
        <w:rPr>
          <w:highlight w:val="yellow"/>
        </w:rPr>
      </w:pPr>
    </w:p>
    <w:sectPr w:rsidR="00D60AEC" w:rsidSect="00EB3081">
      <w:pgSz w:w="12240" w:h="15840"/>
      <w:pgMar w:top="1440" w:right="1440" w:bottom="1440" w:left="1440" w:header="720" w:footer="720" w:gutter="0"/>
      <w:pgBorders w:offsetFrom="page">
        <w:top w:val="none" w:sz="0" w:space="13" w:color="00FF04" w:shadow="1"/>
        <w:left w:val="none" w:sz="0" w:space="7" w:color="00FF04" w:shadow="1"/>
        <w:bottom w:val="none" w:sz="0" w:space="8" w:color="00FF04" w:shadow="1"/>
        <w:right w:val="none" w:sz="0" w:space="9" w:color="00FFCD" w:shadow="1" w:frame="1"/>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DB4" w:rsidRDefault="00475DB4" w:rsidP="007E3ED9">
      <w:r>
        <w:separator/>
      </w:r>
    </w:p>
  </w:endnote>
  <w:endnote w:type="continuationSeparator" w:id="0">
    <w:p w:rsidR="00475DB4" w:rsidRDefault="00475DB4" w:rsidP="007E3E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DB4" w:rsidRDefault="00475DB4" w:rsidP="007E3ED9">
      <w:r>
        <w:separator/>
      </w:r>
    </w:p>
  </w:footnote>
  <w:footnote w:type="continuationSeparator" w:id="0">
    <w:p w:rsidR="00475DB4" w:rsidRDefault="00475DB4" w:rsidP="007E3E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2BCFC5E"/>
    <w:lvl w:ilvl="0">
      <w:start w:val="1"/>
      <w:numFmt w:val="decimal"/>
      <w:lvlText w:val="%1."/>
      <w:lvlJc w:val="left"/>
      <w:pPr>
        <w:tabs>
          <w:tab w:val="num" w:pos="1800"/>
        </w:tabs>
        <w:ind w:left="1800" w:hanging="360"/>
      </w:pPr>
    </w:lvl>
  </w:abstractNum>
  <w:abstractNum w:abstractNumId="1">
    <w:nsid w:val="FFFFFF7D"/>
    <w:multiLevelType w:val="singleLevel"/>
    <w:tmpl w:val="327899AA"/>
    <w:lvl w:ilvl="0">
      <w:start w:val="1"/>
      <w:numFmt w:val="decimal"/>
      <w:lvlText w:val="%1."/>
      <w:lvlJc w:val="left"/>
      <w:pPr>
        <w:tabs>
          <w:tab w:val="num" w:pos="1440"/>
        </w:tabs>
        <w:ind w:left="1440" w:hanging="360"/>
      </w:pPr>
    </w:lvl>
  </w:abstractNum>
  <w:abstractNum w:abstractNumId="2">
    <w:nsid w:val="FFFFFF7E"/>
    <w:multiLevelType w:val="singleLevel"/>
    <w:tmpl w:val="2810642A"/>
    <w:lvl w:ilvl="0">
      <w:start w:val="1"/>
      <w:numFmt w:val="decimal"/>
      <w:lvlText w:val="%1."/>
      <w:lvlJc w:val="left"/>
      <w:pPr>
        <w:tabs>
          <w:tab w:val="num" w:pos="1080"/>
        </w:tabs>
        <w:ind w:left="1080" w:hanging="360"/>
      </w:pPr>
    </w:lvl>
  </w:abstractNum>
  <w:abstractNum w:abstractNumId="3">
    <w:nsid w:val="FFFFFF7F"/>
    <w:multiLevelType w:val="singleLevel"/>
    <w:tmpl w:val="2B48D0A0"/>
    <w:lvl w:ilvl="0">
      <w:start w:val="1"/>
      <w:numFmt w:val="decimal"/>
      <w:lvlText w:val="%1."/>
      <w:lvlJc w:val="left"/>
      <w:pPr>
        <w:tabs>
          <w:tab w:val="num" w:pos="720"/>
        </w:tabs>
        <w:ind w:left="720" w:hanging="360"/>
      </w:pPr>
    </w:lvl>
  </w:abstractNum>
  <w:abstractNum w:abstractNumId="4">
    <w:nsid w:val="FFFFFF80"/>
    <w:multiLevelType w:val="singleLevel"/>
    <w:tmpl w:val="6414BBB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30ADE3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A2065C5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29ADD3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5AAAD9E"/>
    <w:lvl w:ilvl="0">
      <w:start w:val="1"/>
      <w:numFmt w:val="decimal"/>
      <w:lvlText w:val="%1."/>
      <w:lvlJc w:val="left"/>
      <w:pPr>
        <w:tabs>
          <w:tab w:val="num" w:pos="360"/>
        </w:tabs>
        <w:ind w:left="360" w:hanging="360"/>
      </w:pPr>
    </w:lvl>
  </w:abstractNum>
  <w:abstractNum w:abstractNumId="9">
    <w:nsid w:val="FFFFFF89"/>
    <w:multiLevelType w:val="singleLevel"/>
    <w:tmpl w:val="E5F0DC70"/>
    <w:lvl w:ilvl="0">
      <w:start w:val="1"/>
      <w:numFmt w:val="bullet"/>
      <w:lvlText w:val=""/>
      <w:lvlJc w:val="left"/>
      <w:pPr>
        <w:tabs>
          <w:tab w:val="num" w:pos="360"/>
        </w:tabs>
        <w:ind w:left="360" w:hanging="360"/>
      </w:pPr>
      <w:rPr>
        <w:rFonts w:ascii="Symbol" w:hAnsi="Symbol" w:hint="default"/>
      </w:rPr>
    </w:lvl>
  </w:abstractNum>
  <w:abstractNum w:abstractNumId="10">
    <w:nsid w:val="1F345891"/>
    <w:multiLevelType w:val="multilevel"/>
    <w:tmpl w:val="9FD8C136"/>
    <w:lvl w:ilvl="0">
      <w:start w:val="1"/>
      <w:numFmt w:val="decimal"/>
      <w:pStyle w:val="Head1Mine"/>
      <w:lvlText w:val="%1"/>
      <w:lvlJc w:val="left"/>
      <w:pPr>
        <w:tabs>
          <w:tab w:val="num" w:pos="432"/>
        </w:tabs>
        <w:ind w:left="432" w:hanging="432"/>
      </w:pPr>
      <w:rPr>
        <w:rFonts w:hint="default"/>
      </w:rPr>
    </w:lvl>
    <w:lvl w:ilvl="1">
      <w:start w:val="1"/>
      <w:numFmt w:val="decimal"/>
      <w:pStyle w:val="Head2Mine"/>
      <w:lvlText w:val="%1.%2"/>
      <w:lvlJc w:val="left"/>
      <w:pPr>
        <w:tabs>
          <w:tab w:val="num" w:pos="576"/>
        </w:tabs>
        <w:ind w:left="576" w:hanging="576"/>
      </w:pPr>
      <w:rPr>
        <w:rFonts w:hint="default"/>
      </w:rPr>
    </w:lvl>
    <w:lvl w:ilvl="2">
      <w:start w:val="1"/>
      <w:numFmt w:val="decimal"/>
      <w:pStyle w:val="Head3Mine"/>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22264EC8"/>
    <w:multiLevelType w:val="hybridMultilevel"/>
    <w:tmpl w:val="8FEAAC70"/>
    <w:lvl w:ilvl="0" w:tplc="E86E47F8">
      <w:start w:val="1"/>
      <w:numFmt w:val="bullet"/>
      <w:lvlText w:val=""/>
      <w:lvlJc w:val="left"/>
      <w:pPr>
        <w:tabs>
          <w:tab w:val="num" w:pos="720"/>
        </w:tabs>
        <w:ind w:left="720" w:hanging="360"/>
      </w:pPr>
      <w:rPr>
        <w:rFonts w:ascii="Symbol" w:eastAsia="Times New Roman" w:hAnsi="Symbol" w:cs="Times New Roman" w:hint="default"/>
      </w:rPr>
    </w:lvl>
    <w:lvl w:ilvl="1" w:tplc="89AAC4EA" w:tentative="1">
      <w:start w:val="1"/>
      <w:numFmt w:val="bullet"/>
      <w:lvlText w:val="o"/>
      <w:lvlJc w:val="left"/>
      <w:pPr>
        <w:tabs>
          <w:tab w:val="num" w:pos="1440"/>
        </w:tabs>
        <w:ind w:left="1440" w:hanging="360"/>
      </w:pPr>
      <w:rPr>
        <w:rFonts w:ascii="Courier New" w:hAnsi="Courier New" w:cs="Courier New" w:hint="default"/>
      </w:rPr>
    </w:lvl>
    <w:lvl w:ilvl="2" w:tplc="E0E06E66" w:tentative="1">
      <w:start w:val="1"/>
      <w:numFmt w:val="bullet"/>
      <w:lvlText w:val=""/>
      <w:lvlJc w:val="left"/>
      <w:pPr>
        <w:tabs>
          <w:tab w:val="num" w:pos="2160"/>
        </w:tabs>
        <w:ind w:left="2160" w:hanging="360"/>
      </w:pPr>
      <w:rPr>
        <w:rFonts w:ascii="Wingdings" w:hAnsi="Wingdings" w:hint="default"/>
      </w:rPr>
    </w:lvl>
    <w:lvl w:ilvl="3" w:tplc="D164987C" w:tentative="1">
      <w:start w:val="1"/>
      <w:numFmt w:val="bullet"/>
      <w:lvlText w:val=""/>
      <w:lvlJc w:val="left"/>
      <w:pPr>
        <w:tabs>
          <w:tab w:val="num" w:pos="2880"/>
        </w:tabs>
        <w:ind w:left="2880" w:hanging="360"/>
      </w:pPr>
      <w:rPr>
        <w:rFonts w:ascii="Symbol" w:hAnsi="Symbol" w:hint="default"/>
      </w:rPr>
    </w:lvl>
    <w:lvl w:ilvl="4" w:tplc="66068794" w:tentative="1">
      <w:start w:val="1"/>
      <w:numFmt w:val="bullet"/>
      <w:lvlText w:val="o"/>
      <w:lvlJc w:val="left"/>
      <w:pPr>
        <w:tabs>
          <w:tab w:val="num" w:pos="3600"/>
        </w:tabs>
        <w:ind w:left="3600" w:hanging="360"/>
      </w:pPr>
      <w:rPr>
        <w:rFonts w:ascii="Courier New" w:hAnsi="Courier New" w:cs="Courier New" w:hint="default"/>
      </w:rPr>
    </w:lvl>
    <w:lvl w:ilvl="5" w:tplc="9A645808" w:tentative="1">
      <w:start w:val="1"/>
      <w:numFmt w:val="bullet"/>
      <w:lvlText w:val=""/>
      <w:lvlJc w:val="left"/>
      <w:pPr>
        <w:tabs>
          <w:tab w:val="num" w:pos="4320"/>
        </w:tabs>
        <w:ind w:left="4320" w:hanging="360"/>
      </w:pPr>
      <w:rPr>
        <w:rFonts w:ascii="Wingdings" w:hAnsi="Wingdings" w:hint="default"/>
      </w:rPr>
    </w:lvl>
    <w:lvl w:ilvl="6" w:tplc="A882270E" w:tentative="1">
      <w:start w:val="1"/>
      <w:numFmt w:val="bullet"/>
      <w:lvlText w:val=""/>
      <w:lvlJc w:val="left"/>
      <w:pPr>
        <w:tabs>
          <w:tab w:val="num" w:pos="5040"/>
        </w:tabs>
        <w:ind w:left="5040" w:hanging="360"/>
      </w:pPr>
      <w:rPr>
        <w:rFonts w:ascii="Symbol" w:hAnsi="Symbol" w:hint="default"/>
      </w:rPr>
    </w:lvl>
    <w:lvl w:ilvl="7" w:tplc="A7169676" w:tentative="1">
      <w:start w:val="1"/>
      <w:numFmt w:val="bullet"/>
      <w:lvlText w:val="o"/>
      <w:lvlJc w:val="left"/>
      <w:pPr>
        <w:tabs>
          <w:tab w:val="num" w:pos="5760"/>
        </w:tabs>
        <w:ind w:left="5760" w:hanging="360"/>
      </w:pPr>
      <w:rPr>
        <w:rFonts w:ascii="Courier New" w:hAnsi="Courier New" w:cs="Courier New" w:hint="default"/>
      </w:rPr>
    </w:lvl>
    <w:lvl w:ilvl="8" w:tplc="D20005AE" w:tentative="1">
      <w:start w:val="1"/>
      <w:numFmt w:val="bullet"/>
      <w:lvlText w:val=""/>
      <w:lvlJc w:val="left"/>
      <w:pPr>
        <w:tabs>
          <w:tab w:val="num" w:pos="6480"/>
        </w:tabs>
        <w:ind w:left="6480" w:hanging="360"/>
      </w:pPr>
      <w:rPr>
        <w:rFonts w:ascii="Wingdings" w:hAnsi="Wingdings" w:hint="default"/>
      </w:rPr>
    </w:lvl>
  </w:abstractNum>
  <w:abstractNum w:abstractNumId="12">
    <w:nsid w:val="25AD26A8"/>
    <w:multiLevelType w:val="hybridMultilevel"/>
    <w:tmpl w:val="4642BF0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28602938"/>
    <w:multiLevelType w:val="multilevel"/>
    <w:tmpl w:val="C2B2C302"/>
    <w:lvl w:ilvl="0">
      <w:start w:val="1"/>
      <w:numFmt w:val="lowerLetter"/>
      <w:pStyle w:val="Style2"/>
      <w:lvlText w:val="%1."/>
      <w:lvlJc w:val="left"/>
      <w:pPr>
        <w:tabs>
          <w:tab w:val="num" w:pos="720"/>
        </w:tabs>
        <w:ind w:left="720" w:hanging="360"/>
      </w:pPr>
      <w:rPr>
        <w:rFonts w:hint="default"/>
      </w:rPr>
    </w:lvl>
    <w:lvl w:ilvl="1">
      <w:start w:val="1"/>
      <w:numFmt w:val="decimal"/>
      <w:pStyle w:val="StyleHeading2H2UNDERRUBRIK1-2h2R2H21Head2A2h21HeadingT"/>
      <w:lvlText w:val="%1.%2."/>
      <w:lvlJc w:val="left"/>
      <w:pPr>
        <w:tabs>
          <w:tab w:val="num" w:pos="1152"/>
        </w:tabs>
        <w:ind w:left="1152" w:hanging="432"/>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4">
    <w:nsid w:val="357D4D19"/>
    <w:multiLevelType w:val="hybridMultilevel"/>
    <w:tmpl w:val="1D349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4D337A"/>
    <w:multiLevelType w:val="hybridMultilevel"/>
    <w:tmpl w:val="688C4D04"/>
    <w:lvl w:ilvl="0" w:tplc="04090001">
      <w:start w:val="1"/>
      <w:numFmt w:val="decimal"/>
      <w:pStyle w:val="myReference"/>
      <w:lvlText w:val="[%1]"/>
      <w:lvlJc w:val="left"/>
      <w:pPr>
        <w:tabs>
          <w:tab w:val="num" w:pos="-1440"/>
        </w:tabs>
        <w:ind w:left="-1440" w:hanging="360"/>
      </w:pPr>
      <w:rPr>
        <w:rFonts w:hint="default"/>
      </w:rPr>
    </w:lvl>
    <w:lvl w:ilvl="1" w:tplc="04090003" w:tentative="1">
      <w:start w:val="1"/>
      <w:numFmt w:val="lowerLetter"/>
      <w:lvlText w:val="%2."/>
      <w:lvlJc w:val="left"/>
      <w:pPr>
        <w:tabs>
          <w:tab w:val="num" w:pos="-720"/>
        </w:tabs>
        <w:ind w:left="-720" w:hanging="360"/>
      </w:pPr>
    </w:lvl>
    <w:lvl w:ilvl="2" w:tplc="04090005" w:tentative="1">
      <w:start w:val="1"/>
      <w:numFmt w:val="lowerRoman"/>
      <w:lvlText w:val="%3."/>
      <w:lvlJc w:val="right"/>
      <w:pPr>
        <w:tabs>
          <w:tab w:val="num" w:pos="0"/>
        </w:tabs>
        <w:ind w:left="0" w:hanging="180"/>
      </w:pPr>
    </w:lvl>
    <w:lvl w:ilvl="3" w:tplc="04090001" w:tentative="1">
      <w:start w:val="1"/>
      <w:numFmt w:val="decimal"/>
      <w:lvlText w:val="%4."/>
      <w:lvlJc w:val="left"/>
      <w:pPr>
        <w:tabs>
          <w:tab w:val="num" w:pos="720"/>
        </w:tabs>
        <w:ind w:left="720" w:hanging="360"/>
      </w:pPr>
    </w:lvl>
    <w:lvl w:ilvl="4" w:tplc="04090003" w:tentative="1">
      <w:start w:val="1"/>
      <w:numFmt w:val="lowerLetter"/>
      <w:lvlText w:val="%5."/>
      <w:lvlJc w:val="left"/>
      <w:pPr>
        <w:tabs>
          <w:tab w:val="num" w:pos="1440"/>
        </w:tabs>
        <w:ind w:left="1440" w:hanging="360"/>
      </w:pPr>
    </w:lvl>
    <w:lvl w:ilvl="5" w:tplc="04090005" w:tentative="1">
      <w:start w:val="1"/>
      <w:numFmt w:val="lowerRoman"/>
      <w:lvlText w:val="%6."/>
      <w:lvlJc w:val="right"/>
      <w:pPr>
        <w:tabs>
          <w:tab w:val="num" w:pos="2160"/>
        </w:tabs>
        <w:ind w:left="2160" w:hanging="180"/>
      </w:pPr>
    </w:lvl>
    <w:lvl w:ilvl="6" w:tplc="04090001" w:tentative="1">
      <w:start w:val="1"/>
      <w:numFmt w:val="decimal"/>
      <w:lvlText w:val="%7."/>
      <w:lvlJc w:val="left"/>
      <w:pPr>
        <w:tabs>
          <w:tab w:val="num" w:pos="2880"/>
        </w:tabs>
        <w:ind w:left="2880" w:hanging="360"/>
      </w:pPr>
    </w:lvl>
    <w:lvl w:ilvl="7" w:tplc="04090003" w:tentative="1">
      <w:start w:val="1"/>
      <w:numFmt w:val="lowerLetter"/>
      <w:lvlText w:val="%8."/>
      <w:lvlJc w:val="left"/>
      <w:pPr>
        <w:tabs>
          <w:tab w:val="num" w:pos="3600"/>
        </w:tabs>
        <w:ind w:left="3600" w:hanging="360"/>
      </w:pPr>
    </w:lvl>
    <w:lvl w:ilvl="8" w:tplc="04090005" w:tentative="1">
      <w:start w:val="1"/>
      <w:numFmt w:val="lowerRoman"/>
      <w:lvlText w:val="%9."/>
      <w:lvlJc w:val="right"/>
      <w:pPr>
        <w:tabs>
          <w:tab w:val="num" w:pos="4320"/>
        </w:tabs>
        <w:ind w:left="4320" w:hanging="180"/>
      </w:pPr>
    </w:lvl>
  </w:abstractNum>
  <w:abstractNum w:abstractNumId="16">
    <w:nsid w:val="563567CC"/>
    <w:multiLevelType w:val="hybridMultilevel"/>
    <w:tmpl w:val="7E46C33C"/>
    <w:lvl w:ilvl="0" w:tplc="E9F27F50">
      <w:start w:val="1"/>
      <w:numFmt w:val="bullet"/>
      <w:lvlText w:val=""/>
      <w:lvlJc w:val="left"/>
      <w:pPr>
        <w:tabs>
          <w:tab w:val="num" w:pos="720"/>
        </w:tabs>
        <w:ind w:left="720" w:hanging="360"/>
      </w:pPr>
      <w:rPr>
        <w:rFonts w:ascii="Symbol" w:hAnsi="Symbol" w:hint="default"/>
      </w:rPr>
    </w:lvl>
    <w:lvl w:ilvl="1" w:tplc="80140612" w:tentative="1">
      <w:start w:val="1"/>
      <w:numFmt w:val="bullet"/>
      <w:lvlText w:val="o"/>
      <w:lvlJc w:val="left"/>
      <w:pPr>
        <w:tabs>
          <w:tab w:val="num" w:pos="1440"/>
        </w:tabs>
        <w:ind w:left="1440" w:hanging="360"/>
      </w:pPr>
      <w:rPr>
        <w:rFonts w:ascii="Courier New" w:hAnsi="Courier New" w:cs="Courier New" w:hint="default"/>
      </w:rPr>
    </w:lvl>
    <w:lvl w:ilvl="2" w:tplc="3026886A">
      <w:start w:val="1"/>
      <w:numFmt w:val="bullet"/>
      <w:lvlText w:val=""/>
      <w:lvlJc w:val="left"/>
      <w:pPr>
        <w:tabs>
          <w:tab w:val="num" w:pos="2160"/>
        </w:tabs>
        <w:ind w:left="2160" w:hanging="360"/>
      </w:pPr>
      <w:rPr>
        <w:rFonts w:ascii="Symbol" w:hAnsi="Symbol" w:hint="default"/>
      </w:rPr>
    </w:lvl>
    <w:lvl w:ilvl="3" w:tplc="EBC4647A" w:tentative="1">
      <w:start w:val="1"/>
      <w:numFmt w:val="bullet"/>
      <w:lvlText w:val=""/>
      <w:lvlJc w:val="left"/>
      <w:pPr>
        <w:tabs>
          <w:tab w:val="num" w:pos="2880"/>
        </w:tabs>
        <w:ind w:left="2880" w:hanging="360"/>
      </w:pPr>
      <w:rPr>
        <w:rFonts w:ascii="Symbol" w:hAnsi="Symbol" w:hint="default"/>
      </w:rPr>
    </w:lvl>
    <w:lvl w:ilvl="4" w:tplc="1C462196" w:tentative="1">
      <w:start w:val="1"/>
      <w:numFmt w:val="bullet"/>
      <w:lvlText w:val="o"/>
      <w:lvlJc w:val="left"/>
      <w:pPr>
        <w:tabs>
          <w:tab w:val="num" w:pos="3600"/>
        </w:tabs>
        <w:ind w:left="3600" w:hanging="360"/>
      </w:pPr>
      <w:rPr>
        <w:rFonts w:ascii="Courier New" w:hAnsi="Courier New" w:cs="Courier New" w:hint="default"/>
      </w:rPr>
    </w:lvl>
    <w:lvl w:ilvl="5" w:tplc="D74295C0" w:tentative="1">
      <w:start w:val="1"/>
      <w:numFmt w:val="bullet"/>
      <w:lvlText w:val=""/>
      <w:lvlJc w:val="left"/>
      <w:pPr>
        <w:tabs>
          <w:tab w:val="num" w:pos="4320"/>
        </w:tabs>
        <w:ind w:left="4320" w:hanging="360"/>
      </w:pPr>
      <w:rPr>
        <w:rFonts w:ascii="Wingdings" w:hAnsi="Wingdings" w:hint="default"/>
      </w:rPr>
    </w:lvl>
    <w:lvl w:ilvl="6" w:tplc="52F26EA0" w:tentative="1">
      <w:start w:val="1"/>
      <w:numFmt w:val="bullet"/>
      <w:lvlText w:val=""/>
      <w:lvlJc w:val="left"/>
      <w:pPr>
        <w:tabs>
          <w:tab w:val="num" w:pos="5040"/>
        </w:tabs>
        <w:ind w:left="5040" w:hanging="360"/>
      </w:pPr>
      <w:rPr>
        <w:rFonts w:ascii="Symbol" w:hAnsi="Symbol" w:hint="default"/>
      </w:rPr>
    </w:lvl>
    <w:lvl w:ilvl="7" w:tplc="8EC46944" w:tentative="1">
      <w:start w:val="1"/>
      <w:numFmt w:val="bullet"/>
      <w:lvlText w:val="o"/>
      <w:lvlJc w:val="left"/>
      <w:pPr>
        <w:tabs>
          <w:tab w:val="num" w:pos="5760"/>
        </w:tabs>
        <w:ind w:left="5760" w:hanging="360"/>
      </w:pPr>
      <w:rPr>
        <w:rFonts w:ascii="Courier New" w:hAnsi="Courier New" w:cs="Courier New" w:hint="default"/>
      </w:rPr>
    </w:lvl>
    <w:lvl w:ilvl="8" w:tplc="D2D0FA08" w:tentative="1">
      <w:start w:val="1"/>
      <w:numFmt w:val="bullet"/>
      <w:lvlText w:val=""/>
      <w:lvlJc w:val="left"/>
      <w:pPr>
        <w:tabs>
          <w:tab w:val="num" w:pos="6480"/>
        </w:tabs>
        <w:ind w:left="6480" w:hanging="360"/>
      </w:pPr>
      <w:rPr>
        <w:rFonts w:ascii="Wingdings" w:hAnsi="Wingdings" w:hint="default"/>
      </w:rPr>
    </w:lvl>
  </w:abstractNum>
  <w:abstractNum w:abstractNumId="17">
    <w:nsid w:val="7713675C"/>
    <w:multiLevelType w:val="hybridMultilevel"/>
    <w:tmpl w:val="0E24D6B8"/>
    <w:lvl w:ilvl="0" w:tplc="1BDE934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BC330F5"/>
    <w:multiLevelType w:val="hybridMultilevel"/>
    <w:tmpl w:val="C2769C2A"/>
    <w:lvl w:ilvl="0" w:tplc="F19ECFD8">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C5463A6">
      <w:start w:val="1"/>
      <w:numFmt w:val="bullet"/>
      <w:lvlText w:val="o"/>
      <w:lvlJc w:val="left"/>
      <w:pPr>
        <w:tabs>
          <w:tab w:val="num" w:pos="1440"/>
        </w:tabs>
        <w:ind w:left="1440" w:hanging="360"/>
      </w:pPr>
      <w:rPr>
        <w:rFonts w:ascii="Courier New" w:hAnsi="Courier New" w:cs="Courier New" w:hint="default"/>
      </w:rPr>
    </w:lvl>
    <w:lvl w:ilvl="2" w:tplc="5DF62D68" w:tentative="1">
      <w:start w:val="1"/>
      <w:numFmt w:val="bullet"/>
      <w:lvlText w:val=""/>
      <w:lvlJc w:val="left"/>
      <w:pPr>
        <w:tabs>
          <w:tab w:val="num" w:pos="2160"/>
        </w:tabs>
        <w:ind w:left="2160" w:hanging="360"/>
      </w:pPr>
      <w:rPr>
        <w:rFonts w:ascii="Wingdings" w:hAnsi="Wingdings" w:hint="default"/>
      </w:rPr>
    </w:lvl>
    <w:lvl w:ilvl="3" w:tplc="75C46B36" w:tentative="1">
      <w:start w:val="1"/>
      <w:numFmt w:val="bullet"/>
      <w:lvlText w:val=""/>
      <w:lvlJc w:val="left"/>
      <w:pPr>
        <w:tabs>
          <w:tab w:val="num" w:pos="2880"/>
        </w:tabs>
        <w:ind w:left="2880" w:hanging="360"/>
      </w:pPr>
      <w:rPr>
        <w:rFonts w:ascii="Symbol" w:hAnsi="Symbol" w:hint="default"/>
      </w:rPr>
    </w:lvl>
    <w:lvl w:ilvl="4" w:tplc="8A9026B0" w:tentative="1">
      <w:start w:val="1"/>
      <w:numFmt w:val="bullet"/>
      <w:lvlText w:val="o"/>
      <w:lvlJc w:val="left"/>
      <w:pPr>
        <w:tabs>
          <w:tab w:val="num" w:pos="3600"/>
        </w:tabs>
        <w:ind w:left="3600" w:hanging="360"/>
      </w:pPr>
      <w:rPr>
        <w:rFonts w:ascii="Courier New" w:hAnsi="Courier New" w:cs="Courier New" w:hint="default"/>
      </w:rPr>
    </w:lvl>
    <w:lvl w:ilvl="5" w:tplc="BBF67A36" w:tentative="1">
      <w:start w:val="1"/>
      <w:numFmt w:val="bullet"/>
      <w:lvlText w:val=""/>
      <w:lvlJc w:val="left"/>
      <w:pPr>
        <w:tabs>
          <w:tab w:val="num" w:pos="4320"/>
        </w:tabs>
        <w:ind w:left="4320" w:hanging="360"/>
      </w:pPr>
      <w:rPr>
        <w:rFonts w:ascii="Wingdings" w:hAnsi="Wingdings" w:hint="default"/>
      </w:rPr>
    </w:lvl>
    <w:lvl w:ilvl="6" w:tplc="DE74C436" w:tentative="1">
      <w:start w:val="1"/>
      <w:numFmt w:val="bullet"/>
      <w:lvlText w:val=""/>
      <w:lvlJc w:val="left"/>
      <w:pPr>
        <w:tabs>
          <w:tab w:val="num" w:pos="5040"/>
        </w:tabs>
        <w:ind w:left="5040" w:hanging="360"/>
      </w:pPr>
      <w:rPr>
        <w:rFonts w:ascii="Symbol" w:hAnsi="Symbol" w:hint="default"/>
      </w:rPr>
    </w:lvl>
    <w:lvl w:ilvl="7" w:tplc="C370409A" w:tentative="1">
      <w:start w:val="1"/>
      <w:numFmt w:val="bullet"/>
      <w:lvlText w:val="o"/>
      <w:lvlJc w:val="left"/>
      <w:pPr>
        <w:tabs>
          <w:tab w:val="num" w:pos="5760"/>
        </w:tabs>
        <w:ind w:left="5760" w:hanging="360"/>
      </w:pPr>
      <w:rPr>
        <w:rFonts w:ascii="Courier New" w:hAnsi="Courier New" w:cs="Courier New" w:hint="default"/>
      </w:rPr>
    </w:lvl>
    <w:lvl w:ilvl="8" w:tplc="BAF24BAE"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13"/>
  </w:num>
  <w:num w:numId="4">
    <w:abstractNumId w:val="10"/>
  </w:num>
  <w:num w:numId="5">
    <w:abstractNumId w:val="11"/>
  </w:num>
  <w:num w:numId="6">
    <w:abstractNumId w:val="16"/>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0"/>
  </w:num>
  <w:num w:numId="19">
    <w:abstractNumId w:val="14"/>
  </w:num>
  <w:num w:numId="20">
    <w:abstractNumId w:val="1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grammar="clean"/>
  <w:stylePaneFormatFilter w:val="0004"/>
  <w:trackRevisions/>
  <w:defaultTabStop w:val="720"/>
  <w:characterSpacingControl w:val="doNotCompress"/>
  <w:hdrShapeDefaults>
    <o:shapedefaults v:ext="edit" spidmax="25601"/>
  </w:hdrShapeDefaults>
  <w:footnotePr>
    <w:footnote w:id="-1"/>
    <w:footnote w:id="0"/>
  </w:footnotePr>
  <w:endnotePr>
    <w:endnote w:id="-1"/>
    <w:endnote w:id="0"/>
  </w:endnotePr>
  <w:compat/>
  <w:rsids>
    <w:rsidRoot w:val="00206AB7"/>
    <w:rsid w:val="00004C30"/>
    <w:rsid w:val="00007DD8"/>
    <w:rsid w:val="0001081A"/>
    <w:rsid w:val="0001284D"/>
    <w:rsid w:val="0001298A"/>
    <w:rsid w:val="00012A83"/>
    <w:rsid w:val="00012BA0"/>
    <w:rsid w:val="00022297"/>
    <w:rsid w:val="00022F50"/>
    <w:rsid w:val="00024738"/>
    <w:rsid w:val="00025475"/>
    <w:rsid w:val="00025BE3"/>
    <w:rsid w:val="00025CBD"/>
    <w:rsid w:val="00030FD3"/>
    <w:rsid w:val="00031ED6"/>
    <w:rsid w:val="00036C2E"/>
    <w:rsid w:val="00043A10"/>
    <w:rsid w:val="000448D4"/>
    <w:rsid w:val="00046184"/>
    <w:rsid w:val="000518C8"/>
    <w:rsid w:val="00051956"/>
    <w:rsid w:val="00052483"/>
    <w:rsid w:val="00061481"/>
    <w:rsid w:val="000645E4"/>
    <w:rsid w:val="00064C44"/>
    <w:rsid w:val="00064D67"/>
    <w:rsid w:val="00065B6E"/>
    <w:rsid w:val="00067CF4"/>
    <w:rsid w:val="0007046D"/>
    <w:rsid w:val="000724E5"/>
    <w:rsid w:val="00075850"/>
    <w:rsid w:val="00077409"/>
    <w:rsid w:val="000778F9"/>
    <w:rsid w:val="00077F71"/>
    <w:rsid w:val="0008363A"/>
    <w:rsid w:val="00084E23"/>
    <w:rsid w:val="00085745"/>
    <w:rsid w:val="00085A7C"/>
    <w:rsid w:val="00086D69"/>
    <w:rsid w:val="00091B30"/>
    <w:rsid w:val="00092F69"/>
    <w:rsid w:val="00093157"/>
    <w:rsid w:val="00093C04"/>
    <w:rsid w:val="0009604C"/>
    <w:rsid w:val="00096636"/>
    <w:rsid w:val="000A27C6"/>
    <w:rsid w:val="000A3CD4"/>
    <w:rsid w:val="000A72D9"/>
    <w:rsid w:val="000A7B35"/>
    <w:rsid w:val="000B02DF"/>
    <w:rsid w:val="000B3D66"/>
    <w:rsid w:val="000B3E5E"/>
    <w:rsid w:val="000B52D0"/>
    <w:rsid w:val="000B5960"/>
    <w:rsid w:val="000B6D73"/>
    <w:rsid w:val="000C373A"/>
    <w:rsid w:val="000C423F"/>
    <w:rsid w:val="000C4534"/>
    <w:rsid w:val="000C4BD2"/>
    <w:rsid w:val="000C5ABB"/>
    <w:rsid w:val="000D22F4"/>
    <w:rsid w:val="000D4442"/>
    <w:rsid w:val="000D509F"/>
    <w:rsid w:val="000D5E96"/>
    <w:rsid w:val="000D620F"/>
    <w:rsid w:val="000D64B5"/>
    <w:rsid w:val="000E1E16"/>
    <w:rsid w:val="000E378F"/>
    <w:rsid w:val="000E41A0"/>
    <w:rsid w:val="000E4B8B"/>
    <w:rsid w:val="000E6849"/>
    <w:rsid w:val="000F10A4"/>
    <w:rsid w:val="000F2909"/>
    <w:rsid w:val="000F30C8"/>
    <w:rsid w:val="000F58FF"/>
    <w:rsid w:val="000F75B8"/>
    <w:rsid w:val="00102358"/>
    <w:rsid w:val="00103333"/>
    <w:rsid w:val="00111146"/>
    <w:rsid w:val="001157B8"/>
    <w:rsid w:val="00115D71"/>
    <w:rsid w:val="00117E23"/>
    <w:rsid w:val="00120AE2"/>
    <w:rsid w:val="00121730"/>
    <w:rsid w:val="00121E07"/>
    <w:rsid w:val="00122545"/>
    <w:rsid w:val="00122EE9"/>
    <w:rsid w:val="00124A39"/>
    <w:rsid w:val="0013059B"/>
    <w:rsid w:val="00130DAC"/>
    <w:rsid w:val="00132BB0"/>
    <w:rsid w:val="00132CD9"/>
    <w:rsid w:val="0013372F"/>
    <w:rsid w:val="001340F2"/>
    <w:rsid w:val="00136342"/>
    <w:rsid w:val="00141094"/>
    <w:rsid w:val="0014143D"/>
    <w:rsid w:val="001427E2"/>
    <w:rsid w:val="001444E2"/>
    <w:rsid w:val="00146F2E"/>
    <w:rsid w:val="0015677C"/>
    <w:rsid w:val="00156D37"/>
    <w:rsid w:val="00156EE4"/>
    <w:rsid w:val="00157591"/>
    <w:rsid w:val="001606B9"/>
    <w:rsid w:val="00161B70"/>
    <w:rsid w:val="00161C12"/>
    <w:rsid w:val="00161CB3"/>
    <w:rsid w:val="00163710"/>
    <w:rsid w:val="00167AA4"/>
    <w:rsid w:val="00170F16"/>
    <w:rsid w:val="0017497A"/>
    <w:rsid w:val="00174E66"/>
    <w:rsid w:val="0017558C"/>
    <w:rsid w:val="00175855"/>
    <w:rsid w:val="00176203"/>
    <w:rsid w:val="0017720E"/>
    <w:rsid w:val="00180824"/>
    <w:rsid w:val="00180BB5"/>
    <w:rsid w:val="00181BDF"/>
    <w:rsid w:val="00181D04"/>
    <w:rsid w:val="00181EE4"/>
    <w:rsid w:val="00182982"/>
    <w:rsid w:val="00183164"/>
    <w:rsid w:val="001836E0"/>
    <w:rsid w:val="00184116"/>
    <w:rsid w:val="00185D5A"/>
    <w:rsid w:val="001865F8"/>
    <w:rsid w:val="00186BE8"/>
    <w:rsid w:val="00187BD1"/>
    <w:rsid w:val="00187D18"/>
    <w:rsid w:val="001919A0"/>
    <w:rsid w:val="001948E7"/>
    <w:rsid w:val="00194D3D"/>
    <w:rsid w:val="00194F96"/>
    <w:rsid w:val="0019538B"/>
    <w:rsid w:val="00195C79"/>
    <w:rsid w:val="00196095"/>
    <w:rsid w:val="001A237C"/>
    <w:rsid w:val="001A3A60"/>
    <w:rsid w:val="001B0118"/>
    <w:rsid w:val="001B0E5E"/>
    <w:rsid w:val="001B38DB"/>
    <w:rsid w:val="001B4303"/>
    <w:rsid w:val="001B44CD"/>
    <w:rsid w:val="001B6F5D"/>
    <w:rsid w:val="001C05BE"/>
    <w:rsid w:val="001C1CD7"/>
    <w:rsid w:val="001C21E9"/>
    <w:rsid w:val="001C261B"/>
    <w:rsid w:val="001C2A04"/>
    <w:rsid w:val="001C3098"/>
    <w:rsid w:val="001C47A7"/>
    <w:rsid w:val="001C5449"/>
    <w:rsid w:val="001C58A0"/>
    <w:rsid w:val="001C608A"/>
    <w:rsid w:val="001D0856"/>
    <w:rsid w:val="001D0A52"/>
    <w:rsid w:val="001D145E"/>
    <w:rsid w:val="001D2017"/>
    <w:rsid w:val="001D2375"/>
    <w:rsid w:val="001D5652"/>
    <w:rsid w:val="001D5876"/>
    <w:rsid w:val="001D70AC"/>
    <w:rsid w:val="001D7362"/>
    <w:rsid w:val="001D7B62"/>
    <w:rsid w:val="001E0979"/>
    <w:rsid w:val="001E0E27"/>
    <w:rsid w:val="001E439C"/>
    <w:rsid w:val="001E5C97"/>
    <w:rsid w:val="001E673B"/>
    <w:rsid w:val="001E7AEA"/>
    <w:rsid w:val="001F044D"/>
    <w:rsid w:val="001F2CCC"/>
    <w:rsid w:val="001F336C"/>
    <w:rsid w:val="001F5C62"/>
    <w:rsid w:val="001F6409"/>
    <w:rsid w:val="00202605"/>
    <w:rsid w:val="00204060"/>
    <w:rsid w:val="0020539A"/>
    <w:rsid w:val="00205895"/>
    <w:rsid w:val="00206AB7"/>
    <w:rsid w:val="00206DFD"/>
    <w:rsid w:val="00212B4D"/>
    <w:rsid w:val="00215E60"/>
    <w:rsid w:val="0022041F"/>
    <w:rsid w:val="00224C37"/>
    <w:rsid w:val="00226405"/>
    <w:rsid w:val="00226E7E"/>
    <w:rsid w:val="0022748F"/>
    <w:rsid w:val="00231A49"/>
    <w:rsid w:val="00232286"/>
    <w:rsid w:val="00233129"/>
    <w:rsid w:val="00235BE1"/>
    <w:rsid w:val="00236C98"/>
    <w:rsid w:val="002378FF"/>
    <w:rsid w:val="00241A8D"/>
    <w:rsid w:val="00243952"/>
    <w:rsid w:val="00243A4E"/>
    <w:rsid w:val="0024471E"/>
    <w:rsid w:val="00244CE4"/>
    <w:rsid w:val="002462D0"/>
    <w:rsid w:val="002464B4"/>
    <w:rsid w:val="0024785D"/>
    <w:rsid w:val="00251D26"/>
    <w:rsid w:val="00252721"/>
    <w:rsid w:val="00252852"/>
    <w:rsid w:val="00252954"/>
    <w:rsid w:val="00253D7E"/>
    <w:rsid w:val="002558D4"/>
    <w:rsid w:val="00256354"/>
    <w:rsid w:val="00256723"/>
    <w:rsid w:val="002606EE"/>
    <w:rsid w:val="00260D7F"/>
    <w:rsid w:val="00261762"/>
    <w:rsid w:val="00264074"/>
    <w:rsid w:val="00264D6A"/>
    <w:rsid w:val="00265C57"/>
    <w:rsid w:val="002673F7"/>
    <w:rsid w:val="00270BCD"/>
    <w:rsid w:val="00270F81"/>
    <w:rsid w:val="00271F6C"/>
    <w:rsid w:val="00274368"/>
    <w:rsid w:val="0027599C"/>
    <w:rsid w:val="0027602F"/>
    <w:rsid w:val="002764F0"/>
    <w:rsid w:val="0027752D"/>
    <w:rsid w:val="00283119"/>
    <w:rsid w:val="00283854"/>
    <w:rsid w:val="002842CD"/>
    <w:rsid w:val="00284772"/>
    <w:rsid w:val="00284E9C"/>
    <w:rsid w:val="00285B77"/>
    <w:rsid w:val="00292DB3"/>
    <w:rsid w:val="00293534"/>
    <w:rsid w:val="00295279"/>
    <w:rsid w:val="002953FE"/>
    <w:rsid w:val="002A1032"/>
    <w:rsid w:val="002A1A14"/>
    <w:rsid w:val="002A1D11"/>
    <w:rsid w:val="002A2B7B"/>
    <w:rsid w:val="002A5A26"/>
    <w:rsid w:val="002A76D9"/>
    <w:rsid w:val="002B331F"/>
    <w:rsid w:val="002B45FD"/>
    <w:rsid w:val="002B4987"/>
    <w:rsid w:val="002B53A3"/>
    <w:rsid w:val="002B64B5"/>
    <w:rsid w:val="002B666C"/>
    <w:rsid w:val="002C044E"/>
    <w:rsid w:val="002C34A5"/>
    <w:rsid w:val="002C4956"/>
    <w:rsid w:val="002C4A2F"/>
    <w:rsid w:val="002C4F40"/>
    <w:rsid w:val="002C56B9"/>
    <w:rsid w:val="002C58D5"/>
    <w:rsid w:val="002D1C62"/>
    <w:rsid w:val="002D52B9"/>
    <w:rsid w:val="002D544D"/>
    <w:rsid w:val="002D679D"/>
    <w:rsid w:val="002D6CA7"/>
    <w:rsid w:val="002D78F7"/>
    <w:rsid w:val="002E0EDB"/>
    <w:rsid w:val="002E16AE"/>
    <w:rsid w:val="002E405D"/>
    <w:rsid w:val="002E41B6"/>
    <w:rsid w:val="002E4B2B"/>
    <w:rsid w:val="002E6DAB"/>
    <w:rsid w:val="002E74EA"/>
    <w:rsid w:val="002F04B2"/>
    <w:rsid w:val="002F129F"/>
    <w:rsid w:val="002F168D"/>
    <w:rsid w:val="002F1F99"/>
    <w:rsid w:val="002F37A9"/>
    <w:rsid w:val="002F4A3F"/>
    <w:rsid w:val="002F6C0D"/>
    <w:rsid w:val="003027DE"/>
    <w:rsid w:val="00302DE4"/>
    <w:rsid w:val="00303342"/>
    <w:rsid w:val="0030505C"/>
    <w:rsid w:val="003053C3"/>
    <w:rsid w:val="00305754"/>
    <w:rsid w:val="00306586"/>
    <w:rsid w:val="0030773C"/>
    <w:rsid w:val="003117F7"/>
    <w:rsid w:val="003136A7"/>
    <w:rsid w:val="003147D4"/>
    <w:rsid w:val="003160B0"/>
    <w:rsid w:val="00317F3F"/>
    <w:rsid w:val="00320975"/>
    <w:rsid w:val="00321CD9"/>
    <w:rsid w:val="0032362A"/>
    <w:rsid w:val="003252BF"/>
    <w:rsid w:val="0032539A"/>
    <w:rsid w:val="003262A0"/>
    <w:rsid w:val="0032746F"/>
    <w:rsid w:val="00330BB4"/>
    <w:rsid w:val="00332303"/>
    <w:rsid w:val="00333660"/>
    <w:rsid w:val="00334C92"/>
    <w:rsid w:val="003351AE"/>
    <w:rsid w:val="003360AC"/>
    <w:rsid w:val="00336D75"/>
    <w:rsid w:val="00337B9E"/>
    <w:rsid w:val="00340346"/>
    <w:rsid w:val="00340A0D"/>
    <w:rsid w:val="00340E76"/>
    <w:rsid w:val="00342975"/>
    <w:rsid w:val="00345078"/>
    <w:rsid w:val="00345E40"/>
    <w:rsid w:val="00345E56"/>
    <w:rsid w:val="00346B91"/>
    <w:rsid w:val="00347894"/>
    <w:rsid w:val="003508F6"/>
    <w:rsid w:val="00351851"/>
    <w:rsid w:val="00351EB0"/>
    <w:rsid w:val="00357C9B"/>
    <w:rsid w:val="00364E42"/>
    <w:rsid w:val="00366C6D"/>
    <w:rsid w:val="00371650"/>
    <w:rsid w:val="003746E8"/>
    <w:rsid w:val="00376FFD"/>
    <w:rsid w:val="00377383"/>
    <w:rsid w:val="00383B21"/>
    <w:rsid w:val="003846E7"/>
    <w:rsid w:val="003862A2"/>
    <w:rsid w:val="00391EC9"/>
    <w:rsid w:val="00392D18"/>
    <w:rsid w:val="00393A4D"/>
    <w:rsid w:val="00393BD7"/>
    <w:rsid w:val="00394754"/>
    <w:rsid w:val="003960EF"/>
    <w:rsid w:val="00396D95"/>
    <w:rsid w:val="003979C4"/>
    <w:rsid w:val="003A082C"/>
    <w:rsid w:val="003A31C8"/>
    <w:rsid w:val="003A3A15"/>
    <w:rsid w:val="003A406E"/>
    <w:rsid w:val="003A4FDE"/>
    <w:rsid w:val="003A6574"/>
    <w:rsid w:val="003A671F"/>
    <w:rsid w:val="003B0193"/>
    <w:rsid w:val="003B0D96"/>
    <w:rsid w:val="003B19F3"/>
    <w:rsid w:val="003B228A"/>
    <w:rsid w:val="003B769D"/>
    <w:rsid w:val="003B7C4B"/>
    <w:rsid w:val="003C0414"/>
    <w:rsid w:val="003C436C"/>
    <w:rsid w:val="003C5443"/>
    <w:rsid w:val="003C6393"/>
    <w:rsid w:val="003C64D2"/>
    <w:rsid w:val="003D0CD3"/>
    <w:rsid w:val="003D16D9"/>
    <w:rsid w:val="003D4A0C"/>
    <w:rsid w:val="003D4F4F"/>
    <w:rsid w:val="003D52B8"/>
    <w:rsid w:val="003D7C8A"/>
    <w:rsid w:val="003E2EEC"/>
    <w:rsid w:val="003E3748"/>
    <w:rsid w:val="003E3780"/>
    <w:rsid w:val="003E781A"/>
    <w:rsid w:val="003F19C2"/>
    <w:rsid w:val="003F55EE"/>
    <w:rsid w:val="003F61FE"/>
    <w:rsid w:val="003F67F0"/>
    <w:rsid w:val="003F6EA5"/>
    <w:rsid w:val="003F7B80"/>
    <w:rsid w:val="004006D6"/>
    <w:rsid w:val="00403A54"/>
    <w:rsid w:val="004040BC"/>
    <w:rsid w:val="00404783"/>
    <w:rsid w:val="00410124"/>
    <w:rsid w:val="0041169E"/>
    <w:rsid w:val="00412096"/>
    <w:rsid w:val="00412EB9"/>
    <w:rsid w:val="00415916"/>
    <w:rsid w:val="0041707B"/>
    <w:rsid w:val="00417418"/>
    <w:rsid w:val="0041789B"/>
    <w:rsid w:val="004204E3"/>
    <w:rsid w:val="00421117"/>
    <w:rsid w:val="00421141"/>
    <w:rsid w:val="00425279"/>
    <w:rsid w:val="004263C1"/>
    <w:rsid w:val="00426D71"/>
    <w:rsid w:val="00427EF4"/>
    <w:rsid w:val="0043202F"/>
    <w:rsid w:val="00432D87"/>
    <w:rsid w:val="00433F26"/>
    <w:rsid w:val="0043605C"/>
    <w:rsid w:val="004376FB"/>
    <w:rsid w:val="00437CB8"/>
    <w:rsid w:val="00437F2C"/>
    <w:rsid w:val="004431C6"/>
    <w:rsid w:val="0044372E"/>
    <w:rsid w:val="00443E3A"/>
    <w:rsid w:val="00445722"/>
    <w:rsid w:val="004463A1"/>
    <w:rsid w:val="0044646E"/>
    <w:rsid w:val="00450848"/>
    <w:rsid w:val="004508E0"/>
    <w:rsid w:val="00450F99"/>
    <w:rsid w:val="0045269F"/>
    <w:rsid w:val="0045403D"/>
    <w:rsid w:val="00454298"/>
    <w:rsid w:val="00455D36"/>
    <w:rsid w:val="004560D4"/>
    <w:rsid w:val="004573E0"/>
    <w:rsid w:val="004604DF"/>
    <w:rsid w:val="0046102E"/>
    <w:rsid w:val="00461128"/>
    <w:rsid w:val="00461696"/>
    <w:rsid w:val="00461925"/>
    <w:rsid w:val="0046253D"/>
    <w:rsid w:val="004652D4"/>
    <w:rsid w:val="004653DE"/>
    <w:rsid w:val="0046565D"/>
    <w:rsid w:val="00470634"/>
    <w:rsid w:val="004712D9"/>
    <w:rsid w:val="0047390D"/>
    <w:rsid w:val="00474DD1"/>
    <w:rsid w:val="0047586D"/>
    <w:rsid w:val="00475DB4"/>
    <w:rsid w:val="0047658C"/>
    <w:rsid w:val="00476BEA"/>
    <w:rsid w:val="00477903"/>
    <w:rsid w:val="00480D21"/>
    <w:rsid w:val="004829E9"/>
    <w:rsid w:val="0048379A"/>
    <w:rsid w:val="00483C65"/>
    <w:rsid w:val="004868E3"/>
    <w:rsid w:val="004875B4"/>
    <w:rsid w:val="00490203"/>
    <w:rsid w:val="004902E5"/>
    <w:rsid w:val="00491BA9"/>
    <w:rsid w:val="00492630"/>
    <w:rsid w:val="00494242"/>
    <w:rsid w:val="004952AA"/>
    <w:rsid w:val="0049560B"/>
    <w:rsid w:val="00496CD2"/>
    <w:rsid w:val="00497B4D"/>
    <w:rsid w:val="00497D70"/>
    <w:rsid w:val="00497ED5"/>
    <w:rsid w:val="004A0C59"/>
    <w:rsid w:val="004A1C50"/>
    <w:rsid w:val="004A1F0C"/>
    <w:rsid w:val="004A4D66"/>
    <w:rsid w:val="004A50A8"/>
    <w:rsid w:val="004A652C"/>
    <w:rsid w:val="004A6650"/>
    <w:rsid w:val="004A695D"/>
    <w:rsid w:val="004B4E99"/>
    <w:rsid w:val="004B5271"/>
    <w:rsid w:val="004B74C7"/>
    <w:rsid w:val="004B7963"/>
    <w:rsid w:val="004B7BD4"/>
    <w:rsid w:val="004C148C"/>
    <w:rsid w:val="004C1E03"/>
    <w:rsid w:val="004C3078"/>
    <w:rsid w:val="004C34DC"/>
    <w:rsid w:val="004C3890"/>
    <w:rsid w:val="004C5550"/>
    <w:rsid w:val="004C6752"/>
    <w:rsid w:val="004C6810"/>
    <w:rsid w:val="004C765F"/>
    <w:rsid w:val="004D3036"/>
    <w:rsid w:val="004D3E18"/>
    <w:rsid w:val="004D46A0"/>
    <w:rsid w:val="004D61EE"/>
    <w:rsid w:val="004D6852"/>
    <w:rsid w:val="004D7431"/>
    <w:rsid w:val="004D74CE"/>
    <w:rsid w:val="004E18B1"/>
    <w:rsid w:val="004E1CEB"/>
    <w:rsid w:val="004E2CFC"/>
    <w:rsid w:val="004E4E78"/>
    <w:rsid w:val="004F0853"/>
    <w:rsid w:val="004F6683"/>
    <w:rsid w:val="004F6C13"/>
    <w:rsid w:val="004F7F5A"/>
    <w:rsid w:val="00501C53"/>
    <w:rsid w:val="00505C8B"/>
    <w:rsid w:val="0050787B"/>
    <w:rsid w:val="00512290"/>
    <w:rsid w:val="00512A52"/>
    <w:rsid w:val="005133C4"/>
    <w:rsid w:val="005133D9"/>
    <w:rsid w:val="00514430"/>
    <w:rsid w:val="0051626B"/>
    <w:rsid w:val="005168FE"/>
    <w:rsid w:val="005248D1"/>
    <w:rsid w:val="00524B08"/>
    <w:rsid w:val="00525E6A"/>
    <w:rsid w:val="0053208F"/>
    <w:rsid w:val="0053311C"/>
    <w:rsid w:val="00534090"/>
    <w:rsid w:val="00534241"/>
    <w:rsid w:val="00537B89"/>
    <w:rsid w:val="005403E8"/>
    <w:rsid w:val="00541905"/>
    <w:rsid w:val="005437E5"/>
    <w:rsid w:val="00544297"/>
    <w:rsid w:val="005453FF"/>
    <w:rsid w:val="005479F0"/>
    <w:rsid w:val="005509EB"/>
    <w:rsid w:val="0055374B"/>
    <w:rsid w:val="00553DA3"/>
    <w:rsid w:val="00554CCB"/>
    <w:rsid w:val="00555FC9"/>
    <w:rsid w:val="0056065C"/>
    <w:rsid w:val="0056151B"/>
    <w:rsid w:val="00566DE4"/>
    <w:rsid w:val="005673FB"/>
    <w:rsid w:val="00567C25"/>
    <w:rsid w:val="00570BC4"/>
    <w:rsid w:val="0057195B"/>
    <w:rsid w:val="0057363C"/>
    <w:rsid w:val="00573B41"/>
    <w:rsid w:val="005766EB"/>
    <w:rsid w:val="00576C94"/>
    <w:rsid w:val="00577F64"/>
    <w:rsid w:val="005804CA"/>
    <w:rsid w:val="0058204D"/>
    <w:rsid w:val="00582C98"/>
    <w:rsid w:val="00583FC7"/>
    <w:rsid w:val="005857AD"/>
    <w:rsid w:val="005859A7"/>
    <w:rsid w:val="005864E7"/>
    <w:rsid w:val="00593010"/>
    <w:rsid w:val="00594649"/>
    <w:rsid w:val="005A0865"/>
    <w:rsid w:val="005A08AA"/>
    <w:rsid w:val="005A11F5"/>
    <w:rsid w:val="005A2587"/>
    <w:rsid w:val="005A3C60"/>
    <w:rsid w:val="005A4711"/>
    <w:rsid w:val="005A74D9"/>
    <w:rsid w:val="005A787F"/>
    <w:rsid w:val="005A7C1C"/>
    <w:rsid w:val="005B06BC"/>
    <w:rsid w:val="005B2677"/>
    <w:rsid w:val="005B3655"/>
    <w:rsid w:val="005B3CAF"/>
    <w:rsid w:val="005B495C"/>
    <w:rsid w:val="005B59B8"/>
    <w:rsid w:val="005B6D42"/>
    <w:rsid w:val="005C0DDC"/>
    <w:rsid w:val="005C142E"/>
    <w:rsid w:val="005C5460"/>
    <w:rsid w:val="005C5C5A"/>
    <w:rsid w:val="005D0C2D"/>
    <w:rsid w:val="005D5FD6"/>
    <w:rsid w:val="005D6565"/>
    <w:rsid w:val="005E043E"/>
    <w:rsid w:val="005E0603"/>
    <w:rsid w:val="005E0ED8"/>
    <w:rsid w:val="005E5085"/>
    <w:rsid w:val="005E6F3B"/>
    <w:rsid w:val="005E7196"/>
    <w:rsid w:val="005F03A9"/>
    <w:rsid w:val="005F22D9"/>
    <w:rsid w:val="005F251D"/>
    <w:rsid w:val="005F25FB"/>
    <w:rsid w:val="005F3D2F"/>
    <w:rsid w:val="005F44CF"/>
    <w:rsid w:val="005F5A3C"/>
    <w:rsid w:val="006001B2"/>
    <w:rsid w:val="0060137A"/>
    <w:rsid w:val="00602E0A"/>
    <w:rsid w:val="00604D7B"/>
    <w:rsid w:val="00604DEF"/>
    <w:rsid w:val="00605459"/>
    <w:rsid w:val="00611971"/>
    <w:rsid w:val="0061224F"/>
    <w:rsid w:val="00614E1B"/>
    <w:rsid w:val="00616C95"/>
    <w:rsid w:val="0062068A"/>
    <w:rsid w:val="00620C5F"/>
    <w:rsid w:val="00622395"/>
    <w:rsid w:val="00622572"/>
    <w:rsid w:val="00623048"/>
    <w:rsid w:val="00627D0F"/>
    <w:rsid w:val="006328FB"/>
    <w:rsid w:val="0063314B"/>
    <w:rsid w:val="0063572E"/>
    <w:rsid w:val="00636E57"/>
    <w:rsid w:val="00636FE8"/>
    <w:rsid w:val="00637564"/>
    <w:rsid w:val="0063757B"/>
    <w:rsid w:val="0064125B"/>
    <w:rsid w:val="006425D2"/>
    <w:rsid w:val="00642777"/>
    <w:rsid w:val="00643EA7"/>
    <w:rsid w:val="00643FB8"/>
    <w:rsid w:val="00646E8F"/>
    <w:rsid w:val="00646F50"/>
    <w:rsid w:val="00647291"/>
    <w:rsid w:val="00647BD7"/>
    <w:rsid w:val="00651380"/>
    <w:rsid w:val="00652DC6"/>
    <w:rsid w:val="00652EC1"/>
    <w:rsid w:val="00653563"/>
    <w:rsid w:val="00653E0F"/>
    <w:rsid w:val="006567D9"/>
    <w:rsid w:val="00660F80"/>
    <w:rsid w:val="006631AB"/>
    <w:rsid w:val="0066405D"/>
    <w:rsid w:val="00664739"/>
    <w:rsid w:val="00666A32"/>
    <w:rsid w:val="00666DAE"/>
    <w:rsid w:val="0066705D"/>
    <w:rsid w:val="00667415"/>
    <w:rsid w:val="006709AB"/>
    <w:rsid w:val="00672AFB"/>
    <w:rsid w:val="00672CB6"/>
    <w:rsid w:val="006731EA"/>
    <w:rsid w:val="00673312"/>
    <w:rsid w:val="00675C82"/>
    <w:rsid w:val="00675CFA"/>
    <w:rsid w:val="00680984"/>
    <w:rsid w:val="00680CE3"/>
    <w:rsid w:val="00682ADB"/>
    <w:rsid w:val="0068352B"/>
    <w:rsid w:val="00685013"/>
    <w:rsid w:val="00685A18"/>
    <w:rsid w:val="0068685A"/>
    <w:rsid w:val="00687573"/>
    <w:rsid w:val="00690AB4"/>
    <w:rsid w:val="00692115"/>
    <w:rsid w:val="0069315A"/>
    <w:rsid w:val="00695025"/>
    <w:rsid w:val="00696284"/>
    <w:rsid w:val="00696A2C"/>
    <w:rsid w:val="00696B29"/>
    <w:rsid w:val="00697479"/>
    <w:rsid w:val="00697CA0"/>
    <w:rsid w:val="00697D6B"/>
    <w:rsid w:val="006A0673"/>
    <w:rsid w:val="006A66F5"/>
    <w:rsid w:val="006B0996"/>
    <w:rsid w:val="006B12F7"/>
    <w:rsid w:val="006B19C8"/>
    <w:rsid w:val="006B2C3D"/>
    <w:rsid w:val="006B6853"/>
    <w:rsid w:val="006C1F2E"/>
    <w:rsid w:val="006C4488"/>
    <w:rsid w:val="006C684A"/>
    <w:rsid w:val="006C7E94"/>
    <w:rsid w:val="006D351F"/>
    <w:rsid w:val="006D3F43"/>
    <w:rsid w:val="006D50AB"/>
    <w:rsid w:val="006D66EB"/>
    <w:rsid w:val="006D71A0"/>
    <w:rsid w:val="006E04E4"/>
    <w:rsid w:val="006E06BA"/>
    <w:rsid w:val="006E30E6"/>
    <w:rsid w:val="006E3857"/>
    <w:rsid w:val="006E4ABA"/>
    <w:rsid w:val="006E4F2C"/>
    <w:rsid w:val="006E7C0C"/>
    <w:rsid w:val="006F0C96"/>
    <w:rsid w:val="006F144E"/>
    <w:rsid w:val="006F5658"/>
    <w:rsid w:val="006F5B98"/>
    <w:rsid w:val="006F7504"/>
    <w:rsid w:val="00700186"/>
    <w:rsid w:val="007048E0"/>
    <w:rsid w:val="00706A77"/>
    <w:rsid w:val="00707BA8"/>
    <w:rsid w:val="00707C46"/>
    <w:rsid w:val="007114E2"/>
    <w:rsid w:val="00714B4D"/>
    <w:rsid w:val="00716B2E"/>
    <w:rsid w:val="00716D18"/>
    <w:rsid w:val="00716DAC"/>
    <w:rsid w:val="00717692"/>
    <w:rsid w:val="007216FC"/>
    <w:rsid w:val="00721748"/>
    <w:rsid w:val="00721A24"/>
    <w:rsid w:val="00722D70"/>
    <w:rsid w:val="00723704"/>
    <w:rsid w:val="007309A5"/>
    <w:rsid w:val="00732A40"/>
    <w:rsid w:val="0073400E"/>
    <w:rsid w:val="00734537"/>
    <w:rsid w:val="0073469F"/>
    <w:rsid w:val="00735BD2"/>
    <w:rsid w:val="00737D45"/>
    <w:rsid w:val="00742D24"/>
    <w:rsid w:val="007456C5"/>
    <w:rsid w:val="00746A0C"/>
    <w:rsid w:val="007531DE"/>
    <w:rsid w:val="00753D25"/>
    <w:rsid w:val="0075438E"/>
    <w:rsid w:val="00754A57"/>
    <w:rsid w:val="00755399"/>
    <w:rsid w:val="007561F0"/>
    <w:rsid w:val="00761518"/>
    <w:rsid w:val="00763140"/>
    <w:rsid w:val="0076317F"/>
    <w:rsid w:val="007633BE"/>
    <w:rsid w:val="00763812"/>
    <w:rsid w:val="00763AB7"/>
    <w:rsid w:val="00763D6C"/>
    <w:rsid w:val="00766F77"/>
    <w:rsid w:val="00771A5F"/>
    <w:rsid w:val="007756C0"/>
    <w:rsid w:val="00775973"/>
    <w:rsid w:val="00780335"/>
    <w:rsid w:val="007813B5"/>
    <w:rsid w:val="00782E49"/>
    <w:rsid w:val="00786D13"/>
    <w:rsid w:val="00787B81"/>
    <w:rsid w:val="007910C4"/>
    <w:rsid w:val="00792856"/>
    <w:rsid w:val="00795BCA"/>
    <w:rsid w:val="00797DE2"/>
    <w:rsid w:val="007A0C75"/>
    <w:rsid w:val="007A163F"/>
    <w:rsid w:val="007A35EB"/>
    <w:rsid w:val="007A64CD"/>
    <w:rsid w:val="007A7C15"/>
    <w:rsid w:val="007B073D"/>
    <w:rsid w:val="007B11D9"/>
    <w:rsid w:val="007B14CA"/>
    <w:rsid w:val="007B1E51"/>
    <w:rsid w:val="007B28DC"/>
    <w:rsid w:val="007B6D61"/>
    <w:rsid w:val="007B74E7"/>
    <w:rsid w:val="007B75C1"/>
    <w:rsid w:val="007B7AC0"/>
    <w:rsid w:val="007B7EC5"/>
    <w:rsid w:val="007C03D8"/>
    <w:rsid w:val="007C4685"/>
    <w:rsid w:val="007C7184"/>
    <w:rsid w:val="007C7E1E"/>
    <w:rsid w:val="007D0714"/>
    <w:rsid w:val="007D4945"/>
    <w:rsid w:val="007D7F7F"/>
    <w:rsid w:val="007E0EAD"/>
    <w:rsid w:val="007E2AEC"/>
    <w:rsid w:val="007E3328"/>
    <w:rsid w:val="007E3ED9"/>
    <w:rsid w:val="007E78A3"/>
    <w:rsid w:val="007E7B19"/>
    <w:rsid w:val="007F0070"/>
    <w:rsid w:val="007F0AD6"/>
    <w:rsid w:val="007F14E8"/>
    <w:rsid w:val="007F2313"/>
    <w:rsid w:val="007F4462"/>
    <w:rsid w:val="007F4911"/>
    <w:rsid w:val="007F4E10"/>
    <w:rsid w:val="007F6CA4"/>
    <w:rsid w:val="0080042A"/>
    <w:rsid w:val="00803A0B"/>
    <w:rsid w:val="00804F3F"/>
    <w:rsid w:val="00807C06"/>
    <w:rsid w:val="008104DA"/>
    <w:rsid w:val="008106D1"/>
    <w:rsid w:val="008107AB"/>
    <w:rsid w:val="00812158"/>
    <w:rsid w:val="008125A9"/>
    <w:rsid w:val="00816EF1"/>
    <w:rsid w:val="00823B71"/>
    <w:rsid w:val="00826224"/>
    <w:rsid w:val="00826E1A"/>
    <w:rsid w:val="00826FE4"/>
    <w:rsid w:val="008278BC"/>
    <w:rsid w:val="008317F7"/>
    <w:rsid w:val="008323B3"/>
    <w:rsid w:val="00832629"/>
    <w:rsid w:val="00832E63"/>
    <w:rsid w:val="00835C26"/>
    <w:rsid w:val="00836073"/>
    <w:rsid w:val="00836CCD"/>
    <w:rsid w:val="00841222"/>
    <w:rsid w:val="0084144E"/>
    <w:rsid w:val="0084230C"/>
    <w:rsid w:val="00842467"/>
    <w:rsid w:val="0084625A"/>
    <w:rsid w:val="00847A2C"/>
    <w:rsid w:val="008509EA"/>
    <w:rsid w:val="00851F3B"/>
    <w:rsid w:val="00854951"/>
    <w:rsid w:val="00861A99"/>
    <w:rsid w:val="00862644"/>
    <w:rsid w:val="00865CA1"/>
    <w:rsid w:val="00865F53"/>
    <w:rsid w:val="00881FA8"/>
    <w:rsid w:val="008822E3"/>
    <w:rsid w:val="00882C18"/>
    <w:rsid w:val="0088310E"/>
    <w:rsid w:val="00886E3F"/>
    <w:rsid w:val="00887AE3"/>
    <w:rsid w:val="008908A3"/>
    <w:rsid w:val="0089141A"/>
    <w:rsid w:val="00893A38"/>
    <w:rsid w:val="008A00DD"/>
    <w:rsid w:val="008A16E2"/>
    <w:rsid w:val="008A3A83"/>
    <w:rsid w:val="008A5DF3"/>
    <w:rsid w:val="008A737F"/>
    <w:rsid w:val="008B0BD4"/>
    <w:rsid w:val="008B1D62"/>
    <w:rsid w:val="008B35C9"/>
    <w:rsid w:val="008B3C47"/>
    <w:rsid w:val="008B4D9A"/>
    <w:rsid w:val="008B553A"/>
    <w:rsid w:val="008B6643"/>
    <w:rsid w:val="008B714F"/>
    <w:rsid w:val="008B7568"/>
    <w:rsid w:val="008C0EDE"/>
    <w:rsid w:val="008C2BAF"/>
    <w:rsid w:val="008C370B"/>
    <w:rsid w:val="008C6FB9"/>
    <w:rsid w:val="008D01CD"/>
    <w:rsid w:val="008D0C6E"/>
    <w:rsid w:val="008D488B"/>
    <w:rsid w:val="008D4B74"/>
    <w:rsid w:val="008D4B81"/>
    <w:rsid w:val="008D60FB"/>
    <w:rsid w:val="008D7A07"/>
    <w:rsid w:val="008D7BD0"/>
    <w:rsid w:val="008E2D85"/>
    <w:rsid w:val="008E3E76"/>
    <w:rsid w:val="008E5EE1"/>
    <w:rsid w:val="008E5FA3"/>
    <w:rsid w:val="008E6597"/>
    <w:rsid w:val="008E79B6"/>
    <w:rsid w:val="008F00CC"/>
    <w:rsid w:val="008F06B7"/>
    <w:rsid w:val="008F23A9"/>
    <w:rsid w:val="008F2FBC"/>
    <w:rsid w:val="008F59A2"/>
    <w:rsid w:val="008F70AE"/>
    <w:rsid w:val="00900234"/>
    <w:rsid w:val="00900508"/>
    <w:rsid w:val="00900AE5"/>
    <w:rsid w:val="00901AB3"/>
    <w:rsid w:val="00902929"/>
    <w:rsid w:val="00903B2C"/>
    <w:rsid w:val="00903C41"/>
    <w:rsid w:val="00904231"/>
    <w:rsid w:val="009108D9"/>
    <w:rsid w:val="0091292A"/>
    <w:rsid w:val="0091354F"/>
    <w:rsid w:val="00913914"/>
    <w:rsid w:val="00913CFA"/>
    <w:rsid w:val="00917A4A"/>
    <w:rsid w:val="009203EA"/>
    <w:rsid w:val="009203ED"/>
    <w:rsid w:val="00921CBA"/>
    <w:rsid w:val="00922C49"/>
    <w:rsid w:val="00924D3B"/>
    <w:rsid w:val="0092575A"/>
    <w:rsid w:val="009264E8"/>
    <w:rsid w:val="00930969"/>
    <w:rsid w:val="009314F0"/>
    <w:rsid w:val="00932578"/>
    <w:rsid w:val="009340BD"/>
    <w:rsid w:val="00935F51"/>
    <w:rsid w:val="00936A5E"/>
    <w:rsid w:val="009374BE"/>
    <w:rsid w:val="00937794"/>
    <w:rsid w:val="00940421"/>
    <w:rsid w:val="009405A5"/>
    <w:rsid w:val="00940E33"/>
    <w:rsid w:val="009422DA"/>
    <w:rsid w:val="0094290D"/>
    <w:rsid w:val="0094391A"/>
    <w:rsid w:val="009445F8"/>
    <w:rsid w:val="009451D3"/>
    <w:rsid w:val="009456F1"/>
    <w:rsid w:val="009501F6"/>
    <w:rsid w:val="009509B0"/>
    <w:rsid w:val="00951FA6"/>
    <w:rsid w:val="00952487"/>
    <w:rsid w:val="00952527"/>
    <w:rsid w:val="009540F3"/>
    <w:rsid w:val="009541A1"/>
    <w:rsid w:val="00954A5C"/>
    <w:rsid w:val="009550ED"/>
    <w:rsid w:val="00955392"/>
    <w:rsid w:val="0096000F"/>
    <w:rsid w:val="009602EB"/>
    <w:rsid w:val="00964C76"/>
    <w:rsid w:val="009651D9"/>
    <w:rsid w:val="009667DA"/>
    <w:rsid w:val="00966C3C"/>
    <w:rsid w:val="009679FA"/>
    <w:rsid w:val="00967E9A"/>
    <w:rsid w:val="00970D2A"/>
    <w:rsid w:val="00973A20"/>
    <w:rsid w:val="00973D42"/>
    <w:rsid w:val="009740CD"/>
    <w:rsid w:val="009742D1"/>
    <w:rsid w:val="00975367"/>
    <w:rsid w:val="00980049"/>
    <w:rsid w:val="009805B5"/>
    <w:rsid w:val="00984BC9"/>
    <w:rsid w:val="009863ED"/>
    <w:rsid w:val="00986625"/>
    <w:rsid w:val="0098785F"/>
    <w:rsid w:val="00990C0B"/>
    <w:rsid w:val="00994FCA"/>
    <w:rsid w:val="00996ED8"/>
    <w:rsid w:val="00997DBD"/>
    <w:rsid w:val="009A1656"/>
    <w:rsid w:val="009A1ADF"/>
    <w:rsid w:val="009A2CD3"/>
    <w:rsid w:val="009A3C37"/>
    <w:rsid w:val="009A643A"/>
    <w:rsid w:val="009A67FF"/>
    <w:rsid w:val="009B0FFC"/>
    <w:rsid w:val="009B1B56"/>
    <w:rsid w:val="009C0FA9"/>
    <w:rsid w:val="009C2EA1"/>
    <w:rsid w:val="009C61AC"/>
    <w:rsid w:val="009C79D4"/>
    <w:rsid w:val="009D0D6A"/>
    <w:rsid w:val="009D1D4D"/>
    <w:rsid w:val="009D228D"/>
    <w:rsid w:val="009D2CD0"/>
    <w:rsid w:val="009D3F2D"/>
    <w:rsid w:val="009D4A16"/>
    <w:rsid w:val="009D73E6"/>
    <w:rsid w:val="009D7A17"/>
    <w:rsid w:val="009E3584"/>
    <w:rsid w:val="009E3616"/>
    <w:rsid w:val="009E409D"/>
    <w:rsid w:val="009E4B90"/>
    <w:rsid w:val="009E5117"/>
    <w:rsid w:val="009E5B03"/>
    <w:rsid w:val="009F37BA"/>
    <w:rsid w:val="009F4CFF"/>
    <w:rsid w:val="009F50FC"/>
    <w:rsid w:val="009F6840"/>
    <w:rsid w:val="00A01087"/>
    <w:rsid w:val="00A03E16"/>
    <w:rsid w:val="00A043A0"/>
    <w:rsid w:val="00A073BB"/>
    <w:rsid w:val="00A1307A"/>
    <w:rsid w:val="00A13401"/>
    <w:rsid w:val="00A13A8F"/>
    <w:rsid w:val="00A1488F"/>
    <w:rsid w:val="00A1794A"/>
    <w:rsid w:val="00A210E6"/>
    <w:rsid w:val="00A2199A"/>
    <w:rsid w:val="00A30081"/>
    <w:rsid w:val="00A3151F"/>
    <w:rsid w:val="00A3257A"/>
    <w:rsid w:val="00A32C54"/>
    <w:rsid w:val="00A34C1C"/>
    <w:rsid w:val="00A35F8F"/>
    <w:rsid w:val="00A36534"/>
    <w:rsid w:val="00A42008"/>
    <w:rsid w:val="00A42728"/>
    <w:rsid w:val="00A4300F"/>
    <w:rsid w:val="00A457DF"/>
    <w:rsid w:val="00A4696C"/>
    <w:rsid w:val="00A479EF"/>
    <w:rsid w:val="00A47C03"/>
    <w:rsid w:val="00A51111"/>
    <w:rsid w:val="00A5161C"/>
    <w:rsid w:val="00A5167B"/>
    <w:rsid w:val="00A522B6"/>
    <w:rsid w:val="00A52F85"/>
    <w:rsid w:val="00A53E6E"/>
    <w:rsid w:val="00A557A3"/>
    <w:rsid w:val="00A57BA2"/>
    <w:rsid w:val="00A6234D"/>
    <w:rsid w:val="00A62F40"/>
    <w:rsid w:val="00A638C8"/>
    <w:rsid w:val="00A640F9"/>
    <w:rsid w:val="00A642F7"/>
    <w:rsid w:val="00A64B0B"/>
    <w:rsid w:val="00A6610B"/>
    <w:rsid w:val="00A66B65"/>
    <w:rsid w:val="00A70D02"/>
    <w:rsid w:val="00A70FEF"/>
    <w:rsid w:val="00A71987"/>
    <w:rsid w:val="00A71D27"/>
    <w:rsid w:val="00A74180"/>
    <w:rsid w:val="00A75ED9"/>
    <w:rsid w:val="00A7794E"/>
    <w:rsid w:val="00A81DEA"/>
    <w:rsid w:val="00A82234"/>
    <w:rsid w:val="00A82718"/>
    <w:rsid w:val="00A82F85"/>
    <w:rsid w:val="00A84DCF"/>
    <w:rsid w:val="00A85E45"/>
    <w:rsid w:val="00A872C1"/>
    <w:rsid w:val="00A91191"/>
    <w:rsid w:val="00A91BF1"/>
    <w:rsid w:val="00A92284"/>
    <w:rsid w:val="00A92BA8"/>
    <w:rsid w:val="00A93196"/>
    <w:rsid w:val="00A93A99"/>
    <w:rsid w:val="00A9400D"/>
    <w:rsid w:val="00A94894"/>
    <w:rsid w:val="00A94AD6"/>
    <w:rsid w:val="00A955A0"/>
    <w:rsid w:val="00A96229"/>
    <w:rsid w:val="00A971E0"/>
    <w:rsid w:val="00A97CC5"/>
    <w:rsid w:val="00AA1426"/>
    <w:rsid w:val="00AA2485"/>
    <w:rsid w:val="00AA4960"/>
    <w:rsid w:val="00AA4A15"/>
    <w:rsid w:val="00AA7CC1"/>
    <w:rsid w:val="00AA7F33"/>
    <w:rsid w:val="00AB1BD6"/>
    <w:rsid w:val="00AB2089"/>
    <w:rsid w:val="00AB3004"/>
    <w:rsid w:val="00AB4902"/>
    <w:rsid w:val="00AB4A5A"/>
    <w:rsid w:val="00AB6098"/>
    <w:rsid w:val="00AB60AD"/>
    <w:rsid w:val="00AB7E1D"/>
    <w:rsid w:val="00AC3CB5"/>
    <w:rsid w:val="00AC5002"/>
    <w:rsid w:val="00AC5A1A"/>
    <w:rsid w:val="00AC5A8F"/>
    <w:rsid w:val="00AC7422"/>
    <w:rsid w:val="00AC7A68"/>
    <w:rsid w:val="00AD0CFA"/>
    <w:rsid w:val="00AD1DEF"/>
    <w:rsid w:val="00AD214E"/>
    <w:rsid w:val="00AD54AD"/>
    <w:rsid w:val="00AD6060"/>
    <w:rsid w:val="00AD62B2"/>
    <w:rsid w:val="00AD7BC5"/>
    <w:rsid w:val="00AE07D9"/>
    <w:rsid w:val="00AE0B7F"/>
    <w:rsid w:val="00AE0EA2"/>
    <w:rsid w:val="00AE3DC1"/>
    <w:rsid w:val="00AE4183"/>
    <w:rsid w:val="00AE4903"/>
    <w:rsid w:val="00AE5B0D"/>
    <w:rsid w:val="00AE689E"/>
    <w:rsid w:val="00AE7BE1"/>
    <w:rsid w:val="00AF03DC"/>
    <w:rsid w:val="00AF27BB"/>
    <w:rsid w:val="00AF2D76"/>
    <w:rsid w:val="00AF3181"/>
    <w:rsid w:val="00AF3326"/>
    <w:rsid w:val="00AF4C5F"/>
    <w:rsid w:val="00AF57CC"/>
    <w:rsid w:val="00AF6653"/>
    <w:rsid w:val="00AF7498"/>
    <w:rsid w:val="00AF7783"/>
    <w:rsid w:val="00B02AF5"/>
    <w:rsid w:val="00B031D4"/>
    <w:rsid w:val="00B05CB3"/>
    <w:rsid w:val="00B07356"/>
    <w:rsid w:val="00B12DA8"/>
    <w:rsid w:val="00B144E7"/>
    <w:rsid w:val="00B144F7"/>
    <w:rsid w:val="00B149CE"/>
    <w:rsid w:val="00B16A13"/>
    <w:rsid w:val="00B16CA3"/>
    <w:rsid w:val="00B17905"/>
    <w:rsid w:val="00B22439"/>
    <w:rsid w:val="00B22A65"/>
    <w:rsid w:val="00B22CA1"/>
    <w:rsid w:val="00B24070"/>
    <w:rsid w:val="00B26C79"/>
    <w:rsid w:val="00B27B01"/>
    <w:rsid w:val="00B31742"/>
    <w:rsid w:val="00B31AAF"/>
    <w:rsid w:val="00B359E4"/>
    <w:rsid w:val="00B36A8E"/>
    <w:rsid w:val="00B43006"/>
    <w:rsid w:val="00B453AB"/>
    <w:rsid w:val="00B46344"/>
    <w:rsid w:val="00B501E6"/>
    <w:rsid w:val="00B5326B"/>
    <w:rsid w:val="00B54D5C"/>
    <w:rsid w:val="00B551AA"/>
    <w:rsid w:val="00B558A7"/>
    <w:rsid w:val="00B64E6C"/>
    <w:rsid w:val="00B650B8"/>
    <w:rsid w:val="00B660D9"/>
    <w:rsid w:val="00B67103"/>
    <w:rsid w:val="00B7168C"/>
    <w:rsid w:val="00B7176C"/>
    <w:rsid w:val="00B719B7"/>
    <w:rsid w:val="00B74236"/>
    <w:rsid w:val="00B74618"/>
    <w:rsid w:val="00B7575D"/>
    <w:rsid w:val="00B8388D"/>
    <w:rsid w:val="00B83C70"/>
    <w:rsid w:val="00B83E62"/>
    <w:rsid w:val="00B925C6"/>
    <w:rsid w:val="00B93245"/>
    <w:rsid w:val="00B94F3D"/>
    <w:rsid w:val="00B958CE"/>
    <w:rsid w:val="00B95F2C"/>
    <w:rsid w:val="00BA0041"/>
    <w:rsid w:val="00BA0387"/>
    <w:rsid w:val="00BA07F2"/>
    <w:rsid w:val="00BA0BE8"/>
    <w:rsid w:val="00BA1CD2"/>
    <w:rsid w:val="00BA2886"/>
    <w:rsid w:val="00BA34E0"/>
    <w:rsid w:val="00BA4090"/>
    <w:rsid w:val="00BA4DB7"/>
    <w:rsid w:val="00BA5CAC"/>
    <w:rsid w:val="00BA67F1"/>
    <w:rsid w:val="00BA6BFC"/>
    <w:rsid w:val="00BB0B66"/>
    <w:rsid w:val="00BB5CFF"/>
    <w:rsid w:val="00BB60C6"/>
    <w:rsid w:val="00BB64A1"/>
    <w:rsid w:val="00BC0B5F"/>
    <w:rsid w:val="00BC14B6"/>
    <w:rsid w:val="00BC3B77"/>
    <w:rsid w:val="00BC3D8C"/>
    <w:rsid w:val="00BC41F5"/>
    <w:rsid w:val="00BC6E16"/>
    <w:rsid w:val="00BD08BC"/>
    <w:rsid w:val="00BD0EB2"/>
    <w:rsid w:val="00BD5727"/>
    <w:rsid w:val="00BD5EDE"/>
    <w:rsid w:val="00BD6BBB"/>
    <w:rsid w:val="00BD7414"/>
    <w:rsid w:val="00BD7D5D"/>
    <w:rsid w:val="00BE1449"/>
    <w:rsid w:val="00BE1767"/>
    <w:rsid w:val="00BE5849"/>
    <w:rsid w:val="00BE6857"/>
    <w:rsid w:val="00BE725F"/>
    <w:rsid w:val="00BE7926"/>
    <w:rsid w:val="00BF0C2C"/>
    <w:rsid w:val="00BF1502"/>
    <w:rsid w:val="00BF2D1F"/>
    <w:rsid w:val="00BF4F7B"/>
    <w:rsid w:val="00BF5EBC"/>
    <w:rsid w:val="00BF64C8"/>
    <w:rsid w:val="00BF6997"/>
    <w:rsid w:val="00C009B3"/>
    <w:rsid w:val="00C00CC9"/>
    <w:rsid w:val="00C00EC6"/>
    <w:rsid w:val="00C04559"/>
    <w:rsid w:val="00C060A0"/>
    <w:rsid w:val="00C0745C"/>
    <w:rsid w:val="00C10D54"/>
    <w:rsid w:val="00C11A6F"/>
    <w:rsid w:val="00C12EE9"/>
    <w:rsid w:val="00C13E81"/>
    <w:rsid w:val="00C1400D"/>
    <w:rsid w:val="00C14B1B"/>
    <w:rsid w:val="00C216CF"/>
    <w:rsid w:val="00C21E7D"/>
    <w:rsid w:val="00C2247F"/>
    <w:rsid w:val="00C231C8"/>
    <w:rsid w:val="00C273A7"/>
    <w:rsid w:val="00C30FA6"/>
    <w:rsid w:val="00C34C8C"/>
    <w:rsid w:val="00C37008"/>
    <w:rsid w:val="00C37803"/>
    <w:rsid w:val="00C4075F"/>
    <w:rsid w:val="00C4134E"/>
    <w:rsid w:val="00C424DE"/>
    <w:rsid w:val="00C43268"/>
    <w:rsid w:val="00C447A0"/>
    <w:rsid w:val="00C46C75"/>
    <w:rsid w:val="00C508E3"/>
    <w:rsid w:val="00C50FEE"/>
    <w:rsid w:val="00C51418"/>
    <w:rsid w:val="00C52801"/>
    <w:rsid w:val="00C54D11"/>
    <w:rsid w:val="00C55821"/>
    <w:rsid w:val="00C563A1"/>
    <w:rsid w:val="00C56BCE"/>
    <w:rsid w:val="00C6106E"/>
    <w:rsid w:val="00C615B9"/>
    <w:rsid w:val="00C61B53"/>
    <w:rsid w:val="00C64AD0"/>
    <w:rsid w:val="00C67B52"/>
    <w:rsid w:val="00C730E2"/>
    <w:rsid w:val="00C76DEC"/>
    <w:rsid w:val="00C807C7"/>
    <w:rsid w:val="00C85795"/>
    <w:rsid w:val="00C90937"/>
    <w:rsid w:val="00C91FB3"/>
    <w:rsid w:val="00C92F69"/>
    <w:rsid w:val="00C94363"/>
    <w:rsid w:val="00C97C11"/>
    <w:rsid w:val="00CA13A8"/>
    <w:rsid w:val="00CA1DD6"/>
    <w:rsid w:val="00CA1F97"/>
    <w:rsid w:val="00CA2687"/>
    <w:rsid w:val="00CA3413"/>
    <w:rsid w:val="00CA4C9C"/>
    <w:rsid w:val="00CA6C08"/>
    <w:rsid w:val="00CB0FC2"/>
    <w:rsid w:val="00CB1474"/>
    <w:rsid w:val="00CB17C7"/>
    <w:rsid w:val="00CB21CB"/>
    <w:rsid w:val="00CB21D8"/>
    <w:rsid w:val="00CB2421"/>
    <w:rsid w:val="00CB3F06"/>
    <w:rsid w:val="00CB4060"/>
    <w:rsid w:val="00CB4338"/>
    <w:rsid w:val="00CB4739"/>
    <w:rsid w:val="00CB4FCA"/>
    <w:rsid w:val="00CB5AAC"/>
    <w:rsid w:val="00CB7020"/>
    <w:rsid w:val="00CB74AC"/>
    <w:rsid w:val="00CC1C92"/>
    <w:rsid w:val="00CC3DCF"/>
    <w:rsid w:val="00CC4B06"/>
    <w:rsid w:val="00CD0379"/>
    <w:rsid w:val="00CD03AC"/>
    <w:rsid w:val="00CD0798"/>
    <w:rsid w:val="00CD14FB"/>
    <w:rsid w:val="00CD5ACE"/>
    <w:rsid w:val="00CD5CF2"/>
    <w:rsid w:val="00CD6552"/>
    <w:rsid w:val="00CD6760"/>
    <w:rsid w:val="00CD7975"/>
    <w:rsid w:val="00CD7D7B"/>
    <w:rsid w:val="00CE006E"/>
    <w:rsid w:val="00CE01BE"/>
    <w:rsid w:val="00CE1027"/>
    <w:rsid w:val="00CE1796"/>
    <w:rsid w:val="00CE19D3"/>
    <w:rsid w:val="00CE1A37"/>
    <w:rsid w:val="00CE1DBC"/>
    <w:rsid w:val="00CE3100"/>
    <w:rsid w:val="00CE54D0"/>
    <w:rsid w:val="00CE5661"/>
    <w:rsid w:val="00CE56FD"/>
    <w:rsid w:val="00CF0133"/>
    <w:rsid w:val="00CF3604"/>
    <w:rsid w:val="00CF44BE"/>
    <w:rsid w:val="00CF5B36"/>
    <w:rsid w:val="00CF671C"/>
    <w:rsid w:val="00D00A6B"/>
    <w:rsid w:val="00D02025"/>
    <w:rsid w:val="00D029BA"/>
    <w:rsid w:val="00D0312A"/>
    <w:rsid w:val="00D07817"/>
    <w:rsid w:val="00D14DDC"/>
    <w:rsid w:val="00D15A89"/>
    <w:rsid w:val="00D16988"/>
    <w:rsid w:val="00D17479"/>
    <w:rsid w:val="00D17C12"/>
    <w:rsid w:val="00D204C4"/>
    <w:rsid w:val="00D243B5"/>
    <w:rsid w:val="00D26683"/>
    <w:rsid w:val="00D27B59"/>
    <w:rsid w:val="00D27F2E"/>
    <w:rsid w:val="00D318F4"/>
    <w:rsid w:val="00D31C32"/>
    <w:rsid w:val="00D332C4"/>
    <w:rsid w:val="00D332E1"/>
    <w:rsid w:val="00D33B11"/>
    <w:rsid w:val="00D34AA3"/>
    <w:rsid w:val="00D35AAE"/>
    <w:rsid w:val="00D37A80"/>
    <w:rsid w:val="00D41275"/>
    <w:rsid w:val="00D4243D"/>
    <w:rsid w:val="00D426C9"/>
    <w:rsid w:val="00D428DE"/>
    <w:rsid w:val="00D428E9"/>
    <w:rsid w:val="00D42E4C"/>
    <w:rsid w:val="00D43452"/>
    <w:rsid w:val="00D44144"/>
    <w:rsid w:val="00D44DD8"/>
    <w:rsid w:val="00D46DCC"/>
    <w:rsid w:val="00D501A3"/>
    <w:rsid w:val="00D54C49"/>
    <w:rsid w:val="00D568B2"/>
    <w:rsid w:val="00D60AEC"/>
    <w:rsid w:val="00D61D9C"/>
    <w:rsid w:val="00D63189"/>
    <w:rsid w:val="00D63517"/>
    <w:rsid w:val="00D641F7"/>
    <w:rsid w:val="00D6518C"/>
    <w:rsid w:val="00D678A5"/>
    <w:rsid w:val="00D74250"/>
    <w:rsid w:val="00D74514"/>
    <w:rsid w:val="00D74A77"/>
    <w:rsid w:val="00D77CF2"/>
    <w:rsid w:val="00D80016"/>
    <w:rsid w:val="00D81079"/>
    <w:rsid w:val="00D810D4"/>
    <w:rsid w:val="00D814AC"/>
    <w:rsid w:val="00D81DAC"/>
    <w:rsid w:val="00D82685"/>
    <w:rsid w:val="00D8605C"/>
    <w:rsid w:val="00D86413"/>
    <w:rsid w:val="00D87D7C"/>
    <w:rsid w:val="00D94141"/>
    <w:rsid w:val="00D950ED"/>
    <w:rsid w:val="00D95DDD"/>
    <w:rsid w:val="00DA5E9C"/>
    <w:rsid w:val="00DA6293"/>
    <w:rsid w:val="00DB038E"/>
    <w:rsid w:val="00DB0722"/>
    <w:rsid w:val="00DB3B9F"/>
    <w:rsid w:val="00DB5B50"/>
    <w:rsid w:val="00DB64CE"/>
    <w:rsid w:val="00DB6759"/>
    <w:rsid w:val="00DC02FC"/>
    <w:rsid w:val="00DC0634"/>
    <w:rsid w:val="00DC39B4"/>
    <w:rsid w:val="00DC3E07"/>
    <w:rsid w:val="00DC45C4"/>
    <w:rsid w:val="00DC565B"/>
    <w:rsid w:val="00DD35F8"/>
    <w:rsid w:val="00DD49B1"/>
    <w:rsid w:val="00DD4F55"/>
    <w:rsid w:val="00DD52C3"/>
    <w:rsid w:val="00DD53CC"/>
    <w:rsid w:val="00DD5CAB"/>
    <w:rsid w:val="00DD5FC7"/>
    <w:rsid w:val="00DD6D81"/>
    <w:rsid w:val="00DE0081"/>
    <w:rsid w:val="00DE0138"/>
    <w:rsid w:val="00DE0235"/>
    <w:rsid w:val="00DE0C0D"/>
    <w:rsid w:val="00DE0ED5"/>
    <w:rsid w:val="00DE297D"/>
    <w:rsid w:val="00DE348E"/>
    <w:rsid w:val="00DE4BF8"/>
    <w:rsid w:val="00DE6657"/>
    <w:rsid w:val="00DE6D98"/>
    <w:rsid w:val="00DF1739"/>
    <w:rsid w:val="00DF1C0B"/>
    <w:rsid w:val="00DF24B4"/>
    <w:rsid w:val="00DF3969"/>
    <w:rsid w:val="00DF42A0"/>
    <w:rsid w:val="00DF4F99"/>
    <w:rsid w:val="00DF6E9D"/>
    <w:rsid w:val="00E0044E"/>
    <w:rsid w:val="00E007D7"/>
    <w:rsid w:val="00E01F01"/>
    <w:rsid w:val="00E02A41"/>
    <w:rsid w:val="00E02CB2"/>
    <w:rsid w:val="00E03B19"/>
    <w:rsid w:val="00E03F1B"/>
    <w:rsid w:val="00E04320"/>
    <w:rsid w:val="00E056CE"/>
    <w:rsid w:val="00E063B4"/>
    <w:rsid w:val="00E068A6"/>
    <w:rsid w:val="00E07832"/>
    <w:rsid w:val="00E10B62"/>
    <w:rsid w:val="00E10D42"/>
    <w:rsid w:val="00E10F5E"/>
    <w:rsid w:val="00E113D7"/>
    <w:rsid w:val="00E127E7"/>
    <w:rsid w:val="00E127EE"/>
    <w:rsid w:val="00E162FB"/>
    <w:rsid w:val="00E214A1"/>
    <w:rsid w:val="00E21BDE"/>
    <w:rsid w:val="00E23EB5"/>
    <w:rsid w:val="00E24C60"/>
    <w:rsid w:val="00E24D05"/>
    <w:rsid w:val="00E277E1"/>
    <w:rsid w:val="00E312DC"/>
    <w:rsid w:val="00E32654"/>
    <w:rsid w:val="00E32F66"/>
    <w:rsid w:val="00E33AB1"/>
    <w:rsid w:val="00E33E31"/>
    <w:rsid w:val="00E3431A"/>
    <w:rsid w:val="00E35F38"/>
    <w:rsid w:val="00E361D1"/>
    <w:rsid w:val="00E37BDD"/>
    <w:rsid w:val="00E40822"/>
    <w:rsid w:val="00E41C43"/>
    <w:rsid w:val="00E4239E"/>
    <w:rsid w:val="00E43C59"/>
    <w:rsid w:val="00E53557"/>
    <w:rsid w:val="00E53A2C"/>
    <w:rsid w:val="00E541E8"/>
    <w:rsid w:val="00E568D3"/>
    <w:rsid w:val="00E57238"/>
    <w:rsid w:val="00E60C0F"/>
    <w:rsid w:val="00E60FE2"/>
    <w:rsid w:val="00E61892"/>
    <w:rsid w:val="00E632F9"/>
    <w:rsid w:val="00E63AB4"/>
    <w:rsid w:val="00E65F89"/>
    <w:rsid w:val="00E67E1E"/>
    <w:rsid w:val="00E708A3"/>
    <w:rsid w:val="00E709B0"/>
    <w:rsid w:val="00E70F4E"/>
    <w:rsid w:val="00E722DC"/>
    <w:rsid w:val="00E72694"/>
    <w:rsid w:val="00E728F0"/>
    <w:rsid w:val="00E72EB6"/>
    <w:rsid w:val="00E73EF8"/>
    <w:rsid w:val="00E7508B"/>
    <w:rsid w:val="00E7596F"/>
    <w:rsid w:val="00E77D4A"/>
    <w:rsid w:val="00E80876"/>
    <w:rsid w:val="00E82191"/>
    <w:rsid w:val="00E85D12"/>
    <w:rsid w:val="00E86FC7"/>
    <w:rsid w:val="00E9022A"/>
    <w:rsid w:val="00E9059E"/>
    <w:rsid w:val="00E9407A"/>
    <w:rsid w:val="00E94408"/>
    <w:rsid w:val="00E94487"/>
    <w:rsid w:val="00E944A7"/>
    <w:rsid w:val="00E974AD"/>
    <w:rsid w:val="00EA0D3A"/>
    <w:rsid w:val="00EA0DDF"/>
    <w:rsid w:val="00EA1529"/>
    <w:rsid w:val="00EA1D88"/>
    <w:rsid w:val="00EA79AD"/>
    <w:rsid w:val="00EA7BBB"/>
    <w:rsid w:val="00EB05D5"/>
    <w:rsid w:val="00EB1156"/>
    <w:rsid w:val="00EB16F6"/>
    <w:rsid w:val="00EB24B9"/>
    <w:rsid w:val="00EB3081"/>
    <w:rsid w:val="00EB362C"/>
    <w:rsid w:val="00EB42EE"/>
    <w:rsid w:val="00EB452D"/>
    <w:rsid w:val="00EB4647"/>
    <w:rsid w:val="00EB4B47"/>
    <w:rsid w:val="00EB4BA0"/>
    <w:rsid w:val="00EB5BA0"/>
    <w:rsid w:val="00EB614F"/>
    <w:rsid w:val="00EC036E"/>
    <w:rsid w:val="00EC3257"/>
    <w:rsid w:val="00EC4BDF"/>
    <w:rsid w:val="00EC6A50"/>
    <w:rsid w:val="00EC7EE8"/>
    <w:rsid w:val="00ED1932"/>
    <w:rsid w:val="00ED32E1"/>
    <w:rsid w:val="00ED53BF"/>
    <w:rsid w:val="00ED740E"/>
    <w:rsid w:val="00ED78B8"/>
    <w:rsid w:val="00EE0DF3"/>
    <w:rsid w:val="00EE121A"/>
    <w:rsid w:val="00EE39DD"/>
    <w:rsid w:val="00EE62BF"/>
    <w:rsid w:val="00EF252F"/>
    <w:rsid w:val="00EF2F6E"/>
    <w:rsid w:val="00EF333C"/>
    <w:rsid w:val="00EF6CD9"/>
    <w:rsid w:val="00F0101F"/>
    <w:rsid w:val="00F02099"/>
    <w:rsid w:val="00F05A27"/>
    <w:rsid w:val="00F07152"/>
    <w:rsid w:val="00F07B92"/>
    <w:rsid w:val="00F1030C"/>
    <w:rsid w:val="00F12C24"/>
    <w:rsid w:val="00F13B3F"/>
    <w:rsid w:val="00F15637"/>
    <w:rsid w:val="00F167E4"/>
    <w:rsid w:val="00F2087C"/>
    <w:rsid w:val="00F223F3"/>
    <w:rsid w:val="00F2496F"/>
    <w:rsid w:val="00F26286"/>
    <w:rsid w:val="00F264BB"/>
    <w:rsid w:val="00F26A0D"/>
    <w:rsid w:val="00F31D75"/>
    <w:rsid w:val="00F32FF6"/>
    <w:rsid w:val="00F343B9"/>
    <w:rsid w:val="00F40254"/>
    <w:rsid w:val="00F41AA4"/>
    <w:rsid w:val="00F4303B"/>
    <w:rsid w:val="00F4307A"/>
    <w:rsid w:val="00F44318"/>
    <w:rsid w:val="00F47E79"/>
    <w:rsid w:val="00F47F0E"/>
    <w:rsid w:val="00F5046B"/>
    <w:rsid w:val="00F51386"/>
    <w:rsid w:val="00F54CCF"/>
    <w:rsid w:val="00F56915"/>
    <w:rsid w:val="00F56B14"/>
    <w:rsid w:val="00F60FF6"/>
    <w:rsid w:val="00F63745"/>
    <w:rsid w:val="00F6428B"/>
    <w:rsid w:val="00F65D5F"/>
    <w:rsid w:val="00F67203"/>
    <w:rsid w:val="00F707AB"/>
    <w:rsid w:val="00F70FF0"/>
    <w:rsid w:val="00F72279"/>
    <w:rsid w:val="00F74D55"/>
    <w:rsid w:val="00F75ACF"/>
    <w:rsid w:val="00F761F2"/>
    <w:rsid w:val="00F773EF"/>
    <w:rsid w:val="00F77475"/>
    <w:rsid w:val="00F77D04"/>
    <w:rsid w:val="00F8214D"/>
    <w:rsid w:val="00F8238C"/>
    <w:rsid w:val="00F82A55"/>
    <w:rsid w:val="00F875C9"/>
    <w:rsid w:val="00F912BC"/>
    <w:rsid w:val="00F923D4"/>
    <w:rsid w:val="00F9240A"/>
    <w:rsid w:val="00F9477A"/>
    <w:rsid w:val="00F94CE8"/>
    <w:rsid w:val="00F94F97"/>
    <w:rsid w:val="00F97E15"/>
    <w:rsid w:val="00FA0075"/>
    <w:rsid w:val="00FA014B"/>
    <w:rsid w:val="00FA1663"/>
    <w:rsid w:val="00FA31AB"/>
    <w:rsid w:val="00FA6C14"/>
    <w:rsid w:val="00FA7E23"/>
    <w:rsid w:val="00FB0516"/>
    <w:rsid w:val="00FB3436"/>
    <w:rsid w:val="00FB3639"/>
    <w:rsid w:val="00FB4BB7"/>
    <w:rsid w:val="00FC01B7"/>
    <w:rsid w:val="00FC40F2"/>
    <w:rsid w:val="00FC452A"/>
    <w:rsid w:val="00FC62AC"/>
    <w:rsid w:val="00FC700D"/>
    <w:rsid w:val="00FD696F"/>
    <w:rsid w:val="00FE0661"/>
    <w:rsid w:val="00FE2A73"/>
    <w:rsid w:val="00FE2C0B"/>
    <w:rsid w:val="00FE4200"/>
    <w:rsid w:val="00FE5159"/>
    <w:rsid w:val="00FE72DE"/>
    <w:rsid w:val="00FF023D"/>
    <w:rsid w:val="00FF13F2"/>
    <w:rsid w:val="00FF1793"/>
    <w:rsid w:val="00FF62F6"/>
    <w:rsid w:val="00FF65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5F8F"/>
    <w:rPr>
      <w:sz w:val="24"/>
      <w:szCs w:val="24"/>
    </w:rPr>
  </w:style>
  <w:style w:type="paragraph" w:styleId="Heading1">
    <w:name w:val="heading 1"/>
    <w:basedOn w:val="Normal"/>
    <w:next w:val="Normal"/>
    <w:qFormat/>
    <w:rsid w:val="00F923D4"/>
    <w:pPr>
      <w:keepNext/>
      <w:spacing w:after="240"/>
      <w:ind w:left="1985" w:right="284" w:hanging="1985"/>
      <w:outlineLvl w:val="0"/>
    </w:pPr>
    <w:rPr>
      <w:rFonts w:ascii="Arial" w:hAnsi="Arial"/>
      <w:b/>
      <w:szCs w:val="20"/>
      <w:lang w:val="en-GB"/>
    </w:rPr>
  </w:style>
  <w:style w:type="paragraph" w:styleId="Heading2">
    <w:name w:val="heading 2"/>
    <w:aliases w:val="H2,UNDERRUBRIK 1-2,h2,R2,H21,Head2A,2,h21,Heading Two,l2,Sub-section,level 2,Titre 2P,Titre2P"/>
    <w:basedOn w:val="Normal"/>
    <w:next w:val="Normal"/>
    <w:qFormat/>
    <w:rsid w:val="00157591"/>
    <w:pPr>
      <w:keepNext/>
      <w:spacing w:before="240" w:after="60"/>
      <w:jc w:val="both"/>
      <w:outlineLvl w:val="1"/>
    </w:pPr>
    <w:rPr>
      <w:rFonts w:ascii="Times New Roman Bold" w:hAnsi="Times New Roman Bold"/>
      <w:b/>
      <w:i/>
      <w:sz w:val="22"/>
      <w:szCs w:val="20"/>
    </w:rPr>
  </w:style>
  <w:style w:type="paragraph" w:styleId="Heading3">
    <w:name w:val="heading 3"/>
    <w:aliases w:val="Memo Heading 3,H3,h3,h31,Underrubrik2"/>
    <w:basedOn w:val="Normal"/>
    <w:next w:val="Normal"/>
    <w:qFormat/>
    <w:rsid w:val="00157591"/>
    <w:pPr>
      <w:keepNext/>
      <w:spacing w:before="240" w:after="60"/>
      <w:outlineLvl w:val="2"/>
    </w:pPr>
    <w:rPr>
      <w:rFonts w:ascii="Arial" w:hAnsi="Arial" w:cs="Arial"/>
      <w:b/>
      <w:bCs/>
      <w:sz w:val="26"/>
      <w:szCs w:val="26"/>
    </w:rPr>
  </w:style>
  <w:style w:type="paragraph" w:styleId="Heading4">
    <w:name w:val="heading 4"/>
    <w:aliases w:val="h4"/>
    <w:basedOn w:val="Heading3"/>
    <w:next w:val="Normal"/>
    <w:qFormat/>
    <w:rsid w:val="00157591"/>
    <w:pPr>
      <w:keepLines/>
      <w:numPr>
        <w:ilvl w:val="3"/>
        <w:numId w:val="4"/>
      </w:numPr>
      <w:tabs>
        <w:tab w:val="left" w:pos="1440"/>
      </w:tabs>
      <w:spacing w:before="120" w:after="180"/>
      <w:jc w:val="both"/>
      <w:outlineLvl w:val="3"/>
    </w:pPr>
    <w:rPr>
      <w:rFonts w:ascii="Helvetica" w:hAnsi="Helvetica" w:cs="Times New Roman"/>
      <w:bCs w:val="0"/>
      <w:sz w:val="20"/>
      <w:szCs w:val="20"/>
      <w:lang w:val="en-GB"/>
    </w:rPr>
  </w:style>
  <w:style w:type="paragraph" w:styleId="Heading5">
    <w:name w:val="heading 5"/>
    <w:basedOn w:val="Normal"/>
    <w:next w:val="Normal"/>
    <w:qFormat/>
    <w:rsid w:val="00157591"/>
    <w:pPr>
      <w:numPr>
        <w:ilvl w:val="4"/>
        <w:numId w:val="4"/>
      </w:numPr>
      <w:spacing w:before="240" w:after="60"/>
      <w:outlineLvl w:val="4"/>
    </w:pPr>
    <w:rPr>
      <w:b/>
      <w:bCs/>
      <w:i/>
      <w:iCs/>
      <w:sz w:val="26"/>
      <w:szCs w:val="26"/>
    </w:rPr>
  </w:style>
  <w:style w:type="paragraph" w:styleId="Heading6">
    <w:name w:val="heading 6"/>
    <w:basedOn w:val="Normal"/>
    <w:next w:val="Normal"/>
    <w:qFormat/>
    <w:rsid w:val="00157591"/>
    <w:pPr>
      <w:keepNext/>
      <w:keepLines/>
      <w:numPr>
        <w:ilvl w:val="5"/>
        <w:numId w:val="4"/>
      </w:numPr>
      <w:spacing w:before="120" w:after="180"/>
      <w:jc w:val="both"/>
      <w:outlineLvl w:val="5"/>
    </w:pPr>
    <w:rPr>
      <w:rFonts w:ascii="Arial" w:hAnsi="Arial"/>
      <w:sz w:val="20"/>
      <w:szCs w:val="20"/>
      <w:lang w:val="en-GB"/>
    </w:rPr>
  </w:style>
  <w:style w:type="paragraph" w:styleId="Heading7">
    <w:name w:val="heading 7"/>
    <w:basedOn w:val="Normal"/>
    <w:next w:val="Normal"/>
    <w:qFormat/>
    <w:rsid w:val="00157591"/>
    <w:pPr>
      <w:keepNext/>
      <w:keepLines/>
      <w:numPr>
        <w:ilvl w:val="6"/>
        <w:numId w:val="4"/>
      </w:numPr>
      <w:spacing w:before="120" w:after="180"/>
      <w:jc w:val="both"/>
      <w:outlineLvl w:val="6"/>
    </w:pPr>
    <w:rPr>
      <w:rFonts w:ascii="Arial" w:hAnsi="Arial"/>
      <w:sz w:val="20"/>
      <w:szCs w:val="20"/>
      <w:lang w:val="en-GB"/>
    </w:rPr>
  </w:style>
  <w:style w:type="paragraph" w:styleId="Heading8">
    <w:name w:val="heading 8"/>
    <w:basedOn w:val="Heading1"/>
    <w:next w:val="Normal"/>
    <w:qFormat/>
    <w:rsid w:val="00157591"/>
    <w:pPr>
      <w:keepLines/>
      <w:numPr>
        <w:ilvl w:val="7"/>
        <w:numId w:val="4"/>
      </w:numPr>
      <w:pBdr>
        <w:top w:val="single" w:sz="12" w:space="3" w:color="auto"/>
      </w:pBdr>
      <w:spacing w:before="240" w:after="180"/>
      <w:ind w:right="0"/>
      <w:outlineLvl w:val="7"/>
    </w:pPr>
    <w:rPr>
      <w:b w:val="0"/>
      <w:sz w:val="36"/>
    </w:rPr>
  </w:style>
  <w:style w:type="paragraph" w:styleId="Heading9">
    <w:name w:val="heading 9"/>
    <w:basedOn w:val="Heading8"/>
    <w:next w:val="Normal"/>
    <w:qFormat/>
    <w:rsid w:val="001575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F923D4"/>
    <w:pPr>
      <w:spacing w:after="220"/>
    </w:pPr>
    <w:rPr>
      <w:rFonts w:ascii="Arial" w:hAnsi="Arial"/>
      <w:sz w:val="22"/>
      <w:szCs w:val="20"/>
    </w:rPr>
  </w:style>
  <w:style w:type="paragraph" w:styleId="BodyTextIndent">
    <w:name w:val="Body Text Indent"/>
    <w:basedOn w:val="Normal"/>
    <w:rsid w:val="00F923D4"/>
    <w:pPr>
      <w:ind w:left="480" w:hanging="480"/>
    </w:pPr>
    <w:rPr>
      <w:sz w:val="20"/>
      <w:szCs w:val="20"/>
      <w:lang w:val="en-GB"/>
    </w:rPr>
  </w:style>
  <w:style w:type="table" w:styleId="TableGrid">
    <w:name w:val="Table Grid"/>
    <w:basedOn w:val="TableNormal"/>
    <w:rsid w:val="00E60C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BB5CFF"/>
    <w:rPr>
      <w:rFonts w:ascii="Tahoma" w:hAnsi="Tahoma" w:cs="Tahoma"/>
      <w:sz w:val="16"/>
      <w:szCs w:val="16"/>
    </w:rPr>
  </w:style>
  <w:style w:type="paragraph" w:styleId="Caption">
    <w:name w:val="caption"/>
    <w:aliases w:val="cap,cap Char,Caption Char,Caption Char1 Char,cap Char Char1,Caption Char Char1 Char,cap Char2"/>
    <w:basedOn w:val="Normal"/>
    <w:next w:val="Normal"/>
    <w:link w:val="CaptionChar1"/>
    <w:qFormat/>
    <w:rsid w:val="00707C46"/>
    <w:rPr>
      <w:b/>
      <w:bCs/>
      <w:sz w:val="20"/>
      <w:szCs w:val="20"/>
    </w:rPr>
  </w:style>
  <w:style w:type="paragraph" w:customStyle="1" w:styleId="Default">
    <w:name w:val="Default"/>
    <w:rsid w:val="006328FB"/>
    <w:pPr>
      <w:autoSpaceDE w:val="0"/>
      <w:autoSpaceDN w:val="0"/>
      <w:adjustRightInd w:val="0"/>
    </w:pPr>
    <w:rPr>
      <w:rFonts w:eastAsia="Batang"/>
      <w:color w:val="000000"/>
      <w:sz w:val="24"/>
      <w:szCs w:val="24"/>
      <w:lang w:eastAsia="ko-KR"/>
    </w:rPr>
  </w:style>
  <w:style w:type="paragraph" w:customStyle="1" w:styleId="ZT">
    <w:name w:val="ZT"/>
    <w:rsid w:val="006328FB"/>
    <w:pPr>
      <w:framePr w:wrap="notBeside" w:hAnchor="margin" w:yAlign="center"/>
      <w:widowControl w:val="0"/>
      <w:spacing w:line="240" w:lineRule="atLeast"/>
      <w:jc w:val="right"/>
    </w:pPr>
    <w:rPr>
      <w:rFonts w:ascii="Arial" w:hAnsi="Arial"/>
      <w:b/>
      <w:sz w:val="34"/>
      <w:lang w:val="en-GB"/>
    </w:rPr>
  </w:style>
  <w:style w:type="paragraph" w:customStyle="1" w:styleId="TAC">
    <w:name w:val="TAC"/>
    <w:basedOn w:val="Normal"/>
    <w:link w:val="TACChar"/>
    <w:rsid w:val="00C14B1B"/>
    <w:pPr>
      <w:keepNext/>
      <w:keepLines/>
      <w:jc w:val="center"/>
    </w:pPr>
    <w:rPr>
      <w:rFonts w:ascii="Arial" w:hAnsi="Arial"/>
      <w:sz w:val="18"/>
      <w:szCs w:val="20"/>
      <w:lang w:val="en-GB"/>
    </w:rPr>
  </w:style>
  <w:style w:type="paragraph" w:customStyle="1" w:styleId="TH">
    <w:name w:val="TH"/>
    <w:basedOn w:val="Normal"/>
    <w:link w:val="THChar"/>
    <w:rsid w:val="00C14B1B"/>
    <w:pPr>
      <w:keepNext/>
      <w:keepLines/>
      <w:spacing w:before="60" w:after="180"/>
      <w:jc w:val="center"/>
    </w:pPr>
    <w:rPr>
      <w:rFonts w:ascii="Arial" w:hAnsi="Arial"/>
      <w:b/>
      <w:sz w:val="20"/>
      <w:szCs w:val="20"/>
      <w:lang w:val="en-GB"/>
    </w:rPr>
  </w:style>
  <w:style w:type="character" w:customStyle="1" w:styleId="THChar">
    <w:name w:val="TH Char"/>
    <w:basedOn w:val="DefaultParagraphFont"/>
    <w:link w:val="TH"/>
    <w:rsid w:val="00C14B1B"/>
    <w:rPr>
      <w:rFonts w:ascii="Arial" w:hAnsi="Arial"/>
      <w:b/>
      <w:lang w:val="en-GB" w:eastAsia="en-US" w:bidi="ar-SA"/>
    </w:rPr>
  </w:style>
  <w:style w:type="paragraph" w:styleId="FootnoteText">
    <w:name w:val="footnote text"/>
    <w:basedOn w:val="Normal"/>
    <w:semiHidden/>
    <w:rsid w:val="00F75ACF"/>
    <w:pPr>
      <w:keepLines/>
      <w:ind w:left="454" w:hanging="454"/>
    </w:pPr>
    <w:rPr>
      <w:rFonts w:eastAsia="MS Mincho"/>
      <w:sz w:val="16"/>
      <w:szCs w:val="20"/>
      <w:lang w:val="en-GB"/>
    </w:rPr>
  </w:style>
  <w:style w:type="paragraph" w:customStyle="1" w:styleId="MotorolaResponse1">
    <w:name w:val="Motorola Response1"/>
    <w:semiHidden/>
    <w:rsid w:val="00F75ACF"/>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984BC9"/>
    <w:rPr>
      <w:b/>
      <w:bCs/>
      <w:lang w:val="en-US" w:eastAsia="en-US" w:bidi="ar-SA"/>
    </w:rPr>
  </w:style>
  <w:style w:type="paragraph" w:customStyle="1" w:styleId="H6">
    <w:name w:val="H6"/>
    <w:basedOn w:val="Heading5"/>
    <w:next w:val="Normal"/>
    <w:rsid w:val="00437CB8"/>
    <w:pPr>
      <w:keepNext/>
      <w:keepLines/>
      <w:spacing w:before="120" w:after="180"/>
      <w:ind w:left="1985" w:hanging="1985"/>
      <w:outlineLvl w:val="9"/>
    </w:pPr>
    <w:rPr>
      <w:rFonts w:ascii="Arial" w:hAnsi="Arial"/>
      <w:b w:val="0"/>
      <w:bCs w:val="0"/>
      <w:i w:val="0"/>
      <w:iCs w:val="0"/>
      <w:sz w:val="20"/>
      <w:szCs w:val="20"/>
      <w:lang w:val="en-GB"/>
    </w:rPr>
  </w:style>
  <w:style w:type="paragraph" w:customStyle="1" w:styleId="EQ">
    <w:name w:val="EQ"/>
    <w:basedOn w:val="Normal"/>
    <w:next w:val="Normal"/>
    <w:rsid w:val="00437CB8"/>
    <w:pPr>
      <w:keepLines/>
      <w:tabs>
        <w:tab w:val="center" w:pos="4536"/>
        <w:tab w:val="right" w:pos="9072"/>
      </w:tabs>
      <w:spacing w:after="180"/>
    </w:pPr>
    <w:rPr>
      <w:noProof/>
      <w:sz w:val="20"/>
      <w:szCs w:val="20"/>
      <w:lang w:val="en-GB"/>
    </w:rPr>
  </w:style>
  <w:style w:type="paragraph" w:customStyle="1" w:styleId="TAH">
    <w:name w:val="TAH"/>
    <w:basedOn w:val="TAC"/>
    <w:rsid w:val="00B24070"/>
    <w:rPr>
      <w:b/>
    </w:rPr>
  </w:style>
  <w:style w:type="paragraph" w:styleId="BodyText">
    <w:name w:val="Body Text"/>
    <w:basedOn w:val="Normal"/>
    <w:rsid w:val="00B94F3D"/>
    <w:pPr>
      <w:spacing w:after="120"/>
    </w:pPr>
  </w:style>
  <w:style w:type="paragraph" w:customStyle="1" w:styleId="CharCharCharCharCharCharCharCharCharCharCharCharChar">
    <w:name w:val="Char Char Char Char Char Char Char Char Char Char Char Char Char"/>
    <w:semiHidden/>
    <w:rsid w:val="00B94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CaptionCentered">
    <w:name w:val="TableCaptionCentered"/>
    <w:basedOn w:val="Normal"/>
    <w:next w:val="Normal"/>
    <w:rsid w:val="003136A7"/>
    <w:pPr>
      <w:keepNext/>
      <w:keepLines/>
      <w:spacing w:before="120" w:after="120"/>
      <w:jc w:val="center"/>
    </w:pPr>
    <w:rPr>
      <w:b/>
      <w:sz w:val="20"/>
      <w:szCs w:val="22"/>
    </w:rPr>
  </w:style>
  <w:style w:type="paragraph" w:customStyle="1" w:styleId="StyleHeading1TimesNewRoman10ptRight0Before6pt">
    <w:name w:val="Style Heading 1 + Times New Roman 10 pt Right:  0&quot; Before:  6 pt..."/>
    <w:basedOn w:val="Heading1"/>
    <w:rsid w:val="00A13401"/>
    <w:pPr>
      <w:spacing w:before="240" w:after="120"/>
      <w:ind w:left="1987" w:right="0" w:hanging="1987"/>
    </w:pPr>
    <w:rPr>
      <w:rFonts w:ascii="Times New Roman" w:hAnsi="Times New Roman"/>
      <w:bCs/>
      <w:sz w:val="20"/>
    </w:rPr>
  </w:style>
  <w:style w:type="paragraph" w:customStyle="1" w:styleId="Head1Mine">
    <w:name w:val="Head1Mine"/>
    <w:basedOn w:val="Heading1"/>
    <w:next w:val="StandardText"/>
    <w:autoRedefine/>
    <w:rsid w:val="00BD5727"/>
    <w:pPr>
      <w:numPr>
        <w:numId w:val="4"/>
      </w:numPr>
      <w:spacing w:before="240" w:after="120"/>
      <w:ind w:right="0"/>
    </w:pPr>
    <w:rPr>
      <w:rFonts w:ascii="Times New Roman" w:hAnsi="Times New Roman"/>
      <w:bCs/>
    </w:rPr>
  </w:style>
  <w:style w:type="paragraph" w:customStyle="1" w:styleId="Head2Mine">
    <w:name w:val="Head2Mine"/>
    <w:basedOn w:val="Head1Mine"/>
    <w:next w:val="StandardText"/>
    <w:rsid w:val="00157591"/>
    <w:pPr>
      <w:numPr>
        <w:ilvl w:val="1"/>
      </w:numPr>
    </w:pPr>
  </w:style>
  <w:style w:type="paragraph" w:customStyle="1" w:styleId="StandardText">
    <w:name w:val="StandardText"/>
    <w:basedOn w:val="00BodyText"/>
    <w:autoRedefine/>
    <w:rsid w:val="00EB3081"/>
    <w:pPr>
      <w:spacing w:after="120"/>
      <w:jc w:val="both"/>
    </w:pPr>
    <w:rPr>
      <w:rFonts w:ascii="Times New Roman" w:hAnsi="Times New Roman"/>
    </w:rPr>
  </w:style>
  <w:style w:type="paragraph" w:customStyle="1" w:styleId="head1mine0">
    <w:name w:val="head1mine"/>
    <w:basedOn w:val="Normal"/>
    <w:rsid w:val="00DB0722"/>
    <w:pPr>
      <w:keepNext/>
      <w:tabs>
        <w:tab w:val="num" w:pos="360"/>
      </w:tabs>
      <w:spacing w:before="240" w:after="120"/>
      <w:ind w:left="360" w:hanging="360"/>
    </w:pPr>
    <w:rPr>
      <w:rFonts w:eastAsia="SimSun"/>
      <w:b/>
      <w:bCs/>
      <w:sz w:val="20"/>
      <w:szCs w:val="20"/>
      <w:lang w:eastAsia="zh-CN"/>
    </w:rPr>
  </w:style>
  <w:style w:type="character" w:styleId="Hyperlink">
    <w:name w:val="Hyperlink"/>
    <w:basedOn w:val="DefaultParagraphFont"/>
    <w:rsid w:val="009E409D"/>
    <w:rPr>
      <w:color w:val="0000FF"/>
      <w:u w:val="single"/>
    </w:rPr>
  </w:style>
  <w:style w:type="paragraph" w:customStyle="1" w:styleId="myHyper">
    <w:name w:val="myHyper"/>
    <w:basedOn w:val="Normal"/>
    <w:next w:val="myReference"/>
    <w:autoRedefine/>
    <w:rsid w:val="00EB3081"/>
    <w:pPr>
      <w:tabs>
        <w:tab w:val="left" w:pos="540"/>
      </w:tabs>
      <w:spacing w:after="120"/>
      <w:jc w:val="both"/>
    </w:pPr>
    <w:rPr>
      <w:rFonts w:ascii="Courier New" w:hAnsi="Courier New" w:cs="Courier New"/>
      <w:color w:val="0000FF"/>
      <w:sz w:val="18"/>
      <w:szCs w:val="20"/>
      <w:u w:val="words"/>
    </w:rPr>
  </w:style>
  <w:style w:type="paragraph" w:customStyle="1" w:styleId="FigureCaptionMultipleLines">
    <w:name w:val="FigureCaptionMultipleLines"/>
    <w:basedOn w:val="Normal"/>
    <w:next w:val="Normal"/>
    <w:rsid w:val="00716B2E"/>
    <w:pPr>
      <w:keepLines/>
      <w:spacing w:after="60" w:line="240" w:lineRule="exact"/>
      <w:ind w:left="1080" w:hanging="1080"/>
      <w:jc w:val="both"/>
    </w:pPr>
    <w:rPr>
      <w:sz w:val="20"/>
      <w:szCs w:val="20"/>
    </w:rPr>
  </w:style>
  <w:style w:type="paragraph" w:customStyle="1" w:styleId="Figure">
    <w:name w:val="Figure"/>
    <w:basedOn w:val="Normal"/>
    <w:next w:val="FigureCaptionMultipleLines"/>
    <w:rsid w:val="007B14CA"/>
    <w:pPr>
      <w:keepNext/>
      <w:spacing w:before="60" w:after="60"/>
      <w:jc w:val="center"/>
    </w:pPr>
    <w:rPr>
      <w:sz w:val="20"/>
      <w:szCs w:val="20"/>
    </w:rPr>
  </w:style>
  <w:style w:type="paragraph" w:customStyle="1" w:styleId="Style2">
    <w:name w:val="Style2"/>
    <w:basedOn w:val="Normal"/>
    <w:rsid w:val="008F59A2"/>
    <w:pPr>
      <w:keepNext/>
      <w:numPr>
        <w:numId w:val="3"/>
      </w:numPr>
      <w:outlineLvl w:val="0"/>
    </w:pPr>
    <w:rPr>
      <w:b/>
      <w:bCs/>
      <w:sz w:val="32"/>
    </w:rPr>
  </w:style>
  <w:style w:type="paragraph" w:customStyle="1" w:styleId="1CharCharCharChar1CharChar">
    <w:name w:val="(文字) (文字)1 Char Char (文字) (文字) Char Char1 (文字) (文字) Char Char (文字) (文字)"/>
    <w:semiHidden/>
    <w:rsid w:val="008F5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yReference">
    <w:name w:val="myReference"/>
    <w:basedOn w:val="Normal"/>
    <w:next w:val="myHyper"/>
    <w:autoRedefine/>
    <w:rsid w:val="00EB3081"/>
    <w:pPr>
      <w:keepNext/>
      <w:numPr>
        <w:numId w:val="2"/>
      </w:numPr>
      <w:tabs>
        <w:tab w:val="clear" w:pos="-1440"/>
        <w:tab w:val="left" w:pos="540"/>
      </w:tabs>
      <w:spacing w:after="40"/>
      <w:ind w:left="547" w:hanging="547"/>
      <w:jc w:val="both"/>
    </w:pPr>
    <w:rPr>
      <w:sz w:val="22"/>
      <w:szCs w:val="20"/>
    </w:rPr>
  </w:style>
  <w:style w:type="character" w:styleId="CommentReference">
    <w:name w:val="annotation reference"/>
    <w:basedOn w:val="DefaultParagraphFont"/>
    <w:semiHidden/>
    <w:rsid w:val="0066405D"/>
    <w:rPr>
      <w:sz w:val="16"/>
      <w:szCs w:val="16"/>
    </w:rPr>
  </w:style>
  <w:style w:type="paragraph" w:styleId="CommentText">
    <w:name w:val="annotation text"/>
    <w:basedOn w:val="Normal"/>
    <w:semiHidden/>
    <w:rsid w:val="0066405D"/>
    <w:rPr>
      <w:sz w:val="20"/>
      <w:szCs w:val="20"/>
    </w:rPr>
  </w:style>
  <w:style w:type="paragraph" w:styleId="CommentSubject">
    <w:name w:val="annotation subject"/>
    <w:basedOn w:val="CommentText"/>
    <w:next w:val="CommentText"/>
    <w:semiHidden/>
    <w:rsid w:val="0066405D"/>
    <w:rPr>
      <w:b/>
      <w:bCs/>
    </w:rPr>
  </w:style>
  <w:style w:type="character" w:styleId="FollowedHyperlink">
    <w:name w:val="FollowedHyperlink"/>
    <w:basedOn w:val="DefaultParagraphFont"/>
    <w:rsid w:val="00252721"/>
    <w:rPr>
      <w:color w:val="800080"/>
      <w:u w:val="single"/>
    </w:rPr>
  </w:style>
  <w:style w:type="paragraph" w:customStyle="1" w:styleId="Head3Mine">
    <w:name w:val="Head3Mine"/>
    <w:basedOn w:val="Head2Mine"/>
    <w:next w:val="StandardText"/>
    <w:rsid w:val="00157591"/>
    <w:pPr>
      <w:numPr>
        <w:ilvl w:val="2"/>
      </w:numPr>
    </w:pPr>
  </w:style>
  <w:style w:type="paragraph" w:customStyle="1" w:styleId="StyleHeading2H2UNDERRUBRIK1-2h2R2H21Head2A2h21HeadingT">
    <w:name w:val="Style Heading 2H2UNDERRUBRIK 1-2h2R2H21Head2A2h21Heading T..."/>
    <w:basedOn w:val="Heading2"/>
    <w:autoRedefine/>
    <w:rsid w:val="00BD5727"/>
    <w:pPr>
      <w:numPr>
        <w:ilvl w:val="1"/>
        <w:numId w:val="3"/>
      </w:numPr>
      <w:tabs>
        <w:tab w:val="clear" w:pos="1152"/>
        <w:tab w:val="num" w:pos="576"/>
      </w:tabs>
      <w:ind w:left="576" w:hanging="576"/>
      <w:jc w:val="left"/>
    </w:pPr>
    <w:rPr>
      <w:rFonts w:eastAsia="SimSun"/>
      <w:bCs/>
      <w:i w:val="0"/>
      <w:iCs/>
      <w:sz w:val="28"/>
    </w:rPr>
  </w:style>
  <w:style w:type="paragraph" w:styleId="NormalWeb">
    <w:name w:val="Normal (Web)"/>
    <w:basedOn w:val="Normal"/>
    <w:uiPriority w:val="99"/>
    <w:semiHidden/>
    <w:rsid w:val="00BD5727"/>
    <w:pPr>
      <w:spacing w:before="100" w:beforeAutospacing="1" w:after="100" w:afterAutospacing="1"/>
    </w:pPr>
    <w:rPr>
      <w:rFonts w:eastAsia="SimSun"/>
    </w:rPr>
  </w:style>
  <w:style w:type="character" w:customStyle="1" w:styleId="updatebodytest1">
    <w:name w:val="updatebodytest1"/>
    <w:basedOn w:val="DefaultParagraphFont"/>
    <w:rsid w:val="00714B4D"/>
    <w:rPr>
      <w:rFonts w:ascii="Arial" w:hAnsi="Arial" w:cs="Arial" w:hint="default"/>
      <w:b w:val="0"/>
      <w:bCs w:val="0"/>
      <w:i w:val="0"/>
      <w:iCs w:val="0"/>
      <w:smallCaps w:val="0"/>
      <w:sz w:val="18"/>
      <w:szCs w:val="18"/>
    </w:rPr>
  </w:style>
  <w:style w:type="character" w:customStyle="1" w:styleId="mainheader1">
    <w:name w:val="mainheader1"/>
    <w:basedOn w:val="DefaultParagraphFont"/>
    <w:rsid w:val="00714B4D"/>
    <w:rPr>
      <w:b/>
      <w:bCs/>
      <w:sz w:val="31"/>
      <w:szCs w:val="31"/>
    </w:rPr>
  </w:style>
  <w:style w:type="character" w:customStyle="1" w:styleId="div5head">
    <w:name w:val="div5head"/>
    <w:basedOn w:val="DefaultParagraphFont"/>
    <w:rsid w:val="00714B4D"/>
  </w:style>
  <w:style w:type="character" w:customStyle="1" w:styleId="div6head">
    <w:name w:val="div6head"/>
    <w:basedOn w:val="DefaultParagraphFont"/>
    <w:rsid w:val="00714B4D"/>
  </w:style>
  <w:style w:type="character" w:customStyle="1" w:styleId="TACChar">
    <w:name w:val="TAC Char"/>
    <w:basedOn w:val="DefaultParagraphFont"/>
    <w:link w:val="TAC"/>
    <w:rsid w:val="00D332C4"/>
    <w:rPr>
      <w:rFonts w:ascii="Arial" w:hAnsi="Arial"/>
      <w:sz w:val="18"/>
      <w:lang w:val="en-GB"/>
    </w:rPr>
  </w:style>
  <w:style w:type="paragraph" w:styleId="ListParagraph">
    <w:name w:val="List Paragraph"/>
    <w:basedOn w:val="Normal"/>
    <w:uiPriority w:val="34"/>
    <w:qFormat/>
    <w:rsid w:val="00132CD9"/>
    <w:pPr>
      <w:ind w:left="720"/>
      <w:contextualSpacing/>
    </w:pPr>
  </w:style>
  <w:style w:type="paragraph" w:styleId="Header">
    <w:name w:val="header"/>
    <w:basedOn w:val="Normal"/>
    <w:link w:val="HeaderChar"/>
    <w:rsid w:val="007E3ED9"/>
    <w:pPr>
      <w:tabs>
        <w:tab w:val="center" w:pos="4680"/>
        <w:tab w:val="right" w:pos="9360"/>
      </w:tabs>
    </w:pPr>
  </w:style>
  <w:style w:type="character" w:customStyle="1" w:styleId="HeaderChar">
    <w:name w:val="Header Char"/>
    <w:basedOn w:val="DefaultParagraphFont"/>
    <w:link w:val="Header"/>
    <w:rsid w:val="007E3ED9"/>
    <w:rPr>
      <w:sz w:val="24"/>
      <w:szCs w:val="24"/>
    </w:rPr>
  </w:style>
  <w:style w:type="paragraph" w:styleId="Footer">
    <w:name w:val="footer"/>
    <w:basedOn w:val="Normal"/>
    <w:link w:val="FooterChar"/>
    <w:rsid w:val="007E3ED9"/>
    <w:pPr>
      <w:tabs>
        <w:tab w:val="center" w:pos="4680"/>
        <w:tab w:val="right" w:pos="9360"/>
      </w:tabs>
    </w:pPr>
  </w:style>
  <w:style w:type="character" w:customStyle="1" w:styleId="FooterChar">
    <w:name w:val="Footer Char"/>
    <w:basedOn w:val="DefaultParagraphFont"/>
    <w:link w:val="Footer"/>
    <w:rsid w:val="007E3ED9"/>
    <w:rPr>
      <w:sz w:val="24"/>
      <w:szCs w:val="24"/>
    </w:rPr>
  </w:style>
  <w:style w:type="paragraph" w:customStyle="1" w:styleId="TT">
    <w:name w:val="TT"/>
    <w:basedOn w:val="Heading1"/>
    <w:next w:val="Normal"/>
    <w:rsid w:val="00260D7F"/>
    <w:pPr>
      <w:keepLines/>
      <w:pBdr>
        <w:top w:val="single" w:sz="12" w:space="3" w:color="auto"/>
      </w:pBdr>
      <w:spacing w:before="240" w:after="180"/>
      <w:ind w:left="1134" w:right="0" w:hanging="1134"/>
      <w:outlineLvl w:val="9"/>
    </w:pPr>
    <w:rPr>
      <w:b w:val="0"/>
      <w:sz w:val="36"/>
    </w:rPr>
  </w:style>
  <w:style w:type="paragraph" w:customStyle="1" w:styleId="CRCoverPage">
    <w:name w:val="CR Cover Page"/>
    <w:rsid w:val="00260D7F"/>
    <w:pPr>
      <w:spacing w:after="120"/>
    </w:pPr>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117498">
      <w:bodyDiv w:val="1"/>
      <w:marLeft w:val="0"/>
      <w:marRight w:val="0"/>
      <w:marTop w:val="0"/>
      <w:marBottom w:val="0"/>
      <w:divBdr>
        <w:top w:val="none" w:sz="0" w:space="0" w:color="auto"/>
        <w:left w:val="none" w:sz="0" w:space="0" w:color="auto"/>
        <w:bottom w:val="none" w:sz="0" w:space="0" w:color="auto"/>
        <w:right w:val="none" w:sz="0" w:space="0" w:color="auto"/>
      </w:divBdr>
    </w:div>
    <w:div w:id="1189296434">
      <w:bodyDiv w:val="1"/>
      <w:marLeft w:val="0"/>
      <w:marRight w:val="0"/>
      <w:marTop w:val="0"/>
      <w:marBottom w:val="0"/>
      <w:divBdr>
        <w:top w:val="none" w:sz="0" w:space="0" w:color="auto"/>
        <w:left w:val="none" w:sz="0" w:space="0" w:color="auto"/>
        <w:bottom w:val="none" w:sz="0" w:space="0" w:color="auto"/>
        <w:right w:val="none" w:sz="0" w:space="0" w:color="auto"/>
      </w:divBdr>
    </w:div>
    <w:div w:id="1275746033">
      <w:bodyDiv w:val="1"/>
      <w:marLeft w:val="0"/>
      <w:marRight w:val="0"/>
      <w:marTop w:val="0"/>
      <w:marBottom w:val="0"/>
      <w:divBdr>
        <w:top w:val="none" w:sz="0" w:space="0" w:color="auto"/>
        <w:left w:val="none" w:sz="0" w:space="0" w:color="auto"/>
        <w:bottom w:val="none" w:sz="0" w:space="0" w:color="auto"/>
        <w:right w:val="none" w:sz="0" w:space="0" w:color="auto"/>
      </w:divBdr>
    </w:div>
    <w:div w:id="1757898650">
      <w:bodyDiv w:val="1"/>
      <w:marLeft w:val="0"/>
      <w:marRight w:val="0"/>
      <w:marTop w:val="0"/>
      <w:marBottom w:val="0"/>
      <w:divBdr>
        <w:top w:val="none" w:sz="0" w:space="0" w:color="auto"/>
        <w:left w:val="none" w:sz="0" w:space="0" w:color="auto"/>
        <w:bottom w:val="none" w:sz="0" w:space="0" w:color="auto"/>
        <w:right w:val="none" w:sz="0" w:space="0" w:color="auto"/>
      </w:divBdr>
    </w:div>
    <w:div w:id="2126584043">
      <w:bodyDiv w:val="1"/>
      <w:marLeft w:val="0"/>
      <w:marRight w:val="0"/>
      <w:marTop w:val="0"/>
      <w:marBottom w:val="0"/>
      <w:divBdr>
        <w:top w:val="none" w:sz="0" w:space="0" w:color="auto"/>
        <w:left w:val="none" w:sz="0" w:space="0" w:color="auto"/>
        <w:bottom w:val="none" w:sz="0" w:space="0" w:color="auto"/>
        <w:right w:val="none" w:sz="0" w:space="0" w:color="auto"/>
      </w:divBdr>
      <w:divsChild>
        <w:div w:id="1616601138">
          <w:marLeft w:val="0"/>
          <w:marRight w:val="0"/>
          <w:marTop w:val="0"/>
          <w:marBottom w:val="0"/>
          <w:divBdr>
            <w:top w:val="none" w:sz="0" w:space="0" w:color="auto"/>
            <w:left w:val="none" w:sz="0" w:space="0" w:color="auto"/>
            <w:bottom w:val="none" w:sz="0" w:space="0" w:color="auto"/>
            <w:right w:val="none" w:sz="0" w:space="0" w:color="auto"/>
          </w:divBdr>
          <w:divsChild>
            <w:div w:id="725225074">
              <w:marLeft w:val="0"/>
              <w:marRight w:val="0"/>
              <w:marTop w:val="0"/>
              <w:marBottom w:val="0"/>
              <w:divBdr>
                <w:top w:val="none" w:sz="0" w:space="0" w:color="auto"/>
                <w:left w:val="none" w:sz="0" w:space="0" w:color="auto"/>
                <w:bottom w:val="none" w:sz="0" w:space="0" w:color="auto"/>
                <w:right w:val="none" w:sz="0" w:space="0" w:color="auto"/>
              </w:divBdr>
            </w:div>
            <w:div w:id="1010136571">
              <w:marLeft w:val="0"/>
              <w:marRight w:val="0"/>
              <w:marTop w:val="0"/>
              <w:marBottom w:val="0"/>
              <w:divBdr>
                <w:top w:val="none" w:sz="0" w:space="0" w:color="auto"/>
                <w:left w:val="none" w:sz="0" w:space="0" w:color="auto"/>
                <w:bottom w:val="none" w:sz="0" w:space="0" w:color="auto"/>
                <w:right w:val="none" w:sz="0" w:space="0" w:color="auto"/>
              </w:divBdr>
            </w:div>
            <w:div w:id="143729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688</Words>
  <Characters>3925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4604</CharactersWithSpaces>
  <SharedDoc>false</SharedDoc>
  <HLinks>
    <vt:vector size="30" baseType="variant">
      <vt:variant>
        <vt:i4>6619140</vt:i4>
      </vt:variant>
      <vt:variant>
        <vt:i4>84</vt:i4>
      </vt:variant>
      <vt:variant>
        <vt:i4>0</vt:i4>
      </vt:variant>
      <vt:variant>
        <vt:i4>5</vt:i4>
      </vt:variant>
      <vt:variant>
        <vt:lpwstr>http://www.3gpp.org/ftp/tsg_ran/WG4_Radio/TSGR4_46bis/Docs/R4-080710.zip</vt:lpwstr>
      </vt:variant>
      <vt:variant>
        <vt:lpwstr/>
      </vt:variant>
      <vt:variant>
        <vt:i4>8323074</vt:i4>
      </vt:variant>
      <vt:variant>
        <vt:i4>81</vt:i4>
      </vt:variant>
      <vt:variant>
        <vt:i4>0</vt:i4>
      </vt:variant>
      <vt:variant>
        <vt:i4>5</vt:i4>
      </vt:variant>
      <vt:variant>
        <vt:lpwstr>http://edocket.access.gpo.gov/cfr_2009/octqtr/pdf/47cfr90.672.pdf</vt:lpwstr>
      </vt:variant>
      <vt:variant>
        <vt:lpwstr/>
      </vt:variant>
      <vt:variant>
        <vt:i4>7995400</vt:i4>
      </vt:variant>
      <vt:variant>
        <vt:i4>78</vt:i4>
      </vt:variant>
      <vt:variant>
        <vt:i4>0</vt:i4>
      </vt:variant>
      <vt:variant>
        <vt:i4>5</vt:i4>
      </vt:variant>
      <vt:variant>
        <vt:lpwstr>http://edocket.access.gpo.gov/cfr_2007/octqtr/47cfr27.53.htm</vt:lpwstr>
      </vt:variant>
      <vt:variant>
        <vt:lpwstr/>
      </vt:variant>
      <vt:variant>
        <vt:i4>5242939</vt:i4>
      </vt:variant>
      <vt:variant>
        <vt:i4>75</vt:i4>
      </vt:variant>
      <vt:variant>
        <vt:i4>0</vt:i4>
      </vt:variant>
      <vt:variant>
        <vt:i4>5</vt:i4>
      </vt:variant>
      <vt:variant>
        <vt:lpwstr>http://www.3gpp.org/ftp/tsg_ran/WG4_Radio/TSGR4_57AH/Docs/R4-110063.zip</vt:lpwstr>
      </vt:variant>
      <vt:variant>
        <vt:lpwstr/>
      </vt:variant>
      <vt:variant>
        <vt:i4>2818048</vt:i4>
      </vt:variant>
      <vt:variant>
        <vt:i4>72</vt:i4>
      </vt:variant>
      <vt:variant>
        <vt:i4>0</vt:i4>
      </vt:variant>
      <vt:variant>
        <vt:i4>5</vt:i4>
      </vt:variant>
      <vt:variant>
        <vt:lpwstr>http://www.3gpp.org/ftp/Specs/latest/Rel-10/36_series/36942-a20.zip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2011-11-07T20:47:00Z</dcterms:created>
  <dcterms:modified xsi:type="dcterms:W3CDTF">2011-11-07T20:49:00Z</dcterms:modified>
</cp:coreProperties>
</file>