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207BC2B4"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C15A05">
        <w:rPr>
          <w:rFonts w:ascii="Arial" w:eastAsiaTheme="minorEastAsia" w:hAnsi="Arial" w:cs="Arial"/>
          <w:b/>
          <w:sz w:val="24"/>
          <w:szCs w:val="24"/>
          <w:lang w:eastAsia="zh-CN"/>
        </w:rPr>
        <w:t>7</w:t>
      </w:r>
      <w:r w:rsidR="00C15A05">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R4-25</w:t>
      </w:r>
      <w:r w:rsidR="00CC1B7B">
        <w:rPr>
          <w:rFonts w:ascii="Arial" w:eastAsiaTheme="minorEastAsia" w:hAnsi="Arial" w:cs="Arial"/>
          <w:b/>
          <w:sz w:val="24"/>
          <w:szCs w:val="24"/>
          <w:lang w:eastAsia="zh-CN"/>
        </w:rPr>
        <w:t>20750</w:t>
      </w:r>
    </w:p>
    <w:p w14:paraId="1A718501" w14:textId="30D6C385" w:rsidR="00D81ADA" w:rsidRDefault="00C15A05"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Dallas, USA</w:t>
      </w:r>
      <w:r w:rsidR="00D81ADA">
        <w:rPr>
          <w:rFonts w:ascii="Arial" w:eastAsiaTheme="minorEastAsia" w:hAnsi="Arial" w:cs="Arial"/>
          <w:b/>
          <w:sz w:val="24"/>
          <w:szCs w:val="24"/>
          <w:lang w:eastAsia="zh-CN"/>
        </w:rPr>
        <w:t xml:space="preserve">, </w:t>
      </w:r>
      <w:r w:rsidR="00082051">
        <w:rPr>
          <w:rFonts w:ascii="Arial" w:eastAsiaTheme="minorEastAsia" w:hAnsi="Arial" w:cs="Arial"/>
          <w:b/>
          <w:sz w:val="24"/>
          <w:szCs w:val="24"/>
          <w:lang w:eastAsia="zh-CN"/>
        </w:rPr>
        <w:t>1</w:t>
      </w:r>
      <w:r>
        <w:rPr>
          <w:rFonts w:ascii="Arial" w:eastAsiaTheme="minorEastAsia" w:hAnsi="Arial" w:cs="Arial"/>
          <w:b/>
          <w:sz w:val="24"/>
          <w:szCs w:val="24"/>
          <w:lang w:eastAsia="zh-CN"/>
        </w:rPr>
        <w:t>7</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Pr>
          <w:rFonts w:ascii="Arial" w:hAnsi="Arial"/>
          <w:b/>
          <w:sz w:val="24"/>
          <w:szCs w:val="24"/>
          <w:lang w:eastAsia="zh-CN"/>
        </w:rPr>
        <w:t>2</w:t>
      </w:r>
      <w:r w:rsidR="00082051">
        <w:rPr>
          <w:rFonts w:ascii="Arial" w:hAnsi="Arial"/>
          <w:b/>
          <w:sz w:val="24"/>
          <w:szCs w:val="24"/>
          <w:lang w:eastAsia="zh-CN"/>
        </w:rPr>
        <w:t>1</w:t>
      </w:r>
      <w:r w:rsidRPr="00C15A05">
        <w:rPr>
          <w:rFonts w:ascii="Arial" w:hAnsi="Arial"/>
          <w:b/>
          <w:sz w:val="24"/>
          <w:szCs w:val="24"/>
          <w:vertAlign w:val="superscript"/>
          <w:lang w:eastAsia="zh-CN"/>
        </w:rPr>
        <w:t>st</w:t>
      </w:r>
      <w:r>
        <w:rPr>
          <w:rFonts w:ascii="Arial" w:hAnsi="Arial"/>
          <w:b/>
          <w:sz w:val="24"/>
          <w:szCs w:val="24"/>
          <w:lang w:eastAsia="zh-CN"/>
        </w:rPr>
        <w:t xml:space="preserve"> November</w:t>
      </w:r>
      <w:r w:rsidR="00D81ADA">
        <w:rPr>
          <w:rFonts w:ascii="Arial" w:hAnsi="Arial"/>
          <w:b/>
          <w:sz w:val="24"/>
          <w:szCs w:val="24"/>
          <w:lang w:eastAsia="zh-CN"/>
        </w:rPr>
        <w:t>, 2025</w:t>
      </w:r>
    </w:p>
    <w:p w14:paraId="100824A0" w14:textId="77777777" w:rsidR="00D81ADA" w:rsidRPr="00C15A05" w:rsidRDefault="00D81ADA" w:rsidP="00D81ADA">
      <w:pPr>
        <w:spacing w:after="120"/>
        <w:ind w:left="1985" w:hanging="1985"/>
        <w:rPr>
          <w:rFonts w:ascii="Arial" w:eastAsia="MS Mincho" w:hAnsi="Arial" w:cs="Arial"/>
          <w:b/>
          <w:sz w:val="22"/>
        </w:rPr>
      </w:pPr>
    </w:p>
    <w:p w14:paraId="2371B683" w14:textId="74D5BB6A"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107E04">
        <w:rPr>
          <w:rFonts w:ascii="Arial" w:eastAsiaTheme="minorEastAsia" w:hAnsi="Arial" w:cs="Arial"/>
          <w:color w:val="000000"/>
          <w:sz w:val="22"/>
          <w:lang w:eastAsia="zh-CN"/>
        </w:rPr>
        <w:t>2</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35E9DB3E"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107E04">
        <w:rPr>
          <w:rFonts w:ascii="Arial" w:eastAsia="맑은 고딕" w:hAnsi="Arial" w:cs="Arial"/>
          <w:sz w:val="22"/>
          <w:lang w:eastAsia="ko-KR"/>
        </w:rPr>
        <w:t>modulation</w:t>
      </w:r>
      <w:r w:rsidR="00082051">
        <w:rPr>
          <w:rFonts w:ascii="Arial" w:eastAsia="맑은 고딕" w:hAnsi="Arial" w:cs="Arial"/>
          <w:sz w:val="22"/>
          <w:lang w:eastAsia="ko-KR"/>
        </w:rPr>
        <w:t xml:space="preserve"> 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438B4728" w14:textId="7A6905AA" w:rsidR="00931C44" w:rsidRDefault="00931C44" w:rsidP="00931C44">
      <w:pPr>
        <w:jc w:val="left"/>
        <w:rPr>
          <w:rFonts w:eastAsia="맑은 고딕"/>
          <w:lang w:eastAsia="ko-KR"/>
        </w:rPr>
      </w:pPr>
      <w:r>
        <w:t xml:space="preserve">In RAN4#116bis, the latest meeting, RAN4 got started </w:t>
      </w:r>
      <w:r w:rsidRPr="0061383F">
        <w:t xml:space="preserve">a </w:t>
      </w:r>
      <w:r>
        <w:t>SI for a single technology framework based on a stand</w:t>
      </w:r>
      <w:r w:rsidRPr="0061383F">
        <w:t xml:space="preserve">alone architecture needs to be developed </w:t>
      </w:r>
      <w:r>
        <w:t>across WGs b</w:t>
      </w:r>
      <w:r w:rsidRPr="0061383F">
        <w:t xml:space="preserve">ased on the </w:t>
      </w:r>
      <w:r>
        <w:t xml:space="preserve">6G Radio </w:t>
      </w:r>
      <w:r w:rsidRPr="0061383F">
        <w:t>SID</w:t>
      </w:r>
      <w:r>
        <w:t xml:space="preserve"> [1]. </w:t>
      </w:r>
      <w:r>
        <w:rPr>
          <w:lang w:eastAsia="ko-KR"/>
        </w:rPr>
        <w:t xml:space="preserve">In regards to 6GR </w:t>
      </w:r>
      <w:r w:rsidR="006F7173">
        <w:rPr>
          <w:lang w:eastAsia="ko-KR"/>
        </w:rPr>
        <w:t>modulation</w:t>
      </w:r>
      <w:r>
        <w:rPr>
          <w:lang w:eastAsia="ko-KR"/>
        </w:rPr>
        <w:t xml:space="preserve">, relevant proposals and agreements were captured in the WF </w:t>
      </w:r>
      <w:r w:rsidR="006F7173">
        <w:rPr>
          <w:lang w:eastAsia="ko-KR"/>
        </w:rPr>
        <w:t xml:space="preserve">as follows </w:t>
      </w:r>
      <w:r>
        <w:rPr>
          <w:lang w:eastAsia="ko-KR"/>
        </w:rPr>
        <w:t>[2]</w:t>
      </w:r>
      <w:r w:rsidR="006F7173">
        <w:rPr>
          <w:lang w:eastAsia="ko-KR"/>
        </w:rPr>
        <w:t>:</w:t>
      </w:r>
      <w:r>
        <w:rPr>
          <w:lang w:eastAsia="ko-KR"/>
        </w:rPr>
        <w:t xml:space="preserve"> </w:t>
      </w:r>
    </w:p>
    <w:tbl>
      <w:tblPr>
        <w:tblStyle w:val="af3"/>
        <w:tblW w:w="0" w:type="auto"/>
        <w:tblLook w:val="04A0" w:firstRow="1" w:lastRow="0" w:firstColumn="1" w:lastColumn="0" w:noHBand="0" w:noVBand="1"/>
      </w:tblPr>
      <w:tblGrid>
        <w:gridCol w:w="9631"/>
      </w:tblGrid>
      <w:tr w:rsidR="00E52445" w14:paraId="1DA46CB0" w14:textId="77777777" w:rsidTr="00CD0D8C">
        <w:tc>
          <w:tcPr>
            <w:tcW w:w="9631" w:type="dxa"/>
          </w:tcPr>
          <w:p w14:paraId="6248380D" w14:textId="77777777" w:rsidR="00E52445" w:rsidRPr="00EC0A20" w:rsidRDefault="00E52445" w:rsidP="00E52445">
            <w:pPr>
              <w:pStyle w:val="afc"/>
              <w:numPr>
                <w:ilvl w:val="0"/>
                <w:numId w:val="15"/>
              </w:numPr>
              <w:overflowPunct/>
              <w:autoSpaceDE/>
              <w:autoSpaceDN/>
              <w:adjustRightInd/>
              <w:spacing w:after="120" w:line="240" w:lineRule="auto"/>
              <w:ind w:left="720" w:firstLineChars="0"/>
              <w:jc w:val="left"/>
              <w:textAlignment w:val="auto"/>
              <w:rPr>
                <w:rFonts w:eastAsia="SimSun"/>
                <w:szCs w:val="24"/>
                <w:highlight w:val="green"/>
                <w:lang w:eastAsia="zh-CN"/>
              </w:rPr>
            </w:pPr>
            <w:r w:rsidRPr="00EC0A20">
              <w:rPr>
                <w:rFonts w:eastAsia="SimSun"/>
                <w:szCs w:val="24"/>
                <w:highlight w:val="green"/>
                <w:lang w:eastAsia="zh-CN"/>
              </w:rPr>
              <w:t>Agreement</w:t>
            </w:r>
          </w:p>
          <w:p w14:paraId="079B43E3" w14:textId="77777777" w:rsidR="00E52445" w:rsidRPr="00EC0A20" w:rsidRDefault="00E52445" w:rsidP="00E52445">
            <w:pPr>
              <w:pStyle w:val="afc"/>
              <w:numPr>
                <w:ilvl w:val="1"/>
                <w:numId w:val="15"/>
              </w:numPr>
              <w:spacing w:after="120" w:line="240" w:lineRule="auto"/>
              <w:ind w:left="1656" w:firstLineChars="0"/>
              <w:rPr>
                <w:rFonts w:eastAsia="SimSun"/>
                <w:szCs w:val="24"/>
                <w:lang w:eastAsia="zh-CN"/>
              </w:rPr>
            </w:pPr>
            <w:r w:rsidRPr="00EC0A20">
              <w:rPr>
                <w:rFonts w:eastAsia="SimSun" w:hint="eastAsia"/>
                <w:szCs w:val="24"/>
                <w:lang w:eastAsia="zh-CN"/>
              </w:rPr>
              <w:t>R</w:t>
            </w:r>
            <w:r w:rsidRPr="00EC0A20">
              <w:rPr>
                <w:rFonts w:eastAsia="SimSun"/>
                <w:szCs w:val="24"/>
                <w:lang w:eastAsia="zh-CN"/>
              </w:rPr>
              <w:t xml:space="preserve">AN4 evaluation work focus on the feasibility study and RF requirements impact </w:t>
            </w:r>
          </w:p>
          <w:p w14:paraId="6A8803ED" w14:textId="77777777" w:rsidR="00E52445" w:rsidRPr="00EC0A20" w:rsidRDefault="00E52445" w:rsidP="00E52445">
            <w:pPr>
              <w:pStyle w:val="afc"/>
              <w:numPr>
                <w:ilvl w:val="1"/>
                <w:numId w:val="15"/>
              </w:numPr>
              <w:spacing w:after="120" w:line="240" w:lineRule="auto"/>
              <w:ind w:left="1656" w:firstLineChars="0"/>
              <w:rPr>
                <w:rFonts w:eastAsia="SimSun"/>
                <w:szCs w:val="24"/>
                <w:lang w:eastAsia="zh-CN"/>
              </w:rPr>
            </w:pPr>
            <w:r w:rsidRPr="00EC0A20">
              <w:rPr>
                <w:rFonts w:eastAsia="SimSun"/>
                <w:szCs w:val="24"/>
                <w:lang w:eastAsia="zh-CN"/>
              </w:rPr>
              <w:t>To establish the foundational evaluation framework in RAN4 firstly when no solid progress and inputs from RAN1</w:t>
            </w:r>
          </w:p>
          <w:p w14:paraId="7F0B783B" w14:textId="77777777" w:rsidR="00E52445" w:rsidRPr="00EC0A20" w:rsidRDefault="00E52445" w:rsidP="00E52445">
            <w:pPr>
              <w:pStyle w:val="afc"/>
              <w:numPr>
                <w:ilvl w:val="2"/>
                <w:numId w:val="15"/>
              </w:numPr>
              <w:spacing w:after="120" w:line="240" w:lineRule="auto"/>
              <w:ind w:left="2376" w:firstLineChars="0"/>
              <w:rPr>
                <w:rFonts w:eastAsia="SimSun"/>
                <w:szCs w:val="24"/>
                <w:lang w:eastAsia="zh-CN"/>
              </w:rPr>
            </w:pPr>
            <w:r w:rsidRPr="00EC0A20">
              <w:rPr>
                <w:rFonts w:eastAsia="SimSun" w:hint="eastAsia"/>
                <w:szCs w:val="24"/>
                <w:lang w:eastAsia="zh-CN"/>
              </w:rPr>
              <w:t>I</w:t>
            </w:r>
            <w:r w:rsidRPr="00EC0A20">
              <w:rPr>
                <w:rFonts w:eastAsia="SimSun"/>
                <w:szCs w:val="24"/>
                <w:lang w:eastAsia="zh-CN"/>
              </w:rPr>
              <w:t>dentify the main affected requirements for modulation evaluations</w:t>
            </w:r>
          </w:p>
          <w:p w14:paraId="7610672B" w14:textId="77777777" w:rsidR="00E52445" w:rsidRPr="00EC0A20" w:rsidRDefault="00E52445" w:rsidP="00E52445">
            <w:pPr>
              <w:pStyle w:val="afc"/>
              <w:numPr>
                <w:ilvl w:val="3"/>
                <w:numId w:val="15"/>
              </w:numPr>
              <w:spacing w:after="120" w:line="240" w:lineRule="auto"/>
              <w:ind w:left="3096" w:firstLineChars="0"/>
              <w:rPr>
                <w:rFonts w:eastAsia="SimSun"/>
                <w:szCs w:val="24"/>
                <w:lang w:eastAsia="zh-CN"/>
              </w:rPr>
            </w:pPr>
            <w:r w:rsidRPr="00EC0A20">
              <w:rPr>
                <w:rFonts w:eastAsia="SimSun"/>
                <w:szCs w:val="24"/>
                <w:lang w:eastAsia="zh-CN"/>
              </w:rPr>
              <w:t xml:space="preserve"> The existing 5G NR requirements will serve as the baseline, which are subject to future updates based on RAN4’s 6G UE RF discussions</w:t>
            </w:r>
            <w:r>
              <w:rPr>
                <w:rFonts w:eastAsia="SimSun"/>
                <w:szCs w:val="24"/>
                <w:lang w:eastAsia="zh-CN"/>
              </w:rPr>
              <w:t>.</w:t>
            </w:r>
          </w:p>
          <w:p w14:paraId="6E52C0A6" w14:textId="77777777" w:rsidR="00E52445" w:rsidRPr="00EC0A20" w:rsidRDefault="00E52445" w:rsidP="00E52445">
            <w:pPr>
              <w:pStyle w:val="afc"/>
              <w:numPr>
                <w:ilvl w:val="2"/>
                <w:numId w:val="15"/>
              </w:numPr>
              <w:spacing w:after="120" w:line="240" w:lineRule="auto"/>
              <w:ind w:left="2376" w:firstLineChars="0"/>
              <w:rPr>
                <w:rFonts w:eastAsia="SimSun"/>
                <w:szCs w:val="24"/>
                <w:lang w:eastAsia="zh-CN"/>
              </w:rPr>
            </w:pPr>
            <w:r w:rsidRPr="00EC0A20">
              <w:rPr>
                <w:rFonts w:eastAsia="SimSun"/>
                <w:szCs w:val="24"/>
                <w:lang w:eastAsia="zh-CN"/>
              </w:rPr>
              <w:t>Align on the evaluation assumptions</w:t>
            </w:r>
            <w:r>
              <w:rPr>
                <w:rFonts w:eastAsia="SimSun"/>
                <w:szCs w:val="24"/>
                <w:lang w:eastAsia="zh-CN"/>
              </w:rPr>
              <w:t>.</w:t>
            </w:r>
          </w:p>
          <w:p w14:paraId="77B58D06" w14:textId="77777777" w:rsidR="00E52445" w:rsidRPr="00EC0A20" w:rsidRDefault="00E52445" w:rsidP="00E52445">
            <w:pPr>
              <w:pStyle w:val="afc"/>
              <w:numPr>
                <w:ilvl w:val="2"/>
                <w:numId w:val="15"/>
              </w:numPr>
              <w:spacing w:after="120" w:line="240" w:lineRule="auto"/>
              <w:ind w:left="2376" w:firstLineChars="0"/>
              <w:rPr>
                <w:rFonts w:eastAsia="SimSun"/>
                <w:szCs w:val="24"/>
                <w:lang w:eastAsia="zh-CN"/>
              </w:rPr>
            </w:pPr>
            <w:r w:rsidRPr="00EC0A20">
              <w:rPr>
                <w:rFonts w:eastAsia="SimSun"/>
                <w:szCs w:val="24"/>
                <w:lang w:eastAsia="zh-CN"/>
              </w:rPr>
              <w:t>Study on how to align on the transmitter chain model, including PA model, for consistent evaluations on the modulation</w:t>
            </w:r>
            <w:r>
              <w:rPr>
                <w:rFonts w:eastAsia="SimSun"/>
                <w:szCs w:val="24"/>
                <w:lang w:eastAsia="zh-CN"/>
              </w:rPr>
              <w:t>.</w:t>
            </w:r>
            <w:r w:rsidRPr="00EC0A20">
              <w:rPr>
                <w:rFonts w:eastAsia="SimSun"/>
                <w:szCs w:val="24"/>
                <w:lang w:eastAsia="zh-CN"/>
              </w:rPr>
              <w:t xml:space="preserve"> </w:t>
            </w:r>
          </w:p>
          <w:p w14:paraId="0AF00E9A" w14:textId="77777777" w:rsidR="00E52445" w:rsidRPr="00EC0A20" w:rsidRDefault="00E52445" w:rsidP="00E52445">
            <w:pPr>
              <w:pStyle w:val="afc"/>
              <w:numPr>
                <w:ilvl w:val="2"/>
                <w:numId w:val="15"/>
              </w:numPr>
              <w:spacing w:after="120" w:line="240" w:lineRule="auto"/>
              <w:ind w:left="2376" w:firstLineChars="0"/>
              <w:rPr>
                <w:rFonts w:eastAsia="SimSun"/>
                <w:szCs w:val="24"/>
                <w:lang w:eastAsia="zh-CN"/>
              </w:rPr>
            </w:pPr>
            <w:r w:rsidRPr="00EC0A20">
              <w:rPr>
                <w:rFonts w:eastAsia="SimSun" w:hint="eastAsia"/>
                <w:szCs w:val="24"/>
                <w:lang w:eastAsia="zh-CN"/>
              </w:rPr>
              <w:t>R</w:t>
            </w:r>
            <w:r w:rsidRPr="00EC0A20">
              <w:rPr>
                <w:rFonts w:eastAsia="SimSun"/>
                <w:szCs w:val="24"/>
                <w:lang w:eastAsia="zh-CN"/>
              </w:rPr>
              <w:t>F evaluation could be done firstly for 5G supported modulations with new assumptions for 6G study, such as assumed new spectrum, CBW, new PA models, etc. Co-ordination with 6G UE RF study is needed</w:t>
            </w:r>
            <w:r>
              <w:rPr>
                <w:rFonts w:eastAsia="SimSun"/>
                <w:szCs w:val="24"/>
                <w:lang w:eastAsia="zh-CN"/>
              </w:rPr>
              <w:t>.</w:t>
            </w:r>
          </w:p>
          <w:p w14:paraId="366CE151" w14:textId="77777777" w:rsidR="00E52445" w:rsidRPr="00EC0A20" w:rsidRDefault="00E52445" w:rsidP="00E52445">
            <w:pPr>
              <w:pStyle w:val="afc"/>
              <w:numPr>
                <w:ilvl w:val="2"/>
                <w:numId w:val="15"/>
              </w:numPr>
              <w:spacing w:after="120" w:line="240" w:lineRule="auto"/>
              <w:ind w:left="2376" w:firstLineChars="0"/>
              <w:rPr>
                <w:rFonts w:eastAsia="SimSun"/>
                <w:szCs w:val="24"/>
                <w:lang w:eastAsia="zh-CN"/>
              </w:rPr>
            </w:pPr>
            <w:r w:rsidRPr="00EC0A20">
              <w:rPr>
                <w:rFonts w:eastAsia="SimSun" w:hint="eastAsia"/>
                <w:szCs w:val="24"/>
                <w:lang w:eastAsia="zh-CN"/>
              </w:rPr>
              <w:t>B</w:t>
            </w:r>
            <w:r w:rsidRPr="00EC0A20">
              <w:rPr>
                <w:rFonts w:eastAsia="SimSun"/>
                <w:szCs w:val="24"/>
                <w:lang w:eastAsia="zh-CN"/>
              </w:rPr>
              <w:t>oth link-level and system-level simulations should be performed as usual for high-order modulations study done by RAN4 in prior releases, pending on the progress of RAN1.</w:t>
            </w:r>
          </w:p>
          <w:p w14:paraId="0A0CC32F" w14:textId="77777777" w:rsidR="00E52445" w:rsidRPr="00EC0A20" w:rsidRDefault="00E52445" w:rsidP="00E52445">
            <w:pPr>
              <w:pStyle w:val="afc"/>
              <w:numPr>
                <w:ilvl w:val="1"/>
                <w:numId w:val="15"/>
              </w:numPr>
              <w:spacing w:after="120" w:line="240" w:lineRule="auto"/>
              <w:ind w:left="1656" w:firstLineChars="0"/>
              <w:rPr>
                <w:rFonts w:eastAsia="SimSun"/>
                <w:szCs w:val="24"/>
                <w:lang w:eastAsia="zh-CN"/>
              </w:rPr>
            </w:pPr>
            <w:r w:rsidRPr="00EC0A20">
              <w:rPr>
                <w:rFonts w:eastAsia="SimSun"/>
                <w:szCs w:val="24"/>
                <w:lang w:eastAsia="zh-CN"/>
              </w:rPr>
              <w:t xml:space="preserve">Model and evaluate the performance and the implementation complexity of higher-order modulations, e.g. 1024QAM on the UL and/or new constellations </w:t>
            </w:r>
          </w:p>
          <w:p w14:paraId="26A8A4FD" w14:textId="77777777" w:rsidR="00E52445" w:rsidRPr="00EC0A20" w:rsidRDefault="00E52445" w:rsidP="00E52445">
            <w:pPr>
              <w:pStyle w:val="afc"/>
              <w:numPr>
                <w:ilvl w:val="2"/>
                <w:numId w:val="15"/>
              </w:numPr>
              <w:spacing w:after="120" w:line="240" w:lineRule="auto"/>
              <w:ind w:left="2376" w:firstLineChars="0"/>
              <w:rPr>
                <w:rFonts w:eastAsia="SimSun"/>
                <w:szCs w:val="24"/>
                <w:lang w:eastAsia="zh-CN"/>
              </w:rPr>
            </w:pPr>
            <w:r w:rsidRPr="00EC0A20">
              <w:rPr>
                <w:rFonts w:eastAsia="SimSun"/>
                <w:szCs w:val="24"/>
                <w:lang w:eastAsia="zh-CN"/>
              </w:rPr>
              <w:t>For high order QAM with uniform constellation, e.g. 1024QAM on the UL, RAN4 can work concurrently with RAN1 studies</w:t>
            </w:r>
            <w:r>
              <w:rPr>
                <w:rFonts w:eastAsia="SimSun"/>
                <w:szCs w:val="24"/>
                <w:lang w:eastAsia="zh-CN"/>
              </w:rPr>
              <w:t>.</w:t>
            </w:r>
          </w:p>
          <w:p w14:paraId="13A0DF55" w14:textId="17DBE208" w:rsidR="00E52445" w:rsidRPr="005F3A12" w:rsidRDefault="00E52445" w:rsidP="00E52445">
            <w:pPr>
              <w:pStyle w:val="afc"/>
              <w:numPr>
                <w:ilvl w:val="2"/>
                <w:numId w:val="15"/>
              </w:numPr>
              <w:spacing w:after="120" w:line="240" w:lineRule="auto"/>
              <w:ind w:left="2376" w:firstLineChars="0"/>
              <w:rPr>
                <w:rFonts w:eastAsia="맑은 고딕"/>
                <w:lang w:eastAsia="ko-KR"/>
              </w:rPr>
            </w:pPr>
            <w:r w:rsidRPr="00EC0A20">
              <w:rPr>
                <w:rFonts w:eastAsia="SimSun"/>
                <w:szCs w:val="24"/>
                <w:lang w:eastAsia="zh-CN"/>
              </w:rPr>
              <w:t>For new non-uniform constellation, the evaluation in RAN4 should depend on RAN1 progress and request</w:t>
            </w:r>
            <w:r>
              <w:rPr>
                <w:rFonts w:eastAsia="SimSun"/>
                <w:szCs w:val="24"/>
                <w:lang w:eastAsia="zh-CN"/>
              </w:rPr>
              <w:t>.</w:t>
            </w:r>
          </w:p>
        </w:tc>
      </w:tr>
    </w:tbl>
    <w:p w14:paraId="60ED0E8D" w14:textId="70B0D0A3" w:rsidR="00E52445" w:rsidRDefault="00E52445" w:rsidP="00931C44">
      <w:pPr>
        <w:jc w:val="left"/>
        <w:rPr>
          <w:rFonts w:eastAsia="맑은 고딕"/>
          <w:lang w:eastAsia="ko-KR"/>
        </w:rPr>
      </w:pPr>
    </w:p>
    <w:p w14:paraId="390A91D8" w14:textId="0DA3A272" w:rsidR="006F7173" w:rsidRDefault="006F7173" w:rsidP="006F7173">
      <w:pPr>
        <w:jc w:val="left"/>
      </w:pPr>
      <w:r>
        <w:rPr>
          <w:lang w:eastAsia="ko-KR"/>
        </w:rPr>
        <w:t xml:space="preserve">In this </w:t>
      </w:r>
      <w:r w:rsidRPr="0061383F">
        <w:t>contribution</w:t>
      </w:r>
      <w:r>
        <w:t xml:space="preserve">, we </w:t>
      </w:r>
      <w:r w:rsidRPr="0061383F">
        <w:t xml:space="preserve">provide </w:t>
      </w:r>
      <w:r>
        <w:t>our views on the following aspects keeping in mind the previous agreements of RAN4 and RAN1:</w:t>
      </w:r>
    </w:p>
    <w:p w14:paraId="4112CA07" w14:textId="634C3DD4" w:rsidR="006F7173" w:rsidRPr="00C861E2" w:rsidRDefault="006F7173" w:rsidP="006F7173">
      <w:pPr>
        <w:pStyle w:val="afc"/>
        <w:numPr>
          <w:ilvl w:val="0"/>
          <w:numId w:val="31"/>
        </w:numPr>
        <w:ind w:firstLineChars="0"/>
        <w:jc w:val="left"/>
        <w:rPr>
          <w:rFonts w:eastAsia="맑은 고딕"/>
          <w:lang w:eastAsia="ko-KR"/>
        </w:rPr>
      </w:pPr>
      <w:r w:rsidRPr="00F223A8">
        <w:t>Evaluation methodology and common assumptions</w:t>
      </w:r>
    </w:p>
    <w:p w14:paraId="08DD5067" w14:textId="6ACC7BF1" w:rsidR="006F7173" w:rsidRPr="00C861E2" w:rsidRDefault="006F7173" w:rsidP="006F7173">
      <w:pPr>
        <w:pStyle w:val="afc"/>
        <w:numPr>
          <w:ilvl w:val="0"/>
          <w:numId w:val="31"/>
        </w:numPr>
        <w:ind w:firstLineChars="0"/>
        <w:jc w:val="left"/>
        <w:rPr>
          <w:rFonts w:eastAsia="맑은 고딕"/>
          <w:lang w:eastAsia="ko-KR"/>
        </w:rPr>
      </w:pPr>
      <w:r>
        <w:t>H</w:t>
      </w:r>
      <w:r w:rsidRPr="00F223A8">
        <w:t xml:space="preserve">igher-order </w:t>
      </w:r>
      <w:r w:rsidR="004A1A27">
        <w:t>modulations</w:t>
      </w:r>
      <w:r w:rsidRPr="00F223A8">
        <w:t xml:space="preserve"> (DL 4096-QAM, UL 1024-QAM)</w:t>
      </w:r>
    </w:p>
    <w:p w14:paraId="2D623B70" w14:textId="0E2F8C11" w:rsidR="006F7173" w:rsidRPr="00C861E2" w:rsidRDefault="006F7173" w:rsidP="006F7173">
      <w:pPr>
        <w:pStyle w:val="afc"/>
        <w:numPr>
          <w:ilvl w:val="0"/>
          <w:numId w:val="31"/>
        </w:numPr>
        <w:ind w:firstLineChars="0"/>
        <w:jc w:val="left"/>
        <w:rPr>
          <w:rFonts w:eastAsia="맑은 고딕"/>
          <w:lang w:eastAsia="ko-KR"/>
        </w:rPr>
      </w:pPr>
      <w:r w:rsidRPr="00F223A8">
        <w:t>Non-uniform constellations and probabilistic shaping</w:t>
      </w:r>
    </w:p>
    <w:p w14:paraId="7F59A391" w14:textId="11C6F53B" w:rsidR="009B37B2" w:rsidRPr="00C52357" w:rsidRDefault="002E456A" w:rsidP="007A30A6">
      <w:pPr>
        <w:pStyle w:val="1"/>
        <w:rPr>
          <w:lang w:eastAsia="ja-JP"/>
        </w:rPr>
      </w:pPr>
      <w:r w:rsidRPr="00C52357">
        <w:rPr>
          <w:lang w:eastAsia="ja-JP"/>
        </w:rPr>
        <w:lastRenderedPageBreak/>
        <w:t>2</w:t>
      </w:r>
      <w:r w:rsidR="00191910">
        <w:rPr>
          <w:lang w:eastAsia="ja-JP"/>
        </w:rPr>
        <w:tab/>
      </w:r>
      <w:r w:rsidR="0062292E" w:rsidRPr="00C52357">
        <w:rPr>
          <w:lang w:eastAsia="ja-JP"/>
        </w:rPr>
        <w:t>Discussion</w:t>
      </w:r>
    </w:p>
    <w:p w14:paraId="19ADE6F7" w14:textId="59EA22E1" w:rsidR="00E52445" w:rsidRDefault="00E52445" w:rsidP="00E52445">
      <w:pPr>
        <w:pStyle w:val="2"/>
      </w:pPr>
      <w:r>
        <w:t>2.1</w:t>
      </w:r>
      <w:r>
        <w:tab/>
      </w:r>
      <w:r w:rsidR="00F223A8" w:rsidRPr="00F223A8">
        <w:t>Evaluation methodology and common assumptions</w:t>
      </w:r>
    </w:p>
    <w:p w14:paraId="1D1EAF5B" w14:textId="40CC7610" w:rsidR="00E131B7" w:rsidRDefault="00C035B1" w:rsidP="00E131B7">
      <w:pPr>
        <w:jc w:val="left"/>
        <w:rPr>
          <w:rFonts w:eastAsia="맑은 고딕"/>
          <w:lang w:val="en-US" w:eastAsia="ko-KR"/>
        </w:rPr>
      </w:pPr>
      <w:r>
        <w:rPr>
          <w:rFonts w:eastAsia="맑은 고딕"/>
          <w:lang w:val="en-US" w:eastAsia="ko-KR"/>
        </w:rPr>
        <w:t xml:space="preserve">At its last meeting, </w:t>
      </w:r>
      <w:r w:rsidR="00E131B7" w:rsidRPr="00E131B7">
        <w:rPr>
          <w:rFonts w:eastAsia="맑은 고딕"/>
          <w:lang w:val="en-US" w:eastAsia="ko-KR"/>
        </w:rPr>
        <w:t>R</w:t>
      </w:r>
      <w:r>
        <w:rPr>
          <w:rFonts w:eastAsia="맑은 고딕"/>
          <w:lang w:val="en-US" w:eastAsia="ko-KR"/>
        </w:rPr>
        <w:t xml:space="preserve">AN4 </w:t>
      </w:r>
      <w:r w:rsidR="00E131B7" w:rsidRPr="00E131B7">
        <w:rPr>
          <w:rFonts w:eastAsia="맑은 고딕"/>
          <w:lang w:val="en-US" w:eastAsia="ko-KR"/>
        </w:rPr>
        <w:t>confirmed that the modulation study in RAN4 should stay aligned with RAN1 inputs, while reusing the well-known 5G NR RF requirement structure wherever this is reasonable</w:t>
      </w:r>
      <w:r>
        <w:rPr>
          <w:rFonts w:eastAsia="맑은 고딕"/>
          <w:lang w:val="en-US" w:eastAsia="ko-KR"/>
        </w:rPr>
        <w:t xml:space="preserve"> [2]</w:t>
      </w:r>
      <w:r w:rsidR="00E131B7" w:rsidRPr="00E131B7">
        <w:rPr>
          <w:rFonts w:eastAsia="맑은 고딕"/>
          <w:lang w:val="en-US" w:eastAsia="ko-KR"/>
        </w:rPr>
        <w:t xml:space="preserve">. </w:t>
      </w:r>
      <w:r>
        <w:rPr>
          <w:rFonts w:eastAsia="맑은 고딕"/>
          <w:lang w:val="en-US" w:eastAsia="ko-KR"/>
        </w:rPr>
        <w:t>H</w:t>
      </w:r>
      <w:r w:rsidR="00E131B7" w:rsidRPr="00E131B7">
        <w:rPr>
          <w:rFonts w:eastAsia="맑은 고딕"/>
          <w:lang w:val="en-US" w:eastAsia="ko-KR"/>
        </w:rPr>
        <w:t xml:space="preserve">igher-order QAM is considered worth an early feasibility check, but expanding the </w:t>
      </w:r>
      <w:r>
        <w:rPr>
          <w:rFonts w:eastAsia="맑은 고딕"/>
          <w:lang w:val="en-US" w:eastAsia="ko-KR"/>
        </w:rPr>
        <w:t xml:space="preserve">modulation option </w:t>
      </w:r>
      <w:r w:rsidR="00E131B7" w:rsidRPr="00E131B7">
        <w:rPr>
          <w:rFonts w:eastAsia="맑은 고딕"/>
          <w:lang w:val="en-US" w:eastAsia="ko-KR"/>
        </w:rPr>
        <w:t>would mainly increase test combinations and editorial overhead. For non-uniform items such as probabilistic shaping, most design choices lie in the coding and mapping chain, so it is natural that RAN1 leads the definition and timing. Within this context, the intention of this contribution is</w:t>
      </w:r>
      <w:r>
        <w:rPr>
          <w:rFonts w:eastAsia="맑은 고딕"/>
          <w:lang w:val="en-US" w:eastAsia="ko-KR"/>
        </w:rPr>
        <w:t xml:space="preserve"> to</w:t>
      </w:r>
      <w:r w:rsidR="00E131B7" w:rsidRPr="00E131B7">
        <w:rPr>
          <w:rFonts w:eastAsia="맑은 고딕"/>
          <w:lang w:val="en-US" w:eastAsia="ko-KR"/>
        </w:rPr>
        <w:t xml:space="preserve"> suggest a compact way for RAN4 to evaluate cases in a consistent and comparable manner.</w:t>
      </w:r>
    </w:p>
    <w:p w14:paraId="7EDA15A1" w14:textId="59874587" w:rsidR="00C035B1" w:rsidRPr="00C035B1" w:rsidRDefault="00C035B1" w:rsidP="00E131B7">
      <w:pPr>
        <w:jc w:val="left"/>
        <w:rPr>
          <w:rFonts w:eastAsia="맑은 고딕"/>
          <w:b/>
          <w:bCs/>
          <w:lang w:val="en-US" w:eastAsia="ko-KR"/>
        </w:rPr>
      </w:pPr>
      <w:r w:rsidRPr="00C035B1">
        <w:rPr>
          <w:rFonts w:eastAsia="맑은 고딕" w:hint="eastAsia"/>
          <w:b/>
          <w:bCs/>
          <w:lang w:val="en-US" w:eastAsia="ko-KR"/>
        </w:rPr>
        <w:t>O</w:t>
      </w:r>
      <w:r w:rsidRPr="00C035B1">
        <w:rPr>
          <w:rFonts w:eastAsia="맑은 고딕"/>
          <w:b/>
          <w:bCs/>
          <w:lang w:val="en-US" w:eastAsia="ko-KR"/>
        </w:rPr>
        <w:t>bservation 1:</w:t>
      </w:r>
      <w:r w:rsidRPr="00C035B1">
        <w:rPr>
          <w:rFonts w:eastAsia="맑은 고딕"/>
          <w:b/>
          <w:bCs/>
          <w:lang w:val="en-US" w:eastAsia="ko-KR"/>
        </w:rPr>
        <w:tab/>
        <w:t>RAN4 discussed higher-order QAM and non-uniform constellation such as probabilistic shaping for 6G modulation evaluation.</w:t>
      </w:r>
    </w:p>
    <w:p w14:paraId="1850C9EB" w14:textId="77777777" w:rsidR="00B16269" w:rsidRPr="00E131B7" w:rsidRDefault="00E131B7" w:rsidP="00B16269">
      <w:pPr>
        <w:jc w:val="left"/>
        <w:rPr>
          <w:rFonts w:eastAsia="맑은 고딕"/>
          <w:lang w:val="en-US" w:eastAsia="ko-KR"/>
        </w:rPr>
      </w:pPr>
      <w:r w:rsidRPr="00E131B7">
        <w:rPr>
          <w:rFonts w:eastAsia="맑은 고딕"/>
          <w:lang w:val="en-US" w:eastAsia="ko-KR"/>
        </w:rPr>
        <w:t>In practice, the net benefit of higher-order modulation depends strongly on the required SNR at a target BLER, the EVM headroom at the transmitter, and realistic transmitter operation</w:t>
      </w:r>
      <w:r w:rsidR="00C035B1">
        <w:rPr>
          <w:rFonts w:eastAsia="맑은 고딕"/>
          <w:lang w:val="en-US" w:eastAsia="ko-KR"/>
        </w:rPr>
        <w:t xml:space="preserve">, </w:t>
      </w:r>
      <w:r w:rsidRPr="00E131B7">
        <w:rPr>
          <w:rFonts w:eastAsia="맑은 고딕"/>
          <w:lang w:val="en-US" w:eastAsia="ko-KR"/>
        </w:rPr>
        <w:t xml:space="preserve">in particular PA back-off linked to MPR, memory effects for wider bandwidths, and the use (or not) of DPD. These aspects interact with spectrum </w:t>
      </w:r>
      <w:r w:rsidR="00C035B1">
        <w:rPr>
          <w:rFonts w:eastAsia="맑은 고딕"/>
          <w:lang w:val="en-US" w:eastAsia="ko-KR"/>
        </w:rPr>
        <w:t xml:space="preserve">or regulatory </w:t>
      </w:r>
      <w:r w:rsidR="00B16269" w:rsidRPr="00E131B7">
        <w:rPr>
          <w:rFonts w:eastAsia="맑은 고딕"/>
          <w:lang w:val="en-US" w:eastAsia="ko-KR"/>
        </w:rPr>
        <w:t xml:space="preserve">compliance (ACLR, SEM and out-of-band emissions) and can offset nominal throughput gains. By contrast, probabilistic shaping changes only the symbol probabilities, while the constellation coordinates remain unchanged. </w:t>
      </w:r>
      <w:r w:rsidR="00B16269">
        <w:rPr>
          <w:rFonts w:eastAsia="맑은 고딕"/>
          <w:lang w:val="en-US" w:eastAsia="ko-KR"/>
        </w:rPr>
        <w:t>If this probabilistic sharing is introduced for modulation, RAN4 shall evaluate the</w:t>
      </w:r>
      <w:r w:rsidR="00B16269" w:rsidRPr="00E131B7">
        <w:rPr>
          <w:rFonts w:eastAsia="맑은 고딕"/>
          <w:lang w:val="en-US" w:eastAsia="ko-KR"/>
        </w:rPr>
        <w:t xml:space="preserve"> existing RF </w:t>
      </w:r>
      <w:r w:rsidR="00B16269">
        <w:rPr>
          <w:rFonts w:eastAsia="맑은 고딕"/>
          <w:lang w:val="en-US" w:eastAsia="ko-KR"/>
        </w:rPr>
        <w:t>requirements</w:t>
      </w:r>
      <w:r w:rsidR="00B16269" w:rsidRPr="00E131B7">
        <w:rPr>
          <w:rFonts w:eastAsia="맑은 고딕"/>
          <w:lang w:val="en-US" w:eastAsia="ko-KR"/>
        </w:rPr>
        <w:t xml:space="preserve"> (such as EVM, ACLR and SEM/O</w:t>
      </w:r>
      <w:r w:rsidR="00B16269">
        <w:rPr>
          <w:rFonts w:eastAsia="맑은 고딕"/>
          <w:lang w:val="en-US" w:eastAsia="ko-KR"/>
        </w:rPr>
        <w:t>O</w:t>
      </w:r>
      <w:r w:rsidR="00B16269" w:rsidRPr="00E131B7">
        <w:rPr>
          <w:rFonts w:eastAsia="맑은 고딕"/>
          <w:lang w:val="en-US" w:eastAsia="ko-KR"/>
        </w:rPr>
        <w:t xml:space="preserve">BE) </w:t>
      </w:r>
      <w:r w:rsidR="00B16269">
        <w:rPr>
          <w:rFonts w:eastAsia="맑은 고딕"/>
          <w:lang w:val="en-US" w:eastAsia="ko-KR"/>
        </w:rPr>
        <w:t>under this new modulation, by comparing the legacy modulation with the average power being maintained in the same level</w:t>
      </w:r>
      <w:r w:rsidR="00B16269" w:rsidRPr="00E131B7">
        <w:rPr>
          <w:rFonts w:eastAsia="맑은 고딕"/>
          <w:lang w:val="en-US" w:eastAsia="ko-KR"/>
        </w:rPr>
        <w:t xml:space="preserve">. </w:t>
      </w:r>
    </w:p>
    <w:p w14:paraId="345DE9AA" w14:textId="6E5EEC8C" w:rsidR="00E52445" w:rsidRPr="00492027" w:rsidRDefault="00C035B1" w:rsidP="00E52445">
      <w:pPr>
        <w:jc w:val="left"/>
        <w:rPr>
          <w:rFonts w:eastAsia="맑은 고딕"/>
          <w:b/>
          <w:bCs/>
          <w:lang w:val="en-US" w:eastAsia="ko-KR"/>
        </w:rPr>
      </w:pPr>
      <w:r w:rsidRPr="00492027">
        <w:rPr>
          <w:rFonts w:eastAsia="맑은 고딕" w:hint="eastAsia"/>
          <w:b/>
          <w:bCs/>
          <w:lang w:val="en-US" w:eastAsia="ko-KR"/>
        </w:rPr>
        <w:t>O</w:t>
      </w:r>
      <w:r w:rsidRPr="00492027">
        <w:rPr>
          <w:rFonts w:eastAsia="맑은 고딕"/>
          <w:b/>
          <w:bCs/>
          <w:lang w:val="en-US" w:eastAsia="ko-KR"/>
        </w:rPr>
        <w:t>bservation 2:</w:t>
      </w:r>
      <w:r w:rsidRPr="00492027">
        <w:rPr>
          <w:rFonts w:eastAsia="맑은 고딕"/>
          <w:b/>
          <w:bCs/>
          <w:lang w:val="en-US" w:eastAsia="ko-KR"/>
        </w:rPr>
        <w:tab/>
      </w:r>
      <w:r w:rsidR="00492027" w:rsidRPr="00492027">
        <w:rPr>
          <w:rFonts w:eastAsia="맑은 고딕"/>
          <w:b/>
          <w:bCs/>
          <w:lang w:val="en-US" w:eastAsia="ko-KR"/>
        </w:rPr>
        <w:t>Higher-order modulation discussion depends strongly on the realistic transmitter operation and spectrum or regulatory compliance (ACLR and SEM/OOBE).</w:t>
      </w:r>
    </w:p>
    <w:p w14:paraId="650E054D" w14:textId="77777777" w:rsidR="00B16269" w:rsidRPr="00492027" w:rsidRDefault="00B16269" w:rsidP="00B16269">
      <w:pPr>
        <w:jc w:val="left"/>
        <w:rPr>
          <w:rFonts w:eastAsia="맑은 고딕"/>
          <w:b/>
          <w:bCs/>
          <w:lang w:val="en-US" w:eastAsia="ko-KR"/>
        </w:rPr>
      </w:pPr>
      <w:r w:rsidRPr="00492027">
        <w:rPr>
          <w:rFonts w:eastAsia="맑은 고딕" w:hint="eastAsia"/>
          <w:b/>
          <w:bCs/>
          <w:lang w:val="en-US" w:eastAsia="ko-KR"/>
        </w:rPr>
        <w:t>O</w:t>
      </w:r>
      <w:r w:rsidRPr="00492027">
        <w:rPr>
          <w:rFonts w:eastAsia="맑은 고딕"/>
          <w:b/>
          <w:bCs/>
          <w:lang w:val="en-US" w:eastAsia="ko-KR"/>
        </w:rPr>
        <w:t>bservation 3:</w:t>
      </w:r>
      <w:r w:rsidRPr="00492027">
        <w:rPr>
          <w:rFonts w:eastAsia="맑은 고딕"/>
          <w:b/>
          <w:bCs/>
          <w:lang w:val="en-US" w:eastAsia="ko-KR"/>
        </w:rPr>
        <w:tab/>
        <w:t xml:space="preserve">Probabilistic shaping changes only the symbol probabilities, while </w:t>
      </w:r>
      <w:r>
        <w:rPr>
          <w:rFonts w:eastAsia="맑은 고딕"/>
          <w:b/>
          <w:bCs/>
          <w:lang w:val="en-US" w:eastAsia="ko-KR"/>
        </w:rPr>
        <w:t xml:space="preserve">RAN4 shall still evaluate its impact on relevant </w:t>
      </w:r>
      <w:r w:rsidRPr="00492027">
        <w:rPr>
          <w:rFonts w:eastAsia="맑은 고딕"/>
          <w:b/>
          <w:bCs/>
          <w:lang w:val="en-US" w:eastAsia="ko-KR"/>
        </w:rPr>
        <w:t xml:space="preserve">RF </w:t>
      </w:r>
      <w:r>
        <w:rPr>
          <w:rFonts w:eastAsia="맑은 고딕"/>
          <w:b/>
          <w:bCs/>
          <w:lang w:val="en-US" w:eastAsia="ko-KR"/>
        </w:rPr>
        <w:t>requirements</w:t>
      </w:r>
      <w:r w:rsidRPr="00492027">
        <w:rPr>
          <w:rFonts w:eastAsia="맑은 고딕"/>
          <w:b/>
          <w:bCs/>
          <w:lang w:val="en-US" w:eastAsia="ko-KR"/>
        </w:rPr>
        <w:t xml:space="preserve"> (such as EVM, ACLR and SEM/OOBE) </w:t>
      </w:r>
      <w:r>
        <w:rPr>
          <w:rFonts w:eastAsia="맑은 고딕"/>
          <w:b/>
          <w:bCs/>
          <w:lang w:val="en-US" w:eastAsia="ko-KR"/>
        </w:rPr>
        <w:t>by assuming the probability sharing agreed in RAN1 and resultant constellation expansion after power normalization</w:t>
      </w:r>
      <w:r w:rsidRPr="00492027">
        <w:rPr>
          <w:rFonts w:eastAsia="맑은 고딕"/>
          <w:b/>
          <w:bCs/>
          <w:lang w:val="en-US" w:eastAsia="ko-KR"/>
        </w:rPr>
        <w:t>.</w:t>
      </w:r>
    </w:p>
    <w:p w14:paraId="0C5A7474" w14:textId="0D99ED0A" w:rsidR="00E131B7" w:rsidRDefault="00E131B7" w:rsidP="00E131B7">
      <w:pPr>
        <w:jc w:val="left"/>
        <w:rPr>
          <w:rFonts w:eastAsia="맑은 고딕"/>
          <w:lang w:val="en-US" w:eastAsia="ko-KR"/>
        </w:rPr>
      </w:pPr>
      <w:r w:rsidRPr="00E131B7">
        <w:rPr>
          <w:rFonts w:eastAsia="맑은 고딕" w:hint="eastAsia"/>
          <w:lang w:val="en-US" w:eastAsia="ko-KR"/>
        </w:rPr>
        <w:t xml:space="preserve">For each modulation case, it may be useful that RAN4 adopts a single, harmonized </w:t>
      </w:r>
      <w:r w:rsidR="005064CF">
        <w:rPr>
          <w:rFonts w:eastAsia="맑은 고딕"/>
          <w:lang w:val="en-US" w:eastAsia="ko-KR"/>
        </w:rPr>
        <w:t>methodology</w:t>
      </w:r>
      <w:r w:rsidRPr="00E131B7">
        <w:rPr>
          <w:rFonts w:eastAsia="맑은 고딕" w:hint="eastAsia"/>
          <w:lang w:val="en-US" w:eastAsia="ko-KR"/>
        </w:rPr>
        <w:t xml:space="preserve"> so that results across different modulation orders and constellation types remain directly comparable. In doing so, RAN4 could refer to the same transmitter-chain assumptions as in other 6G studies (for example, the waveform study), such as a PA back-off policy linked to MPR, the enablement of memory effects when the channel bandwidth makes them relevant, and an explicit indication of whether DPD is active. The intention is not to introduce a new family of transmitter models in the modulation context, but rather to let the evaluation inherit one coherent set of assumptions, thereby avoiding artificial gains or penalties that might arise from inconsistent modeling. On the receiver side, it may be sufficient to </w:t>
      </w:r>
      <w:r w:rsidR="00492027">
        <w:rPr>
          <w:rFonts w:eastAsia="맑은 고딕"/>
          <w:lang w:val="en-US" w:eastAsia="ko-KR"/>
        </w:rPr>
        <w:t>check</w:t>
      </w:r>
      <w:r w:rsidRPr="00E131B7">
        <w:rPr>
          <w:rFonts w:eastAsia="맑은 고딕" w:hint="eastAsia"/>
          <w:lang w:val="en-US" w:eastAsia="ko-KR"/>
        </w:rPr>
        <w:t xml:space="preserve"> the baseline decoder and interleaver for transparency; unless RAN1 explicitly requests further work, RAN4 would not be expected to optimize or modify the coding/interleaving chain, beyond documenting the effective code rate and the BLER target used in the SNR and EVM evaluations.</w:t>
      </w:r>
    </w:p>
    <w:p w14:paraId="663C8C6E" w14:textId="7E4373EC" w:rsidR="005064CF" w:rsidRPr="00E131B7" w:rsidRDefault="005064CF" w:rsidP="00E131B7">
      <w:pPr>
        <w:jc w:val="left"/>
        <w:rPr>
          <w:rFonts w:eastAsia="맑은 고딕"/>
          <w:b/>
          <w:bCs/>
          <w:lang w:val="en-US" w:eastAsia="ko-KR"/>
        </w:rPr>
      </w:pPr>
      <w:r w:rsidRPr="005064CF">
        <w:rPr>
          <w:rFonts w:eastAsia="맑은 고딕"/>
          <w:b/>
          <w:bCs/>
          <w:lang w:val="en-US" w:eastAsia="ko-KR"/>
        </w:rPr>
        <w:t>Proposal 1:</w:t>
      </w:r>
      <w:r w:rsidRPr="005064CF">
        <w:rPr>
          <w:rFonts w:eastAsia="맑은 고딕"/>
          <w:b/>
          <w:bCs/>
          <w:lang w:val="en-US" w:eastAsia="ko-KR"/>
        </w:rPr>
        <w:tab/>
      </w:r>
      <w:r w:rsidRPr="005064CF">
        <w:rPr>
          <w:rFonts w:eastAsia="맑은 고딕"/>
          <w:b/>
          <w:bCs/>
          <w:lang w:val="en-US" w:eastAsia="ko-KR"/>
        </w:rPr>
        <w:tab/>
      </w:r>
      <w:r w:rsidRPr="00E131B7">
        <w:rPr>
          <w:rFonts w:eastAsia="맑은 고딕" w:hint="eastAsia"/>
          <w:b/>
          <w:bCs/>
          <w:lang w:val="en-US" w:eastAsia="ko-KR"/>
        </w:rPr>
        <w:t>RAN4</w:t>
      </w:r>
      <w:r w:rsidRPr="005064CF">
        <w:rPr>
          <w:rFonts w:eastAsia="맑은 고딕"/>
          <w:b/>
          <w:bCs/>
          <w:lang w:val="en-US" w:eastAsia="ko-KR"/>
        </w:rPr>
        <w:t xml:space="preserve"> should </w:t>
      </w:r>
      <w:r w:rsidRPr="00E131B7">
        <w:rPr>
          <w:rFonts w:eastAsia="맑은 고딕" w:hint="eastAsia"/>
          <w:b/>
          <w:bCs/>
          <w:lang w:val="en-US" w:eastAsia="ko-KR"/>
        </w:rPr>
        <w:t xml:space="preserve">adopt a single, harmonized </w:t>
      </w:r>
      <w:r w:rsidRPr="005064CF">
        <w:rPr>
          <w:rFonts w:eastAsia="맑은 고딕"/>
          <w:b/>
          <w:bCs/>
          <w:lang w:val="en-US" w:eastAsia="ko-KR"/>
        </w:rPr>
        <w:t>methodology</w:t>
      </w:r>
      <w:r w:rsidRPr="00E131B7">
        <w:rPr>
          <w:rFonts w:eastAsia="맑은 고딕" w:hint="eastAsia"/>
          <w:b/>
          <w:bCs/>
          <w:lang w:val="en-US" w:eastAsia="ko-KR"/>
        </w:rPr>
        <w:t xml:space="preserve"> so that results across different modulation orders and constellation types remain directly comparable. </w:t>
      </w:r>
    </w:p>
    <w:p w14:paraId="3A83569B" w14:textId="59182B36" w:rsidR="00E131B7" w:rsidRDefault="00E131B7" w:rsidP="00E131B7">
      <w:pPr>
        <w:jc w:val="left"/>
        <w:rPr>
          <w:rFonts w:eastAsia="맑은 고딕"/>
          <w:lang w:val="en-US" w:eastAsia="ko-KR"/>
        </w:rPr>
      </w:pPr>
      <w:r w:rsidRPr="00E131B7">
        <w:rPr>
          <w:rFonts w:eastAsia="맑은 고딕" w:hint="eastAsia"/>
          <w:lang w:val="en-US" w:eastAsia="ko-KR"/>
        </w:rPr>
        <w:t xml:space="preserve">On top of these items, it may also be helpful to add a simple indication of whether any requirement change is suggested for that case, together with a short explanation. In the absence of strong and repeatable gains that do not require disproportionate back-off or test effort, it would be natural for </w:t>
      </w:r>
      <w:bookmarkStart w:id="1" w:name="_Hlk213154854"/>
      <w:r w:rsidRPr="00E131B7">
        <w:rPr>
          <w:rFonts w:eastAsia="맑은 고딕" w:hint="eastAsia"/>
          <w:lang w:val="en-US" w:eastAsia="ko-KR"/>
        </w:rPr>
        <w:t>RAN4 to reus</w:t>
      </w:r>
      <w:r w:rsidR="005064CF">
        <w:rPr>
          <w:rFonts w:eastAsia="맑은 고딕"/>
          <w:lang w:val="en-US" w:eastAsia="ko-KR"/>
        </w:rPr>
        <w:t>e</w:t>
      </w:r>
      <w:r w:rsidRPr="00E131B7">
        <w:rPr>
          <w:rFonts w:eastAsia="맑은 고딕" w:hint="eastAsia"/>
          <w:lang w:val="en-US" w:eastAsia="ko-KR"/>
        </w:rPr>
        <w:t xml:space="preserve"> the </w:t>
      </w:r>
      <w:r w:rsidR="005064CF">
        <w:rPr>
          <w:rFonts w:eastAsia="맑은 고딕"/>
          <w:lang w:val="en-US" w:eastAsia="ko-KR"/>
        </w:rPr>
        <w:t>5G</w:t>
      </w:r>
      <w:r w:rsidRPr="00E131B7">
        <w:rPr>
          <w:rFonts w:eastAsia="맑은 고딕" w:hint="eastAsia"/>
          <w:lang w:val="en-US" w:eastAsia="ko-KR"/>
        </w:rPr>
        <w:t xml:space="preserve"> requirement values </w:t>
      </w:r>
      <w:r w:rsidR="005064CF">
        <w:rPr>
          <w:rFonts w:eastAsia="맑은 고딕"/>
          <w:lang w:val="en-US" w:eastAsia="ko-KR"/>
        </w:rPr>
        <w:t xml:space="preserve">as much as possible </w:t>
      </w:r>
      <w:r w:rsidRPr="00E131B7">
        <w:rPr>
          <w:rFonts w:eastAsia="맑은 고딕" w:hint="eastAsia"/>
          <w:lang w:val="en-US" w:eastAsia="ko-KR"/>
        </w:rPr>
        <w:t>and to focus on the deltas caused by 6G-specific assumptions.</w:t>
      </w:r>
      <w:bookmarkEnd w:id="1"/>
    </w:p>
    <w:p w14:paraId="6BEB9831" w14:textId="2F07E1C9" w:rsidR="005064CF" w:rsidRPr="00E131B7" w:rsidRDefault="005064CF" w:rsidP="005064CF">
      <w:pPr>
        <w:jc w:val="left"/>
        <w:rPr>
          <w:rFonts w:eastAsia="맑은 고딕"/>
          <w:b/>
          <w:bCs/>
          <w:lang w:val="en-US" w:eastAsia="ko-KR"/>
        </w:rPr>
      </w:pPr>
      <w:r w:rsidRPr="005064CF">
        <w:rPr>
          <w:rFonts w:eastAsia="맑은 고딕"/>
          <w:b/>
          <w:bCs/>
          <w:lang w:val="en-US" w:eastAsia="ko-KR"/>
        </w:rPr>
        <w:t xml:space="preserve">Proposal </w:t>
      </w:r>
      <w:r>
        <w:rPr>
          <w:rFonts w:eastAsia="맑은 고딕"/>
          <w:b/>
          <w:bCs/>
          <w:lang w:val="en-US" w:eastAsia="ko-KR"/>
        </w:rPr>
        <w:t>2</w:t>
      </w:r>
      <w:r w:rsidRPr="005064CF">
        <w:rPr>
          <w:rFonts w:eastAsia="맑은 고딕"/>
          <w:b/>
          <w:bCs/>
          <w:lang w:val="en-US" w:eastAsia="ko-KR"/>
        </w:rPr>
        <w:t>:</w:t>
      </w:r>
      <w:r w:rsidRPr="005064CF">
        <w:rPr>
          <w:rFonts w:eastAsia="맑은 고딕"/>
          <w:b/>
          <w:bCs/>
          <w:lang w:val="en-US" w:eastAsia="ko-KR"/>
        </w:rPr>
        <w:tab/>
      </w:r>
      <w:r w:rsidRPr="005064CF">
        <w:rPr>
          <w:rFonts w:eastAsia="맑은 고딕"/>
          <w:b/>
          <w:bCs/>
          <w:lang w:val="en-US" w:eastAsia="ko-KR"/>
        </w:rPr>
        <w:tab/>
      </w:r>
      <w:r w:rsidRPr="00E131B7">
        <w:rPr>
          <w:rFonts w:eastAsia="맑은 고딕" w:hint="eastAsia"/>
          <w:b/>
          <w:bCs/>
          <w:lang w:val="en-US" w:eastAsia="ko-KR"/>
        </w:rPr>
        <w:t xml:space="preserve">RAN4 </w:t>
      </w:r>
      <w:r>
        <w:rPr>
          <w:rFonts w:eastAsia="맑은 고딕"/>
          <w:b/>
          <w:bCs/>
          <w:lang w:val="en-US" w:eastAsia="ko-KR"/>
        </w:rPr>
        <w:t xml:space="preserve">should </w:t>
      </w:r>
      <w:r w:rsidRPr="00E131B7">
        <w:rPr>
          <w:rFonts w:eastAsia="맑은 고딕" w:hint="eastAsia"/>
          <w:b/>
          <w:bCs/>
          <w:lang w:val="en-US" w:eastAsia="ko-KR"/>
        </w:rPr>
        <w:t>reus</w:t>
      </w:r>
      <w:r w:rsidRPr="005064CF">
        <w:rPr>
          <w:rFonts w:eastAsia="맑은 고딕"/>
          <w:b/>
          <w:bCs/>
          <w:lang w:val="en-US" w:eastAsia="ko-KR"/>
        </w:rPr>
        <w:t>e</w:t>
      </w:r>
      <w:r w:rsidRPr="00E131B7">
        <w:rPr>
          <w:rFonts w:eastAsia="맑은 고딕" w:hint="eastAsia"/>
          <w:b/>
          <w:bCs/>
          <w:lang w:val="en-US" w:eastAsia="ko-KR"/>
        </w:rPr>
        <w:t xml:space="preserve"> the </w:t>
      </w:r>
      <w:r w:rsidRPr="005064CF">
        <w:rPr>
          <w:rFonts w:eastAsia="맑은 고딕"/>
          <w:b/>
          <w:bCs/>
          <w:lang w:val="en-US" w:eastAsia="ko-KR"/>
        </w:rPr>
        <w:t>5G</w:t>
      </w:r>
      <w:r w:rsidRPr="00E131B7">
        <w:rPr>
          <w:rFonts w:eastAsia="맑은 고딕" w:hint="eastAsia"/>
          <w:b/>
          <w:bCs/>
          <w:lang w:val="en-US" w:eastAsia="ko-KR"/>
        </w:rPr>
        <w:t xml:space="preserve"> requirement values </w:t>
      </w:r>
      <w:r>
        <w:rPr>
          <w:rFonts w:eastAsia="맑은 고딕"/>
          <w:b/>
          <w:bCs/>
          <w:lang w:val="en-US" w:eastAsia="ko-KR"/>
        </w:rPr>
        <w:t xml:space="preserve">as much as possible </w:t>
      </w:r>
      <w:r w:rsidRPr="00E131B7">
        <w:rPr>
          <w:rFonts w:eastAsia="맑은 고딕" w:hint="eastAsia"/>
          <w:b/>
          <w:bCs/>
          <w:lang w:val="en-US" w:eastAsia="ko-KR"/>
        </w:rPr>
        <w:t>and to focus on the deltas caused by 6G-specific assumptions.</w:t>
      </w:r>
    </w:p>
    <w:p w14:paraId="5D26C0E5" w14:textId="41BBC483" w:rsidR="00F223A8" w:rsidRPr="00F223A8" w:rsidRDefault="00F223A8" w:rsidP="00F223A8">
      <w:pPr>
        <w:pStyle w:val="2"/>
        <w:rPr>
          <w:lang w:val="en-US"/>
        </w:rPr>
      </w:pPr>
      <w:r>
        <w:t>2.2</w:t>
      </w:r>
      <w:r>
        <w:tab/>
      </w:r>
      <w:r w:rsidR="00840015">
        <w:t>H</w:t>
      </w:r>
      <w:r w:rsidRPr="00F223A8">
        <w:t xml:space="preserve">igher-order </w:t>
      </w:r>
      <w:r w:rsidR="004A1A27">
        <w:t>modulations</w:t>
      </w:r>
      <w:r w:rsidRPr="00F223A8">
        <w:t xml:space="preserve"> (DL 4096-QAM, UL 1024-QAM)</w:t>
      </w:r>
    </w:p>
    <w:p w14:paraId="5670126A" w14:textId="00BD866D" w:rsidR="000A4DDB" w:rsidRDefault="000A4DDB" w:rsidP="000A4DDB">
      <w:pPr>
        <w:jc w:val="left"/>
        <w:rPr>
          <w:rFonts w:eastAsia="맑은 고딕"/>
          <w:lang w:val="en-US" w:eastAsia="ko-KR"/>
        </w:rPr>
      </w:pPr>
      <w:r w:rsidRPr="000A4DDB">
        <w:rPr>
          <w:rFonts w:eastAsia="맑은 고딕"/>
          <w:lang w:val="en-US" w:eastAsia="ko-KR"/>
        </w:rPr>
        <w:t xml:space="preserve">According to </w:t>
      </w:r>
      <w:r>
        <w:rPr>
          <w:rFonts w:eastAsia="맑은 고딕"/>
          <w:lang w:val="en-US" w:eastAsia="ko-KR"/>
        </w:rPr>
        <w:t>[2]</w:t>
      </w:r>
      <w:r w:rsidRPr="000A4DDB">
        <w:rPr>
          <w:rFonts w:eastAsia="맑은 고딕"/>
          <w:lang w:val="en-US" w:eastAsia="ko-KR"/>
        </w:rPr>
        <w:t xml:space="preserve">, QPSK up to 1024QAM in the downlink and π/2-BPSK/QPSK up to 256QAM in the uplink are supported as the baseline modulation orders for “Day-1” 6G specifications, while the feasibility of UL 1024QAM and </w:t>
      </w:r>
      <w:r w:rsidRPr="000A4DDB">
        <w:rPr>
          <w:rFonts w:eastAsia="맑은 고딕"/>
          <w:lang w:val="en-US" w:eastAsia="ko-KR"/>
        </w:rPr>
        <w:lastRenderedPageBreak/>
        <w:t xml:space="preserve">DL 4096QAM is identified as a study </w:t>
      </w:r>
      <w:r>
        <w:rPr>
          <w:rFonts w:eastAsia="맑은 고딕"/>
          <w:lang w:val="en-US" w:eastAsia="ko-KR"/>
        </w:rPr>
        <w:t>topic</w:t>
      </w:r>
      <w:r w:rsidRPr="000A4DDB">
        <w:rPr>
          <w:rFonts w:eastAsia="맑은 고딕"/>
          <w:lang w:val="en-US" w:eastAsia="ko-KR"/>
        </w:rPr>
        <w:t xml:space="preserve"> for optional higher-order modulations. In parallel, RAN1 discussion on 6GR modulation </w:t>
      </w:r>
      <w:r w:rsidR="006B2504">
        <w:rPr>
          <w:rFonts w:eastAsia="맑은 고딕"/>
          <w:lang w:val="en-US" w:eastAsia="ko-KR"/>
        </w:rPr>
        <w:t xml:space="preserve">also </w:t>
      </w:r>
      <w:r w:rsidRPr="000A4DDB">
        <w:rPr>
          <w:rFonts w:eastAsia="맑은 고딕"/>
          <w:lang w:val="en-US" w:eastAsia="ko-KR"/>
        </w:rPr>
        <w:t>notes that current studies are already considering constellations up to 1024QAM</w:t>
      </w:r>
      <w:r w:rsidR="006B2504">
        <w:rPr>
          <w:rFonts w:eastAsia="맑은 고딕"/>
          <w:lang w:val="en-US" w:eastAsia="ko-KR"/>
        </w:rPr>
        <w:t xml:space="preserve"> (UL)</w:t>
      </w:r>
      <w:r w:rsidRPr="000A4DDB">
        <w:rPr>
          <w:rFonts w:eastAsia="맑은 고딕"/>
          <w:lang w:val="en-US" w:eastAsia="ko-KR"/>
        </w:rPr>
        <w:t>, and even up to 4096QAM</w:t>
      </w:r>
      <w:r w:rsidR="006B2504">
        <w:rPr>
          <w:rFonts w:eastAsia="맑은 고딕"/>
          <w:lang w:val="en-US" w:eastAsia="ko-KR"/>
        </w:rPr>
        <w:t xml:space="preserve"> (DL)</w:t>
      </w:r>
      <w:r w:rsidRPr="000A4DDB">
        <w:rPr>
          <w:rFonts w:eastAsia="맑은 고딕"/>
          <w:lang w:val="en-US" w:eastAsia="ko-KR"/>
        </w:rPr>
        <w:t>, as a way to increase spectral efficiency at high SNR, while also observing that for uniform 1024QAM the gap between BICM capacity and unconstrained Shannon capacity can reach around 1.5 dB. These points together suggest that higher-order QAM is relevant for 6GR, but that its practical use must be examined carefully from an RF feasibility and requirement-impact perspective.</w:t>
      </w:r>
    </w:p>
    <w:p w14:paraId="18414992" w14:textId="1329F20E" w:rsidR="000A4DDB" w:rsidRPr="006B2504" w:rsidRDefault="006B2504" w:rsidP="000A4DDB">
      <w:pPr>
        <w:jc w:val="left"/>
        <w:rPr>
          <w:rFonts w:eastAsia="맑은 고딕"/>
          <w:b/>
          <w:bCs/>
          <w:lang w:val="en-US" w:eastAsia="ko-KR"/>
        </w:rPr>
      </w:pPr>
      <w:r w:rsidRPr="006B2504">
        <w:rPr>
          <w:rFonts w:eastAsia="맑은 고딕" w:hint="eastAsia"/>
          <w:b/>
          <w:bCs/>
          <w:lang w:val="en-US" w:eastAsia="ko-KR"/>
        </w:rPr>
        <w:t>O</w:t>
      </w:r>
      <w:r w:rsidRPr="006B2504">
        <w:rPr>
          <w:rFonts w:eastAsia="맑은 고딕"/>
          <w:b/>
          <w:bCs/>
          <w:lang w:val="en-US" w:eastAsia="ko-KR"/>
        </w:rPr>
        <w:t>bservation 4:</w:t>
      </w:r>
      <w:r w:rsidRPr="006B2504">
        <w:rPr>
          <w:rFonts w:eastAsia="맑은 고딕"/>
          <w:b/>
          <w:bCs/>
          <w:lang w:val="en-US" w:eastAsia="ko-KR"/>
        </w:rPr>
        <w:tab/>
        <w:t>Both RAN4 and RAN1 identified UL 1024QAM and DL 4096QAM as a study topic for optional higher-order modulations.</w:t>
      </w:r>
    </w:p>
    <w:p w14:paraId="247F45D3" w14:textId="1C96EB1D" w:rsidR="000A4DDB" w:rsidRPr="000A4DDB" w:rsidRDefault="000A4DDB" w:rsidP="000A4DDB">
      <w:pPr>
        <w:jc w:val="left"/>
        <w:rPr>
          <w:rFonts w:eastAsia="맑은 고딕"/>
          <w:lang w:val="en-US" w:eastAsia="ko-KR"/>
        </w:rPr>
      </w:pPr>
      <w:r w:rsidRPr="000A4DDB">
        <w:rPr>
          <w:rFonts w:eastAsia="맑은 고딕"/>
          <w:lang w:val="en-US" w:eastAsia="ko-KR"/>
        </w:rPr>
        <w:t xml:space="preserve">On the downlink side, the main motivation for 4096QAM lies in the potential spectral-efficiency gain when the link operates in high-SNR conditions. At the same time, </w:t>
      </w:r>
      <w:bookmarkStart w:id="2" w:name="_Hlk213155518"/>
      <w:r w:rsidRPr="000A4DDB">
        <w:rPr>
          <w:rFonts w:eastAsia="맑은 고딕"/>
          <w:lang w:val="en-US" w:eastAsia="ko-KR"/>
        </w:rPr>
        <w:t>DL operation must respect the existing EVM targets, available PA headroom in practical gNB deployments, and the multiplexing behavior under multi-user scheduling.</w:t>
      </w:r>
      <w:bookmarkEnd w:id="2"/>
      <w:r w:rsidRPr="000A4DDB">
        <w:rPr>
          <w:rFonts w:eastAsia="맑은 고딕"/>
          <w:lang w:val="en-US" w:eastAsia="ko-KR"/>
        </w:rPr>
        <w:t xml:space="preserve"> As indicated in the WF, RAN4 is expected to focus on feasibility studies and RF-requirement impact, using the existing 5G NR requirements as a starting point and refining them only when justified by 6G-specific findings. In such a setting, it appears reasonable that any study on DL 4096QAM would (i) take CP-OFDM with 1024QAM as a reference, (ii) reuse the same measurement bandwidths and filters as in NR for transmitter-quality and emission checks, and (iii) examine whether the present EVM limits can still be met without requiring excessive back-off that would effectively remove the expected throughput gain. When additional insight is needed for particular high-throughput use cases, RAN4 could, if desired, perform sensitivity checks on how much extra back-off is needed to preserve ACLR and SEM/OBE margins at the intended operating point. Such checks would be informative in nature and would </w:t>
      </w:r>
      <w:r w:rsidR="003B5F5E" w:rsidRPr="000A4DDB">
        <w:rPr>
          <w:rFonts w:eastAsia="맑은 고딕"/>
          <w:lang w:val="en-US" w:eastAsia="ko-KR"/>
        </w:rPr>
        <w:t>not,</w:t>
      </w:r>
      <w:r w:rsidR="003B5F5E">
        <w:rPr>
          <w:rFonts w:eastAsia="맑은 고딕"/>
          <w:lang w:val="en-US" w:eastAsia="ko-KR"/>
        </w:rPr>
        <w:t xml:space="preserve"> </w:t>
      </w:r>
      <w:r w:rsidR="003B5F5E" w:rsidRPr="000A4DDB">
        <w:rPr>
          <w:rFonts w:eastAsia="맑은 고딕"/>
          <w:lang w:val="en-US" w:eastAsia="ko-KR"/>
        </w:rPr>
        <w:t>by</w:t>
      </w:r>
      <w:r w:rsidRPr="000A4DDB">
        <w:rPr>
          <w:rFonts w:eastAsia="맑은 고딕"/>
          <w:lang w:val="en-US" w:eastAsia="ko-KR"/>
        </w:rPr>
        <w:t xml:space="preserve"> themselves, imply a change of requirements.</w:t>
      </w:r>
    </w:p>
    <w:p w14:paraId="097A75C2" w14:textId="4A424ADF" w:rsidR="006B2504" w:rsidRDefault="006B2504" w:rsidP="000A4DDB">
      <w:pPr>
        <w:jc w:val="left"/>
        <w:rPr>
          <w:rFonts w:eastAsia="맑은 고딕"/>
          <w:b/>
          <w:bCs/>
          <w:lang w:val="en-US" w:eastAsia="ko-KR"/>
        </w:rPr>
      </w:pPr>
      <w:r>
        <w:rPr>
          <w:rFonts w:eastAsia="맑은 고딕"/>
          <w:b/>
          <w:bCs/>
          <w:lang w:val="en-US" w:eastAsia="ko-KR"/>
        </w:rPr>
        <w:t>Observation 5:</w:t>
      </w:r>
      <w:r>
        <w:rPr>
          <w:rFonts w:eastAsia="맑은 고딕"/>
          <w:b/>
          <w:bCs/>
          <w:lang w:val="en-US" w:eastAsia="ko-KR"/>
        </w:rPr>
        <w:tab/>
      </w:r>
      <w:r w:rsidRPr="006B2504">
        <w:rPr>
          <w:rFonts w:eastAsia="맑은 고딕"/>
          <w:b/>
          <w:bCs/>
          <w:lang w:val="en-US" w:eastAsia="ko-KR"/>
        </w:rPr>
        <w:t xml:space="preserve">DL </w:t>
      </w:r>
      <w:r>
        <w:rPr>
          <w:rFonts w:eastAsia="맑은 고딕"/>
          <w:b/>
          <w:bCs/>
          <w:lang w:val="en-US" w:eastAsia="ko-KR"/>
        </w:rPr>
        <w:t xml:space="preserve">4096QAM </w:t>
      </w:r>
      <w:r w:rsidRPr="006B2504">
        <w:rPr>
          <w:rFonts w:eastAsia="맑은 고딕"/>
          <w:b/>
          <w:bCs/>
          <w:lang w:val="en-US" w:eastAsia="ko-KR"/>
        </w:rPr>
        <w:t>operation must respect the existing EVM targets, available PA headroom in practical gNB deployments, and the multiplexing behavior under multi-user scheduling.</w:t>
      </w:r>
    </w:p>
    <w:p w14:paraId="41A676E9" w14:textId="7DED08E0" w:rsidR="000A4DDB" w:rsidRPr="006B2504" w:rsidRDefault="006B2504" w:rsidP="000A4DDB">
      <w:pPr>
        <w:jc w:val="left"/>
        <w:rPr>
          <w:rFonts w:eastAsia="맑은 고딕"/>
          <w:b/>
          <w:bCs/>
          <w:lang w:val="en-US" w:eastAsia="ko-KR"/>
        </w:rPr>
      </w:pPr>
      <w:r w:rsidRPr="006B2504">
        <w:rPr>
          <w:rFonts w:eastAsia="맑은 고딕" w:hint="eastAsia"/>
          <w:b/>
          <w:bCs/>
          <w:lang w:val="en-US" w:eastAsia="ko-KR"/>
        </w:rPr>
        <w:t>P</w:t>
      </w:r>
      <w:r w:rsidRPr="006B2504">
        <w:rPr>
          <w:rFonts w:eastAsia="맑은 고딕"/>
          <w:b/>
          <w:bCs/>
          <w:lang w:val="en-US" w:eastAsia="ko-KR"/>
        </w:rPr>
        <w:t>roposal 3:</w:t>
      </w:r>
      <w:r w:rsidRPr="006B2504">
        <w:rPr>
          <w:rFonts w:eastAsia="맑은 고딕"/>
          <w:b/>
          <w:bCs/>
          <w:lang w:val="en-US" w:eastAsia="ko-KR"/>
        </w:rPr>
        <w:tab/>
      </w:r>
      <w:r w:rsidRPr="006B2504">
        <w:rPr>
          <w:rFonts w:eastAsia="맑은 고딕"/>
          <w:b/>
          <w:bCs/>
          <w:lang w:val="en-US" w:eastAsia="ko-KR"/>
        </w:rPr>
        <w:tab/>
        <w:t>Any study on DL 4096QAM would (i) take CP-OFDM with 1024QAM as a reference, (ii) reuse the same measurement bandwidths and filters as in NR for transmitter-quality and emission checks, and (iii) examine whether the present EVM limits can still be met without requiring excessive back-off that would effectively remove the expected throughput gain.</w:t>
      </w:r>
    </w:p>
    <w:p w14:paraId="2A2C9885" w14:textId="77777777" w:rsidR="000A4DDB" w:rsidRPr="000A4DDB" w:rsidRDefault="000A4DDB" w:rsidP="000A4DDB">
      <w:pPr>
        <w:jc w:val="left"/>
        <w:rPr>
          <w:rFonts w:eastAsia="맑은 고딕"/>
          <w:lang w:val="en-US" w:eastAsia="ko-KR"/>
        </w:rPr>
      </w:pPr>
      <w:r w:rsidRPr="000A4DDB">
        <w:rPr>
          <w:rFonts w:eastAsia="맑은 고딕"/>
          <w:lang w:val="en-US" w:eastAsia="ko-KR"/>
        </w:rPr>
        <w:t>For the uplink, 1024QAM is further constrained by the UE transmitter chain, especially by back-off practices associated with MPR, the need to support larger CBWs with PA memory effects, and the limited form factor and power capability of handheld devices. The WF suggests that studies for enabling higher-order modulations should include MPR, required SNR, throughput and coverage, and could also look at advanced UE techniques such as DPD, together with base-station receiver techniques, as possible enablers for UL 1024QAM. In this light, it may be useful that RAN4, when assessing UL 1024QAM as an optional feature, compares it directly against UL 256QAM under identical transmitter assumptions and documents the incremental differences in required SNR and EVM, together with the additional back-off needed to maintain spectrum-emission compliance. If the combined penalty in SNR and back-off tends to cancel the nominal throughput advantage in realistic high-SNR deployment scenarios, it would be natural to record such cases as not leading to any requirement change, while still keeping UL 1024QAM on the table as an optional feature for specific device types or operating points.</w:t>
      </w:r>
    </w:p>
    <w:p w14:paraId="0BE3F1EC" w14:textId="715F6748" w:rsidR="000A4DDB" w:rsidRDefault="006B2504" w:rsidP="000A4DDB">
      <w:pPr>
        <w:jc w:val="left"/>
        <w:rPr>
          <w:rFonts w:eastAsia="맑은 고딕"/>
          <w:b/>
          <w:bCs/>
          <w:lang w:val="en-US" w:eastAsia="ko-KR"/>
        </w:rPr>
      </w:pPr>
      <w:r w:rsidRPr="00FE5992">
        <w:rPr>
          <w:rFonts w:eastAsia="맑은 고딕" w:hint="eastAsia"/>
          <w:b/>
          <w:bCs/>
          <w:lang w:val="en-US" w:eastAsia="ko-KR"/>
        </w:rPr>
        <w:t>O</w:t>
      </w:r>
      <w:r w:rsidRPr="00FE5992">
        <w:rPr>
          <w:rFonts w:eastAsia="맑은 고딕"/>
          <w:b/>
          <w:bCs/>
          <w:lang w:val="en-US" w:eastAsia="ko-KR"/>
        </w:rPr>
        <w:t>bse</w:t>
      </w:r>
      <w:r w:rsidR="00FE5992" w:rsidRPr="00FE5992">
        <w:rPr>
          <w:rFonts w:eastAsia="맑은 고딕"/>
          <w:b/>
          <w:bCs/>
          <w:lang w:val="en-US" w:eastAsia="ko-KR"/>
        </w:rPr>
        <w:t>r</w:t>
      </w:r>
      <w:r w:rsidRPr="00FE5992">
        <w:rPr>
          <w:rFonts w:eastAsia="맑은 고딕"/>
          <w:b/>
          <w:bCs/>
          <w:lang w:val="en-US" w:eastAsia="ko-KR"/>
        </w:rPr>
        <w:t>vation</w:t>
      </w:r>
      <w:r w:rsidR="00FE5992" w:rsidRPr="00FE5992">
        <w:rPr>
          <w:rFonts w:eastAsia="맑은 고딕"/>
          <w:b/>
          <w:bCs/>
          <w:lang w:val="en-US" w:eastAsia="ko-KR"/>
        </w:rPr>
        <w:t xml:space="preserve"> 6:</w:t>
      </w:r>
      <w:r w:rsidR="00FE5992" w:rsidRPr="00FE5992">
        <w:rPr>
          <w:rFonts w:eastAsia="맑은 고딕"/>
          <w:b/>
          <w:bCs/>
          <w:lang w:val="en-US" w:eastAsia="ko-KR"/>
        </w:rPr>
        <w:tab/>
        <w:t>UL 1024QAM is further constrained by the UE transmitter chain, especially by back-off practices associated with MPR, and the limited form factor and power capability of handheld devices.</w:t>
      </w:r>
    </w:p>
    <w:p w14:paraId="740A1F54" w14:textId="6C01B394" w:rsidR="00FE5992" w:rsidRPr="00FE5992" w:rsidRDefault="00FE5992" w:rsidP="000A4DDB">
      <w:pPr>
        <w:jc w:val="left"/>
        <w:rPr>
          <w:rFonts w:eastAsia="맑은 고딕"/>
          <w:b/>
          <w:bCs/>
          <w:lang w:val="en-US" w:eastAsia="ko-KR"/>
        </w:rPr>
      </w:pPr>
      <w:r w:rsidRPr="00FE5992">
        <w:rPr>
          <w:rFonts w:eastAsia="맑은 고딕" w:hint="eastAsia"/>
          <w:b/>
          <w:bCs/>
          <w:lang w:val="en-US" w:eastAsia="ko-KR"/>
        </w:rPr>
        <w:t>P</w:t>
      </w:r>
      <w:r w:rsidRPr="00FE5992">
        <w:rPr>
          <w:rFonts w:eastAsia="맑은 고딕"/>
          <w:b/>
          <w:bCs/>
          <w:lang w:val="en-US" w:eastAsia="ko-KR"/>
        </w:rPr>
        <w:t>roposal 4:</w:t>
      </w:r>
      <w:r w:rsidRPr="00FE5992">
        <w:rPr>
          <w:rFonts w:eastAsia="맑은 고딕"/>
          <w:b/>
          <w:bCs/>
          <w:lang w:val="en-US" w:eastAsia="ko-KR"/>
        </w:rPr>
        <w:tab/>
      </w:r>
      <w:r w:rsidRPr="00FE5992">
        <w:rPr>
          <w:rFonts w:eastAsia="맑은 고딕"/>
          <w:b/>
          <w:bCs/>
          <w:lang w:val="en-US" w:eastAsia="ko-KR"/>
        </w:rPr>
        <w:tab/>
        <w:t>RAN4 should compare it directly against UL 256QAM under identical transmitter assumptions and check the incremental differences in required SNR and EVM, together with the additional back-off needed to maintain regulatory compliance.</w:t>
      </w:r>
    </w:p>
    <w:p w14:paraId="0D8B9D0F" w14:textId="77190B2F" w:rsidR="000A4DDB" w:rsidRPr="000A4DDB" w:rsidRDefault="000A4DDB" w:rsidP="000A4DDB">
      <w:pPr>
        <w:jc w:val="left"/>
        <w:rPr>
          <w:rFonts w:eastAsia="맑은 고딕"/>
          <w:lang w:val="en-US" w:eastAsia="ko-KR"/>
        </w:rPr>
      </w:pPr>
      <w:r>
        <w:rPr>
          <w:rFonts w:eastAsia="맑은 고딕"/>
          <w:lang w:val="en-US" w:eastAsia="ko-KR"/>
        </w:rPr>
        <w:t>T</w:t>
      </w:r>
      <w:r w:rsidRPr="000A4DDB">
        <w:rPr>
          <w:rFonts w:eastAsia="맑은 고딕"/>
          <w:lang w:val="en-US" w:eastAsia="ko-KR"/>
        </w:rPr>
        <w:t xml:space="preserve">he main aspects that RAN4 might </w:t>
      </w:r>
      <w:r>
        <w:rPr>
          <w:rFonts w:eastAsia="맑은 고딕"/>
          <w:lang w:val="en-US" w:eastAsia="ko-KR"/>
        </w:rPr>
        <w:t>have</w:t>
      </w:r>
      <w:r w:rsidRPr="000A4DDB">
        <w:rPr>
          <w:rFonts w:eastAsia="맑은 고딕"/>
          <w:lang w:val="en-US" w:eastAsia="ko-KR"/>
        </w:rPr>
        <w:t xml:space="preserve"> to consider and </w:t>
      </w:r>
      <w:r w:rsidR="00F33AB0">
        <w:rPr>
          <w:rFonts w:eastAsia="맑은 고딕"/>
          <w:lang w:val="en-US" w:eastAsia="ko-KR"/>
        </w:rPr>
        <w:t xml:space="preserve">check </w:t>
      </w:r>
      <w:r w:rsidRPr="000A4DDB">
        <w:rPr>
          <w:rFonts w:eastAsia="맑은 고딕"/>
          <w:lang w:val="en-US" w:eastAsia="ko-KR"/>
        </w:rPr>
        <w:t xml:space="preserve">for optional higher-order QAM could be summarized </w:t>
      </w:r>
      <w:r w:rsidR="00F33AB0">
        <w:rPr>
          <w:rFonts w:eastAsia="맑은 고딕"/>
          <w:lang w:val="en-US" w:eastAsia="ko-KR"/>
        </w:rPr>
        <w:t>as follows,</w:t>
      </w:r>
      <w:r w:rsidRPr="000A4DDB">
        <w:rPr>
          <w:rFonts w:eastAsia="맑은 고딕"/>
          <w:lang w:val="en-US" w:eastAsia="ko-KR"/>
        </w:rPr>
        <w:t xml:space="preserve"> for example:</w:t>
      </w:r>
    </w:p>
    <w:p w14:paraId="4014F5DB" w14:textId="77777777" w:rsidR="000A4DDB" w:rsidRPr="000A4DDB" w:rsidRDefault="000A4DDB" w:rsidP="000A4DDB">
      <w:pPr>
        <w:numPr>
          <w:ilvl w:val="0"/>
          <w:numId w:val="30"/>
        </w:numPr>
        <w:jc w:val="left"/>
        <w:rPr>
          <w:rFonts w:eastAsia="맑은 고딕"/>
          <w:lang w:val="en-US" w:eastAsia="ko-KR"/>
        </w:rPr>
      </w:pPr>
      <w:r w:rsidRPr="000A4DDB">
        <w:rPr>
          <w:rFonts w:eastAsia="맑은 고딕"/>
          <w:lang w:val="en-US" w:eastAsia="ko-KR"/>
        </w:rPr>
        <w:t>the link direction (DL 4096QAM vs. DL 1024QAM reference; UL 1024QAM vs. UL 256QAM reference);</w:t>
      </w:r>
    </w:p>
    <w:p w14:paraId="56D7D1D0" w14:textId="77777777" w:rsidR="000A4DDB" w:rsidRPr="000A4DDB" w:rsidRDefault="000A4DDB" w:rsidP="000A4DDB">
      <w:pPr>
        <w:numPr>
          <w:ilvl w:val="0"/>
          <w:numId w:val="30"/>
        </w:numPr>
        <w:jc w:val="left"/>
        <w:rPr>
          <w:rFonts w:eastAsia="맑은 고딕"/>
          <w:lang w:val="en-US" w:eastAsia="ko-KR"/>
        </w:rPr>
      </w:pPr>
      <w:r w:rsidRPr="000A4DDB">
        <w:rPr>
          <w:rFonts w:eastAsia="맑은 고딕"/>
          <w:lang w:val="en-US" w:eastAsia="ko-KR"/>
        </w:rPr>
        <w:t>the assumed code rate and BLER target used to define the required-SNR point;</w:t>
      </w:r>
    </w:p>
    <w:p w14:paraId="760E314B" w14:textId="77777777" w:rsidR="000A4DDB" w:rsidRPr="000A4DDB" w:rsidRDefault="000A4DDB" w:rsidP="000A4DDB">
      <w:pPr>
        <w:numPr>
          <w:ilvl w:val="0"/>
          <w:numId w:val="30"/>
        </w:numPr>
        <w:jc w:val="left"/>
        <w:rPr>
          <w:rFonts w:eastAsia="맑은 고딕"/>
          <w:lang w:val="en-US" w:eastAsia="ko-KR"/>
        </w:rPr>
      </w:pPr>
      <w:r w:rsidRPr="000A4DDB">
        <w:rPr>
          <w:rFonts w:eastAsia="맑은 고딕"/>
          <w:lang w:val="en-US" w:eastAsia="ko-KR"/>
        </w:rPr>
        <w:t>the PA back-off and transmitter-chain assumptions (including any use of DPD and memory effects);</w:t>
      </w:r>
    </w:p>
    <w:p w14:paraId="472065F4" w14:textId="77777777" w:rsidR="000A4DDB" w:rsidRPr="000A4DDB" w:rsidRDefault="000A4DDB" w:rsidP="000A4DDB">
      <w:pPr>
        <w:numPr>
          <w:ilvl w:val="0"/>
          <w:numId w:val="30"/>
        </w:numPr>
        <w:jc w:val="left"/>
        <w:rPr>
          <w:rFonts w:eastAsia="맑은 고딕"/>
          <w:lang w:val="en-US" w:eastAsia="ko-KR"/>
        </w:rPr>
      </w:pPr>
      <w:r w:rsidRPr="000A4DDB">
        <w:rPr>
          <w:rFonts w:eastAsia="맑은 고딕"/>
          <w:lang w:val="en-US" w:eastAsia="ko-KR"/>
        </w:rPr>
        <w:t>the resulting required SNR at the BLER target and the EVM at the nominal operating point;</w:t>
      </w:r>
    </w:p>
    <w:p w14:paraId="7113E0BD" w14:textId="77777777" w:rsidR="000A4DDB" w:rsidRPr="000A4DDB" w:rsidRDefault="000A4DDB" w:rsidP="000A4DDB">
      <w:pPr>
        <w:numPr>
          <w:ilvl w:val="0"/>
          <w:numId w:val="30"/>
        </w:numPr>
        <w:jc w:val="left"/>
        <w:rPr>
          <w:rFonts w:eastAsia="맑은 고딕"/>
          <w:lang w:val="en-US" w:eastAsia="ko-KR"/>
        </w:rPr>
      </w:pPr>
      <w:r w:rsidRPr="000A4DDB">
        <w:rPr>
          <w:rFonts w:eastAsia="맑은 고딕"/>
          <w:lang w:val="en-US" w:eastAsia="ko-KR"/>
        </w:rPr>
        <w:lastRenderedPageBreak/>
        <w:t>the ACLR and SEM/OBE behavior at the chosen back-off level; and</w:t>
      </w:r>
    </w:p>
    <w:p w14:paraId="2F7A4411" w14:textId="77777777" w:rsidR="000A4DDB" w:rsidRPr="000A4DDB" w:rsidRDefault="000A4DDB" w:rsidP="000A4DDB">
      <w:pPr>
        <w:numPr>
          <w:ilvl w:val="0"/>
          <w:numId w:val="30"/>
        </w:numPr>
        <w:jc w:val="left"/>
        <w:rPr>
          <w:rFonts w:eastAsia="맑은 고딕"/>
          <w:lang w:val="en-US" w:eastAsia="ko-KR"/>
        </w:rPr>
      </w:pPr>
      <w:r w:rsidRPr="000A4DDB">
        <w:rPr>
          <w:rFonts w:eastAsia="맑은 고딕"/>
          <w:lang w:val="en-US" w:eastAsia="ko-KR"/>
        </w:rPr>
        <w:t>a short note on coverage or throughput impact and on implementation/test burden.</w:t>
      </w:r>
    </w:p>
    <w:p w14:paraId="249055ED" w14:textId="6C9776E8" w:rsidR="00E52445" w:rsidRDefault="000A4DDB" w:rsidP="000A4DDB">
      <w:pPr>
        <w:jc w:val="left"/>
        <w:rPr>
          <w:rFonts w:eastAsia="맑은 고딕"/>
          <w:lang w:val="en-US" w:eastAsia="ko-KR"/>
        </w:rPr>
      </w:pPr>
      <w:r w:rsidRPr="000A4DDB">
        <w:rPr>
          <w:rFonts w:eastAsia="맑은 고딕"/>
          <w:lang w:val="en-US" w:eastAsia="ko-KR"/>
        </w:rPr>
        <w:t xml:space="preserve">Based on these observations, a practical way forward could be that RAN4 treats DL 4096QAM and UL 1024QAM explicitly as optional features for which feasibility is studied under realistic transmitter and receiver assumptions, with the baseline remaining DL up to 1024QAM and UL up to 256QAM. In </w:t>
      </w:r>
      <w:r w:rsidR="007A1D0B">
        <w:rPr>
          <w:rFonts w:eastAsia="맑은 고딕"/>
          <w:lang w:val="en-US" w:eastAsia="ko-KR"/>
        </w:rPr>
        <w:t>the initial</w:t>
      </w:r>
      <w:r w:rsidRPr="000A4DDB">
        <w:rPr>
          <w:rFonts w:eastAsia="맑은 고딕"/>
          <w:lang w:val="en-US" w:eastAsia="ko-KR"/>
        </w:rPr>
        <w:t xml:space="preserve"> phase, only a small number of representative cases may need to be considered, and the outcome would mainly be to clarify whether any consistent gain can be achieved without disproportionate back-off or complexity. Unless such gains are clearly demonstrated, it would seem reasonable that no change is proposed to the existing NR-based requirements, and that the optional higher-order cases are simply documented for future reference in line with the agreed WF scope.</w:t>
      </w:r>
    </w:p>
    <w:p w14:paraId="5570F0E3" w14:textId="13D8D53B" w:rsidR="000A4DDB" w:rsidRPr="007A1D0B" w:rsidRDefault="007A1D0B" w:rsidP="000A4DDB">
      <w:pPr>
        <w:jc w:val="left"/>
        <w:rPr>
          <w:rFonts w:eastAsia="맑은 고딕"/>
          <w:b/>
          <w:bCs/>
          <w:lang w:val="en-US" w:eastAsia="ko-KR"/>
        </w:rPr>
      </w:pPr>
      <w:r w:rsidRPr="007A1D0B">
        <w:rPr>
          <w:rFonts w:eastAsia="맑은 고딕" w:hint="eastAsia"/>
          <w:b/>
          <w:bCs/>
          <w:lang w:val="en-US" w:eastAsia="ko-KR"/>
        </w:rPr>
        <w:t>P</w:t>
      </w:r>
      <w:r w:rsidRPr="007A1D0B">
        <w:rPr>
          <w:rFonts w:eastAsia="맑은 고딕"/>
          <w:b/>
          <w:bCs/>
          <w:lang w:val="en-US" w:eastAsia="ko-KR"/>
        </w:rPr>
        <w:t>roposal 5:</w:t>
      </w:r>
      <w:r w:rsidRPr="007A1D0B">
        <w:rPr>
          <w:rFonts w:eastAsia="맑은 고딕"/>
          <w:b/>
          <w:bCs/>
          <w:lang w:val="en-US" w:eastAsia="ko-KR"/>
        </w:rPr>
        <w:tab/>
      </w:r>
      <w:r w:rsidRPr="007A1D0B">
        <w:rPr>
          <w:rFonts w:eastAsia="맑은 고딕"/>
          <w:b/>
          <w:bCs/>
          <w:lang w:val="en-US" w:eastAsia="ko-KR"/>
        </w:rPr>
        <w:tab/>
        <w:t>RAN4 can treat DL 4096QAM and UL 1024QAM explicitly as optional features for which feasibility is studied under realistic transmitter and receiver assumptions, with the baseline remaining DL up to 1024QAM and UL up to 256QAM.</w:t>
      </w:r>
    </w:p>
    <w:p w14:paraId="0204705A" w14:textId="74BF7ECF" w:rsidR="00F223A8" w:rsidRPr="00F223A8" w:rsidRDefault="00F223A8" w:rsidP="003C6B70">
      <w:pPr>
        <w:pStyle w:val="2"/>
        <w:jc w:val="left"/>
        <w:rPr>
          <w:lang w:val="en-US"/>
        </w:rPr>
      </w:pPr>
      <w:r>
        <w:t>2.3</w:t>
      </w:r>
      <w:r>
        <w:tab/>
      </w:r>
      <w:r w:rsidRPr="00F223A8">
        <w:t>Non-uniform constellations and probabilistic shaping</w:t>
      </w:r>
    </w:p>
    <w:p w14:paraId="115F5E76" w14:textId="1340BFBA" w:rsidR="00B95C17" w:rsidRPr="00B95C17" w:rsidRDefault="00B621DC" w:rsidP="00B95C17">
      <w:pPr>
        <w:jc w:val="left"/>
        <w:rPr>
          <w:rFonts w:eastAsia="맑은 고딕"/>
          <w:lang w:val="en-US" w:eastAsia="ko-KR"/>
        </w:rPr>
      </w:pPr>
      <w:r w:rsidRPr="00B95C17">
        <w:rPr>
          <w:rFonts w:eastAsia="맑은 고딕"/>
          <w:lang w:val="en-US" w:eastAsia="ko-KR"/>
        </w:rPr>
        <w:t xml:space="preserve">In </w:t>
      </w:r>
      <w:r>
        <w:rPr>
          <w:rFonts w:eastAsia="맑은 고딕"/>
          <w:lang w:val="en-US" w:eastAsia="ko-KR"/>
        </w:rPr>
        <w:t>[2]</w:t>
      </w:r>
      <w:r w:rsidRPr="00B95C17">
        <w:rPr>
          <w:rFonts w:eastAsia="맑은 고딕"/>
          <w:lang w:val="en-US" w:eastAsia="ko-KR"/>
        </w:rPr>
        <w:t>, it is stated that, for new non-uniform constellations, RAN4 evaluation should depend on RAN1 progress and explicit request.</w:t>
      </w:r>
      <w:r>
        <w:rPr>
          <w:rFonts w:eastAsia="맑은 고딕"/>
          <w:lang w:val="en-US" w:eastAsia="ko-KR"/>
        </w:rPr>
        <w:t xml:space="preserve"> In RAN1, </w:t>
      </w:r>
      <w:r w:rsidR="00B95C17" w:rsidRPr="00B95C17">
        <w:rPr>
          <w:rFonts w:eastAsia="맑은 고딕"/>
          <w:lang w:val="en-US" w:eastAsia="ko-KR"/>
        </w:rPr>
        <w:t xml:space="preserve">constellation shaping is broadly divided into geometric shaping (GS), which changes the constellation geometry, and probabilistic shaping (PS), which changes only the symbol probabilities while keeping the geometry fixed. RAN1 has </w:t>
      </w:r>
      <w:r>
        <w:rPr>
          <w:rFonts w:eastAsia="맑은 고딕"/>
          <w:lang w:val="en-US" w:eastAsia="ko-KR"/>
        </w:rPr>
        <w:t>identified</w:t>
      </w:r>
      <w:r w:rsidR="00B95C17" w:rsidRPr="00B95C17">
        <w:rPr>
          <w:rFonts w:eastAsia="맑은 고딕"/>
          <w:lang w:val="en-US" w:eastAsia="ko-KR"/>
        </w:rPr>
        <w:t xml:space="preserve"> to treat geometrically shaped 1D non-uniform constellations (1D-NUC) as candidate schemes for 6GR, noting that 1D-NUC can outperform uniform QAM over a wide SNR range, with performance gains increasing with modulation order, and that the PAPR increase and receiver-complexity impact remain limited. For PS, </w:t>
      </w:r>
      <w:r>
        <w:rPr>
          <w:rFonts w:eastAsia="맑은 고딕"/>
          <w:lang w:val="en-US" w:eastAsia="ko-KR"/>
        </w:rPr>
        <w:t xml:space="preserve">it </w:t>
      </w:r>
      <w:r w:rsidR="00B95C17" w:rsidRPr="00B95C17">
        <w:rPr>
          <w:rFonts w:eastAsia="맑은 고딕"/>
          <w:lang w:val="en-US" w:eastAsia="ko-KR"/>
        </w:rPr>
        <w:t xml:space="preserve">describes as a technique that adjusts symbol probabilities via distribution matching (DM), leading to a higher effective LDPC code rate that must be taken into account when assessing performance. </w:t>
      </w:r>
    </w:p>
    <w:p w14:paraId="12B77D1B" w14:textId="6C290880" w:rsidR="00B95C17" w:rsidRPr="00B621DC" w:rsidRDefault="00B621DC" w:rsidP="00B95C17">
      <w:pPr>
        <w:jc w:val="left"/>
        <w:rPr>
          <w:rFonts w:eastAsia="맑은 고딕"/>
          <w:b/>
          <w:bCs/>
          <w:lang w:val="en-US" w:eastAsia="ko-KR"/>
        </w:rPr>
      </w:pPr>
      <w:r w:rsidRPr="00B621DC">
        <w:rPr>
          <w:rFonts w:eastAsia="맑은 고딕" w:hint="eastAsia"/>
          <w:b/>
          <w:bCs/>
          <w:lang w:val="en-US" w:eastAsia="ko-KR"/>
        </w:rPr>
        <w:t>O</w:t>
      </w:r>
      <w:r w:rsidRPr="00B621DC">
        <w:rPr>
          <w:rFonts w:eastAsia="맑은 고딕"/>
          <w:b/>
          <w:bCs/>
          <w:lang w:val="en-US" w:eastAsia="ko-KR"/>
        </w:rPr>
        <w:t>bservation 7:</w:t>
      </w:r>
      <w:r w:rsidRPr="00B621DC">
        <w:rPr>
          <w:rFonts w:eastAsia="맑은 고딕"/>
          <w:b/>
          <w:bCs/>
          <w:lang w:val="en-US" w:eastAsia="ko-KR"/>
        </w:rPr>
        <w:tab/>
        <w:t>In RAN1, constellation shaping is broadly divided into geometric shaping (GS), which changes the constellation geometry, and probabilistic shaping (PS), which changes only the symbol probabilities while keeping the geometry fixed.</w:t>
      </w:r>
    </w:p>
    <w:p w14:paraId="10E171B3" w14:textId="39C77DC5" w:rsidR="00C35822" w:rsidRDefault="00B95C17" w:rsidP="00B95C17">
      <w:pPr>
        <w:jc w:val="left"/>
        <w:rPr>
          <w:rFonts w:eastAsia="맑은 고딕"/>
          <w:lang w:val="en-US" w:eastAsia="ko-KR"/>
        </w:rPr>
      </w:pPr>
      <w:r w:rsidRPr="00B95C17">
        <w:rPr>
          <w:rFonts w:eastAsia="맑은 고딕"/>
          <w:lang w:val="en-US" w:eastAsia="ko-KR"/>
        </w:rPr>
        <w:t xml:space="preserve">From an RF-evaluation perspective, these observations suggest that the main design work for non-uniform constellations lies in RAN1, and that the incremental impact on RAN4 activities is expected to be small. In the case of PS, </w:t>
      </w:r>
      <w:r w:rsidR="00C35822">
        <w:rPr>
          <w:rFonts w:eastAsia="맑은 고딕"/>
          <w:lang w:val="en-US" w:eastAsia="ko-KR"/>
        </w:rPr>
        <w:t xml:space="preserve">as shown in Figure 1, </w:t>
      </w:r>
      <w:r w:rsidRPr="00B95C17">
        <w:rPr>
          <w:rFonts w:eastAsia="맑은 고딕"/>
          <w:lang w:val="en-US" w:eastAsia="ko-KR"/>
        </w:rPr>
        <w:t>the constellation coordinates remain unchanged and only the symbol occurrence probabilities are modified by the DM block; as long as average power, measurement bandwidth and filtering are kept the same, the existing RF measurements and definitions</w:t>
      </w:r>
      <w:r>
        <w:rPr>
          <w:rFonts w:eastAsia="맑은 고딕"/>
          <w:lang w:val="en-US" w:eastAsia="ko-KR"/>
        </w:rPr>
        <w:t xml:space="preserve">, </w:t>
      </w:r>
      <w:r w:rsidRPr="00B95C17">
        <w:rPr>
          <w:rFonts w:eastAsia="맑은 고딕"/>
          <w:lang w:val="en-US" w:eastAsia="ko-KR"/>
        </w:rPr>
        <w:t>such as EVM, ACLR and SEM/OBE</w:t>
      </w:r>
      <w:r>
        <w:rPr>
          <w:rFonts w:eastAsia="맑은 고딕"/>
          <w:lang w:val="en-US" w:eastAsia="ko-KR"/>
        </w:rPr>
        <w:t xml:space="preserve">, </w:t>
      </w:r>
      <w:r w:rsidRPr="00B95C17">
        <w:rPr>
          <w:rFonts w:eastAsia="맑은 고딕"/>
          <w:lang w:val="en-US" w:eastAsia="ko-KR"/>
        </w:rPr>
        <w:t xml:space="preserve">remain applicable without change. </w:t>
      </w:r>
    </w:p>
    <w:p w14:paraId="3530C6E8" w14:textId="497D1088" w:rsidR="00C35822" w:rsidRDefault="00C35822" w:rsidP="00B95C17">
      <w:pPr>
        <w:jc w:val="left"/>
        <w:rPr>
          <w:rFonts w:eastAsia="맑은 고딕"/>
          <w:lang w:val="en-US" w:eastAsia="ko-KR"/>
        </w:rPr>
      </w:pPr>
      <w:r>
        <w:rPr>
          <w:rFonts w:eastAsia="맑은 고딕"/>
          <w:noProof/>
          <w:lang w:val="en-US" w:eastAsia="ko-KR"/>
        </w:rPr>
        <w:drawing>
          <wp:inline distT="0" distB="0" distL="0" distR="0" wp14:anchorId="2A38F03A" wp14:editId="6564A328">
            <wp:extent cx="6120000" cy="940147"/>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000" cy="940147"/>
                    </a:xfrm>
                    <a:prstGeom prst="rect">
                      <a:avLst/>
                    </a:prstGeom>
                    <a:noFill/>
                  </pic:spPr>
                </pic:pic>
              </a:graphicData>
            </a:graphic>
          </wp:inline>
        </w:drawing>
      </w:r>
    </w:p>
    <w:p w14:paraId="0B1C27E4" w14:textId="77777777" w:rsidR="00C35822" w:rsidRPr="00C35822" w:rsidRDefault="00C35822" w:rsidP="00C35822">
      <w:pPr>
        <w:jc w:val="center"/>
        <w:rPr>
          <w:rFonts w:eastAsia="맑은 고딕"/>
          <w:b/>
          <w:bCs/>
          <w:lang w:val="en-US" w:eastAsia="ko-KR"/>
        </w:rPr>
      </w:pPr>
      <w:r w:rsidRPr="00C35822">
        <w:rPr>
          <w:rFonts w:eastAsia="맑은 고딕"/>
          <w:b/>
          <w:bCs/>
          <w:lang w:val="en-US" w:eastAsia="ko-KR"/>
        </w:rPr>
        <w:t>Figure 1</w:t>
      </w:r>
      <w:r>
        <w:rPr>
          <w:rFonts w:eastAsia="맑은 고딕"/>
          <w:b/>
          <w:bCs/>
          <w:lang w:val="en-US" w:eastAsia="ko-KR"/>
        </w:rPr>
        <w:t xml:space="preserve">: </w:t>
      </w:r>
      <w:r w:rsidRPr="00C35822">
        <w:rPr>
          <w:rFonts w:eastAsia="맑은 고딕"/>
          <w:b/>
          <w:bCs/>
          <w:lang w:val="en-US" w:eastAsia="ko-KR"/>
        </w:rPr>
        <w:t>Coding and mapping chain with PS/DM annotated</w:t>
      </w:r>
    </w:p>
    <w:p w14:paraId="36C55D2C" w14:textId="77777777" w:rsidR="00B16269" w:rsidRPr="00B95C17" w:rsidRDefault="00B95C17" w:rsidP="00B16269">
      <w:pPr>
        <w:jc w:val="left"/>
        <w:rPr>
          <w:rFonts w:eastAsia="맑은 고딕"/>
          <w:lang w:val="en-US" w:eastAsia="ko-KR"/>
        </w:rPr>
      </w:pPr>
      <w:r w:rsidRPr="00B95C17">
        <w:rPr>
          <w:rFonts w:eastAsia="맑은 고딕"/>
          <w:lang w:val="en-US" w:eastAsia="ko-KR"/>
        </w:rPr>
        <w:t xml:space="preserve">For such schemes, RAN4 would mainly need to be aware that the effective code rate is increased by DM and that the BLER target and code parameters used in RAN1 evaluations are clearly </w:t>
      </w:r>
      <w:r w:rsidR="00C35822">
        <w:rPr>
          <w:rFonts w:eastAsia="맑은 고딕"/>
          <w:lang w:val="en-US" w:eastAsia="ko-KR"/>
        </w:rPr>
        <w:t>clarified</w:t>
      </w:r>
      <w:r w:rsidRPr="00B95C17">
        <w:rPr>
          <w:rFonts w:eastAsia="맑은 고딕"/>
          <w:lang w:val="en-US" w:eastAsia="ko-KR"/>
        </w:rPr>
        <w:t xml:space="preserve">, while the RF test procedures </w:t>
      </w:r>
      <w:r w:rsidR="00B16269" w:rsidRPr="00B95C17">
        <w:rPr>
          <w:rFonts w:eastAsia="맑은 고딕"/>
          <w:lang w:val="en-US" w:eastAsia="ko-KR"/>
        </w:rPr>
        <w:t xml:space="preserve">themselves can stay aligned with those for the corresponding uniform constellations. </w:t>
      </w:r>
    </w:p>
    <w:p w14:paraId="4C9443BD" w14:textId="77777777" w:rsidR="00B16269" w:rsidRPr="00C35822" w:rsidRDefault="00B16269" w:rsidP="00B16269">
      <w:pPr>
        <w:jc w:val="left"/>
        <w:rPr>
          <w:rFonts w:eastAsia="맑은 고딕"/>
          <w:b/>
          <w:bCs/>
          <w:lang w:val="en-US" w:eastAsia="ko-KR"/>
        </w:rPr>
      </w:pPr>
      <w:r w:rsidRPr="00C35822">
        <w:rPr>
          <w:rFonts w:eastAsia="맑은 고딕" w:hint="eastAsia"/>
          <w:b/>
          <w:bCs/>
          <w:lang w:val="en-US" w:eastAsia="ko-KR"/>
        </w:rPr>
        <w:t>P</w:t>
      </w:r>
      <w:r w:rsidRPr="00C35822">
        <w:rPr>
          <w:rFonts w:eastAsia="맑은 고딕"/>
          <w:b/>
          <w:bCs/>
          <w:lang w:val="en-US" w:eastAsia="ko-KR"/>
        </w:rPr>
        <w:t>roposal 6:</w:t>
      </w:r>
      <w:r w:rsidRPr="00C35822">
        <w:rPr>
          <w:rFonts w:eastAsia="맑은 고딕"/>
          <w:b/>
          <w:bCs/>
          <w:lang w:val="en-US" w:eastAsia="ko-KR"/>
        </w:rPr>
        <w:tab/>
      </w:r>
      <w:r w:rsidRPr="00C35822">
        <w:rPr>
          <w:rFonts w:eastAsia="맑은 고딕"/>
          <w:b/>
          <w:bCs/>
          <w:lang w:val="en-US" w:eastAsia="ko-KR"/>
        </w:rPr>
        <w:tab/>
      </w:r>
      <w:r>
        <w:rPr>
          <w:rFonts w:eastAsia="맑은 고딕"/>
          <w:b/>
          <w:bCs/>
          <w:lang w:val="en-US" w:eastAsia="ko-KR"/>
        </w:rPr>
        <w:t>If</w:t>
      </w:r>
      <w:r w:rsidRPr="00C35822">
        <w:rPr>
          <w:rFonts w:eastAsia="맑은 고딕"/>
          <w:b/>
          <w:bCs/>
          <w:lang w:val="en-US" w:eastAsia="ko-KR"/>
        </w:rPr>
        <w:t xml:space="preserve"> PS is shown to cause a significant and consistent change in amplitude statistics</w:t>
      </w:r>
      <w:r>
        <w:rPr>
          <w:rFonts w:eastAsia="맑은 고딕"/>
          <w:b/>
          <w:bCs/>
          <w:lang w:val="en-US" w:eastAsia="ko-KR"/>
        </w:rPr>
        <w:t xml:space="preserve">, RAN4 shall consider its impact on </w:t>
      </w:r>
      <w:r w:rsidRPr="00C35822">
        <w:rPr>
          <w:rFonts w:eastAsia="맑은 고딕"/>
          <w:b/>
          <w:bCs/>
          <w:lang w:val="en-US" w:eastAsia="ko-KR"/>
        </w:rPr>
        <w:t xml:space="preserve">back-off policy, </w:t>
      </w:r>
      <w:r>
        <w:rPr>
          <w:rFonts w:eastAsia="맑은 고딕"/>
          <w:b/>
          <w:bCs/>
          <w:lang w:val="en-US" w:eastAsia="ko-KR"/>
        </w:rPr>
        <w:t xml:space="preserve">and relevant </w:t>
      </w:r>
      <w:r w:rsidRPr="00C35822">
        <w:rPr>
          <w:rFonts w:eastAsia="맑은 고딕"/>
          <w:b/>
          <w:bCs/>
          <w:lang w:val="en-US" w:eastAsia="ko-KR"/>
        </w:rPr>
        <w:t>RF requirement</w:t>
      </w:r>
      <w:r>
        <w:rPr>
          <w:rFonts w:eastAsia="맑은 고딕"/>
          <w:b/>
          <w:bCs/>
          <w:lang w:val="en-US" w:eastAsia="ko-KR"/>
        </w:rPr>
        <w:t>s</w:t>
      </w:r>
      <w:r w:rsidRPr="00C35822">
        <w:rPr>
          <w:rFonts w:eastAsia="맑은 고딕"/>
          <w:b/>
          <w:bCs/>
          <w:lang w:val="en-US" w:eastAsia="ko-KR"/>
        </w:rPr>
        <w:t>.</w:t>
      </w:r>
    </w:p>
    <w:p w14:paraId="761641AB" w14:textId="6EF792EF" w:rsidR="00B95C17" w:rsidRPr="00B95C17" w:rsidRDefault="00B95C17" w:rsidP="00B16269">
      <w:pPr>
        <w:jc w:val="left"/>
        <w:rPr>
          <w:rFonts w:eastAsia="맑은 고딕"/>
          <w:lang w:val="en-US" w:eastAsia="ko-KR"/>
        </w:rPr>
      </w:pPr>
      <w:r w:rsidRPr="00B95C17">
        <w:rPr>
          <w:rFonts w:eastAsia="맑은 고딕"/>
          <w:lang w:val="en-US" w:eastAsia="ko-KR"/>
        </w:rPr>
        <w:t xml:space="preserve">For geometric shaping such as 1D-NUC, </w:t>
      </w:r>
      <w:r w:rsidR="00C35822">
        <w:rPr>
          <w:rFonts w:eastAsia="맑은 고딕"/>
          <w:lang w:val="en-US" w:eastAsia="ko-KR"/>
        </w:rPr>
        <w:t xml:space="preserve">proposals to </w:t>
      </w:r>
      <w:r w:rsidRPr="00B95C17">
        <w:rPr>
          <w:rFonts w:eastAsia="맑은 고딕"/>
          <w:lang w:val="en-US" w:eastAsia="ko-KR"/>
        </w:rPr>
        <w:t>RAN1 indicate that 1D-NUC can provide performance gains over uniform QAM at similar or even lower receiver-side complexity in the SNR range of interest, with no significant PAPR increase compared to uniform QAM. When RAN1 identifies a specific GS candidate whose point locations depart from the uniform grid, RAN4 could evaluate it using the same EVM, ACLR and SEM/O</w:t>
      </w:r>
      <w:r w:rsidR="00C35822">
        <w:rPr>
          <w:rFonts w:eastAsia="맑은 고딕"/>
          <w:lang w:val="en-US" w:eastAsia="ko-KR"/>
        </w:rPr>
        <w:t>O</w:t>
      </w:r>
      <w:r w:rsidRPr="00B95C17">
        <w:rPr>
          <w:rFonts w:eastAsia="맑은 고딕"/>
          <w:lang w:val="en-US" w:eastAsia="ko-KR"/>
        </w:rPr>
        <w:t xml:space="preserve">BE procedures, provided that the spectral shape and nominal power remain comparable to the baseline. Any discussion on detector type or receiver complexity may be </w:t>
      </w:r>
      <w:r w:rsidR="00C35822">
        <w:rPr>
          <w:rFonts w:eastAsia="맑은 고딕"/>
          <w:lang w:val="en-US" w:eastAsia="ko-KR"/>
        </w:rPr>
        <w:t>checked</w:t>
      </w:r>
      <w:r w:rsidRPr="00B95C17">
        <w:rPr>
          <w:rFonts w:eastAsia="맑은 고딕"/>
          <w:lang w:val="en-US" w:eastAsia="ko-KR"/>
        </w:rPr>
        <w:t xml:space="preserve"> for information, but would not typically fall within the core RF requirement-setting scope. </w:t>
      </w:r>
      <w:r w:rsidRPr="00B95C17">
        <w:rPr>
          <w:rFonts w:eastAsia="맑은 고딕"/>
          <w:lang w:val="en-US" w:eastAsia="ko-KR"/>
        </w:rPr>
        <w:lastRenderedPageBreak/>
        <w:t>On the uplink, if geometric shaping is combined with DFT-s-OFDM, the small PAPR differences reported by RAN1 can be treated within the existing transmitter-assumption framework by adjusting back-off in a consistent manner. Only if these differences were found to systematically require a materially different back-off across realistic operating points would RAN4 need to consider a specific note; otherwise, it would be natural to keep the current NR-based RF requirements unchanged.</w:t>
      </w:r>
    </w:p>
    <w:p w14:paraId="4EE23229" w14:textId="147EDEBF" w:rsidR="00B95C17" w:rsidRPr="00DF24A7" w:rsidRDefault="00C35822" w:rsidP="00B95C17">
      <w:pPr>
        <w:jc w:val="left"/>
        <w:rPr>
          <w:rFonts w:eastAsia="맑은 고딕"/>
          <w:b/>
          <w:bCs/>
          <w:lang w:val="en-US" w:eastAsia="ko-KR"/>
        </w:rPr>
      </w:pPr>
      <w:r w:rsidRPr="00DF24A7">
        <w:rPr>
          <w:rFonts w:eastAsia="맑은 고딕" w:hint="eastAsia"/>
          <w:b/>
          <w:bCs/>
          <w:lang w:val="en-US" w:eastAsia="ko-KR"/>
        </w:rPr>
        <w:t>O</w:t>
      </w:r>
      <w:r w:rsidRPr="00DF24A7">
        <w:rPr>
          <w:rFonts w:eastAsia="맑은 고딕"/>
          <w:b/>
          <w:bCs/>
          <w:lang w:val="en-US" w:eastAsia="ko-KR"/>
        </w:rPr>
        <w:t>bservation 8:</w:t>
      </w:r>
      <w:r w:rsidRPr="00DF24A7">
        <w:rPr>
          <w:rFonts w:eastAsia="맑은 고딕"/>
          <w:b/>
          <w:bCs/>
          <w:lang w:val="en-US" w:eastAsia="ko-KR"/>
        </w:rPr>
        <w:tab/>
        <w:t>For geometric shaping such as 1D-NUC, proposals to RAN1 indicate that 1D-NUC can provide performance gains over uniform QAM at similar or even lower receiver-side complexity in the SNR range of interest, with no significant PAPR increase compared to uniform QAM.</w:t>
      </w:r>
    </w:p>
    <w:p w14:paraId="7DB41812" w14:textId="41DB27A4" w:rsidR="00B95C17" w:rsidRPr="00B95C17" w:rsidRDefault="00B95C17" w:rsidP="00C35822">
      <w:pPr>
        <w:jc w:val="left"/>
        <w:rPr>
          <w:rFonts w:eastAsia="맑은 고딕"/>
          <w:lang w:val="en-US" w:eastAsia="ko-KR"/>
        </w:rPr>
      </w:pPr>
      <w:r>
        <w:rPr>
          <w:rFonts w:eastAsia="맑은 고딕"/>
          <w:lang w:val="en-US" w:eastAsia="ko-KR"/>
        </w:rPr>
        <w:t>T</w:t>
      </w:r>
      <w:r w:rsidRPr="00B95C17">
        <w:rPr>
          <w:rFonts w:eastAsia="맑은 고딕"/>
          <w:lang w:val="en-US" w:eastAsia="ko-KR"/>
        </w:rPr>
        <w:t xml:space="preserve">he key points that RAN4 might </w:t>
      </w:r>
      <w:r>
        <w:rPr>
          <w:rFonts w:eastAsia="맑은 고딕"/>
          <w:lang w:val="en-US" w:eastAsia="ko-KR"/>
        </w:rPr>
        <w:t xml:space="preserve">have to </w:t>
      </w:r>
      <w:r w:rsidRPr="00B95C17">
        <w:rPr>
          <w:rFonts w:eastAsia="맑은 고딕"/>
          <w:lang w:val="en-US" w:eastAsia="ko-KR"/>
        </w:rPr>
        <w:t>confirm when non-uniform constellations are studied could, for example, be summarized as follows:</w:t>
      </w:r>
    </w:p>
    <w:p w14:paraId="010C6BCB" w14:textId="77777777" w:rsidR="00B95C17" w:rsidRPr="00B95C17" w:rsidRDefault="00B95C17" w:rsidP="00B95C17">
      <w:pPr>
        <w:numPr>
          <w:ilvl w:val="0"/>
          <w:numId w:val="30"/>
        </w:numPr>
        <w:jc w:val="left"/>
        <w:rPr>
          <w:rFonts w:eastAsia="맑은 고딕"/>
          <w:lang w:val="en-US" w:eastAsia="ko-KR"/>
        </w:rPr>
      </w:pPr>
      <w:r w:rsidRPr="00B95C17">
        <w:rPr>
          <w:rFonts w:eastAsia="맑은 고딕"/>
          <w:lang w:val="en-US" w:eastAsia="ko-KR"/>
        </w:rPr>
        <w:t>whether the geometry is changed (GS/NUC) and whether the symbol probabilities are changed (PS/DM);</w:t>
      </w:r>
    </w:p>
    <w:p w14:paraId="35014C65" w14:textId="77777777" w:rsidR="00B95C17" w:rsidRPr="00B95C17" w:rsidRDefault="00B95C17" w:rsidP="00B95C17">
      <w:pPr>
        <w:numPr>
          <w:ilvl w:val="0"/>
          <w:numId w:val="30"/>
        </w:numPr>
        <w:jc w:val="left"/>
        <w:rPr>
          <w:rFonts w:eastAsia="맑은 고딕"/>
          <w:lang w:val="en-US" w:eastAsia="ko-KR"/>
        </w:rPr>
      </w:pPr>
      <w:r w:rsidRPr="00B95C17">
        <w:rPr>
          <w:rFonts w:eastAsia="맑은 고딕"/>
          <w:lang w:val="en-US" w:eastAsia="ko-KR"/>
        </w:rPr>
        <w:t>the effective code rate and BLER target used in the underlying RAN1 evaluation;</w:t>
      </w:r>
    </w:p>
    <w:p w14:paraId="62F9C965" w14:textId="77777777" w:rsidR="00B95C17" w:rsidRPr="00B95C17" w:rsidRDefault="00B95C17" w:rsidP="00B95C17">
      <w:pPr>
        <w:numPr>
          <w:ilvl w:val="0"/>
          <w:numId w:val="30"/>
        </w:numPr>
        <w:jc w:val="left"/>
        <w:rPr>
          <w:rFonts w:eastAsia="맑은 고딕"/>
          <w:lang w:val="en-US" w:eastAsia="ko-KR"/>
        </w:rPr>
      </w:pPr>
      <w:r w:rsidRPr="00B95C17">
        <w:rPr>
          <w:rFonts w:eastAsia="맑은 고딕"/>
          <w:lang w:val="en-US" w:eastAsia="ko-KR"/>
        </w:rPr>
        <w:t>any observed EVM difference at the nominal operating point compared to a uniform-QAM reference;</w:t>
      </w:r>
    </w:p>
    <w:p w14:paraId="359E88E5" w14:textId="77777777" w:rsidR="00B95C17" w:rsidRPr="00B95C17" w:rsidRDefault="00B95C17" w:rsidP="00B95C17">
      <w:pPr>
        <w:numPr>
          <w:ilvl w:val="0"/>
          <w:numId w:val="30"/>
        </w:numPr>
        <w:jc w:val="left"/>
        <w:rPr>
          <w:rFonts w:eastAsia="맑은 고딕"/>
          <w:lang w:val="en-US" w:eastAsia="ko-KR"/>
        </w:rPr>
      </w:pPr>
      <w:r w:rsidRPr="00B95C17">
        <w:rPr>
          <w:rFonts w:eastAsia="맑은 고딕"/>
          <w:lang w:val="en-US" w:eastAsia="ko-KR"/>
        </w:rPr>
        <w:t>any required change in PA back-off in order to maintain ACLR and SEM/OBE margins; and</w:t>
      </w:r>
    </w:p>
    <w:p w14:paraId="143A70B3" w14:textId="77777777" w:rsidR="00B95C17" w:rsidRPr="00B95C17" w:rsidRDefault="00B95C17" w:rsidP="00B95C17">
      <w:pPr>
        <w:numPr>
          <w:ilvl w:val="0"/>
          <w:numId w:val="30"/>
        </w:numPr>
        <w:jc w:val="left"/>
        <w:rPr>
          <w:rFonts w:eastAsia="맑은 고딕"/>
          <w:lang w:val="en-US" w:eastAsia="ko-KR"/>
        </w:rPr>
      </w:pPr>
      <w:r w:rsidRPr="00B95C17">
        <w:rPr>
          <w:rFonts w:eastAsia="맑은 고딕"/>
          <w:lang w:val="en-US" w:eastAsia="ko-KR"/>
        </w:rPr>
        <w:t>a simple recommendation on whether the case suggests no requirement change, an informative note only, or a need for further input from RAN1.</w:t>
      </w:r>
    </w:p>
    <w:p w14:paraId="50DAA70A" w14:textId="7C6F9D10" w:rsidR="00B95C17" w:rsidRDefault="00B95C17" w:rsidP="00B95C17">
      <w:pPr>
        <w:jc w:val="left"/>
        <w:rPr>
          <w:rFonts w:eastAsia="맑은 고딕"/>
          <w:lang w:val="en-US" w:eastAsia="ko-KR"/>
        </w:rPr>
      </w:pPr>
      <w:r w:rsidRPr="00B95C17">
        <w:rPr>
          <w:rFonts w:eastAsia="맑은 고딕"/>
          <w:lang w:val="en-US" w:eastAsia="ko-KR"/>
        </w:rPr>
        <w:t xml:space="preserve">Taken together, the current understanding from RAN1 studies and the WF agreements indicates that non-uniform constellations can be investigated when needed, but that RAN4’s work for such schemes is expected to remain limited. </w:t>
      </w:r>
      <w:r w:rsidR="00B16269" w:rsidRPr="00B95C17">
        <w:rPr>
          <w:rFonts w:eastAsia="맑은 고딕"/>
          <w:lang w:val="en-US" w:eastAsia="ko-KR"/>
        </w:rPr>
        <w:t>In particular, probabilistic shaping, as a probability-based method that keeps the constellation geometry unchanged</w:t>
      </w:r>
      <w:r w:rsidR="00B16269">
        <w:rPr>
          <w:rFonts w:eastAsia="맑은 고딕"/>
          <w:lang w:val="en-US" w:eastAsia="ko-KR"/>
        </w:rPr>
        <w:t xml:space="preserve"> before normalization</w:t>
      </w:r>
      <w:r w:rsidR="00B16269" w:rsidRPr="00B95C17">
        <w:rPr>
          <w:rFonts w:eastAsia="맑은 고딕"/>
          <w:lang w:val="en-US" w:eastAsia="ko-KR"/>
        </w:rPr>
        <w:t xml:space="preserve"> and primarily affects the codi</w:t>
      </w:r>
      <w:r w:rsidR="00B16269" w:rsidRPr="00B16269">
        <w:rPr>
          <w:rFonts w:eastAsia="맑은 고딕"/>
          <w:lang w:val="en-US" w:eastAsia="ko-KR"/>
        </w:rPr>
        <w:t>ng chain, it mainly requires clear identification of the associated</w:t>
      </w:r>
      <w:r w:rsidRPr="00B16269">
        <w:rPr>
          <w:rFonts w:eastAsia="맑은 고딕"/>
          <w:lang w:val="en-US" w:eastAsia="ko-KR"/>
        </w:rPr>
        <w:t xml:space="preserve"> code-rate and BLER assumptions. For geometric shaping, existing RF procedures appear sufficient as long as the overall spectral and power characteristics remain simi</w:t>
      </w:r>
      <w:r w:rsidRPr="00B95C17">
        <w:rPr>
          <w:rFonts w:eastAsia="맑은 고딕"/>
          <w:lang w:val="en-US" w:eastAsia="ko-KR"/>
        </w:rPr>
        <w:t>lar to those of the corresponding uniform constellations. Unless future RAN1 inputs reveal a clear and systematic RF impact that cannot be captured within the current framework, it would therefore seem reasonable for RAN4 to continue using the existing evaluation methods and NR-based RF requirements also for non-uniform constellations.</w:t>
      </w:r>
    </w:p>
    <w:p w14:paraId="0614F172" w14:textId="16FAA641" w:rsidR="00B16269" w:rsidRPr="00545EB8" w:rsidRDefault="00545EB8" w:rsidP="00B16269">
      <w:pPr>
        <w:jc w:val="left"/>
        <w:rPr>
          <w:rFonts w:eastAsia="맑은 고딕"/>
          <w:b/>
          <w:bCs/>
          <w:lang w:val="en-US" w:eastAsia="ko-KR"/>
        </w:rPr>
      </w:pPr>
      <w:r w:rsidRPr="00B16269">
        <w:rPr>
          <w:rFonts w:eastAsia="맑은 고딕"/>
          <w:b/>
          <w:bCs/>
          <w:lang w:val="en-US" w:eastAsia="ko-KR"/>
        </w:rPr>
        <w:t>Observation 9:</w:t>
      </w:r>
      <w:r w:rsidRPr="00B16269">
        <w:rPr>
          <w:rFonts w:eastAsia="맑은 고딕"/>
          <w:b/>
          <w:bCs/>
          <w:lang w:val="en-US" w:eastAsia="ko-KR"/>
        </w:rPr>
        <w:tab/>
        <w:t xml:space="preserve">For probabilistic shaping, as a probability-based method that keeps the constellation </w:t>
      </w:r>
      <w:r w:rsidR="00B16269" w:rsidRPr="00B16269">
        <w:rPr>
          <w:rFonts w:eastAsia="맑은 고딕"/>
          <w:b/>
          <w:bCs/>
          <w:lang w:val="en-US" w:eastAsia="ko-KR"/>
        </w:rPr>
        <w:t>geometry unchanged before normalization and primarily affects the coding chain.</w:t>
      </w:r>
    </w:p>
    <w:p w14:paraId="0F0048D0" w14:textId="7DD607EA" w:rsidR="00545EB8" w:rsidRPr="00545EB8" w:rsidRDefault="00545EB8" w:rsidP="00B95C17">
      <w:pPr>
        <w:jc w:val="left"/>
        <w:rPr>
          <w:rFonts w:eastAsia="맑은 고딕"/>
          <w:b/>
          <w:bCs/>
          <w:lang w:val="en-US" w:eastAsia="ko-KR"/>
        </w:rPr>
      </w:pPr>
      <w:r w:rsidRPr="00545EB8">
        <w:rPr>
          <w:rFonts w:eastAsia="맑은 고딕"/>
          <w:b/>
          <w:bCs/>
          <w:lang w:val="en-US" w:eastAsia="ko-KR"/>
        </w:rPr>
        <w:t>Observation 10:</w:t>
      </w:r>
      <w:r w:rsidRPr="00545EB8">
        <w:rPr>
          <w:rFonts w:eastAsia="맑은 고딕"/>
          <w:b/>
          <w:bCs/>
          <w:lang w:val="en-US" w:eastAsia="ko-KR"/>
        </w:rPr>
        <w:tab/>
        <w:t>For geometric shaping, existing RF procedures appear sufficient as long as the overall spectral and power characteristics remain similar to those of the corresponding uniform constellations.</w:t>
      </w:r>
    </w:p>
    <w:p w14:paraId="1DDAE782" w14:textId="708A1F0C" w:rsidR="00545EB8" w:rsidRPr="00545EB8" w:rsidRDefault="00545EB8" w:rsidP="00B95C17">
      <w:pPr>
        <w:jc w:val="left"/>
        <w:rPr>
          <w:rFonts w:eastAsia="맑은 고딕"/>
          <w:b/>
          <w:bCs/>
          <w:lang w:val="en-US" w:eastAsia="ko-KR"/>
        </w:rPr>
      </w:pPr>
      <w:r w:rsidRPr="00545EB8">
        <w:rPr>
          <w:rFonts w:eastAsia="맑은 고딕" w:hint="eastAsia"/>
          <w:b/>
          <w:bCs/>
          <w:lang w:val="en-US" w:eastAsia="ko-KR"/>
        </w:rPr>
        <w:t>P</w:t>
      </w:r>
      <w:r w:rsidRPr="00545EB8">
        <w:rPr>
          <w:rFonts w:eastAsia="맑은 고딕"/>
          <w:b/>
          <w:bCs/>
          <w:lang w:val="en-US" w:eastAsia="ko-KR"/>
        </w:rPr>
        <w:t>roposal 7:</w:t>
      </w:r>
      <w:r w:rsidRPr="00545EB8">
        <w:rPr>
          <w:rFonts w:eastAsia="맑은 고딕"/>
          <w:b/>
          <w:bCs/>
          <w:lang w:val="en-US" w:eastAsia="ko-KR"/>
        </w:rPr>
        <w:tab/>
      </w:r>
      <w:r w:rsidRPr="00545EB8">
        <w:rPr>
          <w:rFonts w:eastAsia="맑은 고딕"/>
          <w:b/>
          <w:bCs/>
          <w:lang w:val="en-US" w:eastAsia="ko-KR"/>
        </w:rPr>
        <w:tab/>
        <w:t>Unless future RAN1 inputs reveal a clear and systematic RF impact that cannot be captured within the current framework, RAN4 should continue using the existing evaluation methods and 5G-based RF requirements also for non-uniform constellations</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405AAD2B" w14:textId="55FE168B" w:rsidR="00C339B9" w:rsidRDefault="00C339B9" w:rsidP="004A1A27">
      <w:pPr>
        <w:jc w:val="left"/>
        <w:rPr>
          <w:rFonts w:eastAsiaTheme="minorEastAsia"/>
          <w:lang w:eastAsia="zh-CN"/>
        </w:rPr>
      </w:pPr>
      <w:r w:rsidRPr="00C52357">
        <w:rPr>
          <w:rFonts w:eastAsia="맑은 고딕"/>
          <w:lang w:val="en-US" w:eastAsia="ko-KR"/>
        </w:rPr>
        <w:t xml:space="preserve">In this contribution, </w:t>
      </w:r>
      <w:r w:rsidR="000A3316" w:rsidRPr="00C52357">
        <w:rPr>
          <w:rFonts w:eastAsiaTheme="minorEastAsia"/>
          <w:lang w:val="sv-SE" w:eastAsia="zh-CN"/>
        </w:rPr>
        <w:t>we</w:t>
      </w:r>
      <w:r w:rsidR="000A3316" w:rsidRPr="00C52357">
        <w:rPr>
          <w:rFonts w:eastAsiaTheme="minorEastAsia"/>
          <w:lang w:eastAsia="zh-CN"/>
        </w:rPr>
        <w:t xml:space="preserve"> </w:t>
      </w:r>
      <w:r w:rsidR="005D1514" w:rsidRPr="0061383F">
        <w:t xml:space="preserve">provide </w:t>
      </w:r>
      <w:r w:rsidR="005D1514">
        <w:t>our</w:t>
      </w:r>
      <w:r w:rsidR="005D1514" w:rsidRPr="0061383F">
        <w:t xml:space="preserve"> views on </w:t>
      </w:r>
      <w:r w:rsidR="004A1A27">
        <w:t>evaluation methodology, higher-order modulations (DL 4096-QAM, UL 1024-QAM), non-uniform constellations</w:t>
      </w:r>
      <w:r w:rsidR="005D1514" w:rsidRPr="0061383F">
        <w:t xml:space="preserve"> for </w:t>
      </w:r>
      <w:r w:rsidR="004A1A27">
        <w:t>6GR modulation in RAN4</w:t>
      </w:r>
      <w:r w:rsidR="005D1514" w:rsidRPr="0061383F">
        <w:t>.</w:t>
      </w:r>
      <w:r w:rsidR="000A3316" w:rsidRPr="00C52357">
        <w:rPr>
          <w:rFonts w:eastAsiaTheme="minorEastAsia"/>
          <w:lang w:eastAsia="zh-CN"/>
        </w:rPr>
        <w:t xml:space="preserve"> Following observations and proposal</w:t>
      </w:r>
      <w:r w:rsidR="005D1514">
        <w:rPr>
          <w:rFonts w:eastAsiaTheme="minorEastAsia"/>
          <w:lang w:eastAsia="zh-CN"/>
        </w:rPr>
        <w:t>s</w:t>
      </w:r>
      <w:r w:rsidR="000A3316" w:rsidRPr="00C52357">
        <w:rPr>
          <w:rFonts w:eastAsiaTheme="minorEastAsia"/>
          <w:lang w:eastAsia="zh-CN"/>
        </w:rPr>
        <w:t xml:space="preserve"> </w:t>
      </w:r>
      <w:r w:rsidR="005D1514">
        <w:rPr>
          <w:rFonts w:eastAsiaTheme="minorEastAsia"/>
          <w:lang w:eastAsia="zh-CN"/>
        </w:rPr>
        <w:t>were</w:t>
      </w:r>
      <w:r w:rsidR="000A3316" w:rsidRPr="00C52357">
        <w:rPr>
          <w:rFonts w:eastAsiaTheme="minorEastAsia"/>
          <w:lang w:eastAsia="zh-CN"/>
        </w:rPr>
        <w:t xml:space="preserve"> </w:t>
      </w:r>
      <w:r w:rsidR="005D1514">
        <w:rPr>
          <w:rFonts w:eastAsiaTheme="minorEastAsia"/>
          <w:lang w:eastAsia="zh-CN"/>
        </w:rPr>
        <w:t>derived</w:t>
      </w:r>
      <w:r w:rsidR="000A3316" w:rsidRPr="00C52357">
        <w:rPr>
          <w:rFonts w:eastAsiaTheme="minorEastAsia"/>
          <w:lang w:eastAsia="zh-CN"/>
        </w:rPr>
        <w:t xml:space="preserve"> to be considered by this meeting. </w:t>
      </w:r>
    </w:p>
    <w:p w14:paraId="0FB3A6A5" w14:textId="77777777" w:rsidR="006743D1" w:rsidRDefault="006743D1" w:rsidP="004A1A27">
      <w:pPr>
        <w:jc w:val="left"/>
        <w:rPr>
          <w:rFonts w:eastAsiaTheme="minorEastAsia"/>
          <w:lang w:eastAsia="zh-CN"/>
        </w:rPr>
      </w:pPr>
    </w:p>
    <w:p w14:paraId="57C87E78" w14:textId="458EF72A" w:rsidR="00244743" w:rsidRPr="00C9081D" w:rsidRDefault="004A1A27" w:rsidP="0053767C">
      <w:pPr>
        <w:pStyle w:val="21"/>
        <w:rPr>
          <w:rStyle w:val="afe"/>
          <w:i/>
          <w:iCs/>
          <w:u w:val="single"/>
        </w:rPr>
      </w:pPr>
      <w:r>
        <w:rPr>
          <w:rStyle w:val="afe"/>
          <w:i/>
          <w:iCs/>
          <w:u w:val="single"/>
        </w:rPr>
        <w:t>Evaluation methodology</w:t>
      </w:r>
    </w:p>
    <w:p w14:paraId="51E1F6CC" w14:textId="77777777" w:rsidR="004A1A27" w:rsidRPr="00C035B1" w:rsidRDefault="004A1A27" w:rsidP="004A1A27">
      <w:pPr>
        <w:jc w:val="left"/>
        <w:rPr>
          <w:rFonts w:eastAsia="맑은 고딕"/>
          <w:b/>
          <w:bCs/>
          <w:lang w:val="en-US" w:eastAsia="ko-KR"/>
        </w:rPr>
      </w:pPr>
      <w:r w:rsidRPr="00C035B1">
        <w:rPr>
          <w:rFonts w:eastAsia="맑은 고딕" w:hint="eastAsia"/>
          <w:b/>
          <w:bCs/>
          <w:lang w:val="en-US" w:eastAsia="ko-KR"/>
        </w:rPr>
        <w:t>O</w:t>
      </w:r>
      <w:r w:rsidRPr="00C035B1">
        <w:rPr>
          <w:rFonts w:eastAsia="맑은 고딕"/>
          <w:b/>
          <w:bCs/>
          <w:lang w:val="en-US" w:eastAsia="ko-KR"/>
        </w:rPr>
        <w:t>bservation 1:</w:t>
      </w:r>
      <w:r w:rsidRPr="00C035B1">
        <w:rPr>
          <w:rFonts w:eastAsia="맑은 고딕"/>
          <w:b/>
          <w:bCs/>
          <w:lang w:val="en-US" w:eastAsia="ko-KR"/>
        </w:rPr>
        <w:tab/>
        <w:t>RAN4 discussed higher-order QAM and non-uniform constellation such as probabilistic shaping for 6G modulation evaluation.</w:t>
      </w:r>
    </w:p>
    <w:p w14:paraId="64C5CF1E" w14:textId="77777777" w:rsidR="004A1A27" w:rsidRPr="00492027" w:rsidRDefault="004A1A27" w:rsidP="004A1A27">
      <w:pPr>
        <w:jc w:val="left"/>
        <w:rPr>
          <w:rFonts w:eastAsia="맑은 고딕"/>
          <w:b/>
          <w:bCs/>
          <w:lang w:val="en-US" w:eastAsia="ko-KR"/>
        </w:rPr>
      </w:pPr>
      <w:r w:rsidRPr="00492027">
        <w:rPr>
          <w:rFonts w:eastAsia="맑은 고딕" w:hint="eastAsia"/>
          <w:b/>
          <w:bCs/>
          <w:lang w:val="en-US" w:eastAsia="ko-KR"/>
        </w:rPr>
        <w:t>O</w:t>
      </w:r>
      <w:r w:rsidRPr="00492027">
        <w:rPr>
          <w:rFonts w:eastAsia="맑은 고딕"/>
          <w:b/>
          <w:bCs/>
          <w:lang w:val="en-US" w:eastAsia="ko-KR"/>
        </w:rPr>
        <w:t>bservation 2:</w:t>
      </w:r>
      <w:r w:rsidRPr="00492027">
        <w:rPr>
          <w:rFonts w:eastAsia="맑은 고딕"/>
          <w:b/>
          <w:bCs/>
          <w:lang w:val="en-US" w:eastAsia="ko-KR"/>
        </w:rPr>
        <w:tab/>
        <w:t>Higher-order modulation discussion depends strongly on the realistic transmitter operation and spectrum or regulatory compliance (ACLR and SEM/OOBE).</w:t>
      </w:r>
    </w:p>
    <w:p w14:paraId="0FE61FA8" w14:textId="77777777" w:rsidR="00B16269" w:rsidRPr="00492027" w:rsidRDefault="00B16269" w:rsidP="00B16269">
      <w:pPr>
        <w:jc w:val="left"/>
        <w:rPr>
          <w:rFonts w:eastAsia="맑은 고딕"/>
          <w:b/>
          <w:bCs/>
          <w:lang w:val="en-US" w:eastAsia="ko-KR"/>
        </w:rPr>
      </w:pPr>
      <w:r w:rsidRPr="00492027">
        <w:rPr>
          <w:rFonts w:eastAsia="맑은 고딕" w:hint="eastAsia"/>
          <w:b/>
          <w:bCs/>
          <w:lang w:val="en-US" w:eastAsia="ko-KR"/>
        </w:rPr>
        <w:lastRenderedPageBreak/>
        <w:t>O</w:t>
      </w:r>
      <w:r w:rsidRPr="00492027">
        <w:rPr>
          <w:rFonts w:eastAsia="맑은 고딕"/>
          <w:b/>
          <w:bCs/>
          <w:lang w:val="en-US" w:eastAsia="ko-KR"/>
        </w:rPr>
        <w:t>bservation 3:</w:t>
      </w:r>
      <w:r w:rsidRPr="00492027">
        <w:rPr>
          <w:rFonts w:eastAsia="맑은 고딕"/>
          <w:b/>
          <w:bCs/>
          <w:lang w:val="en-US" w:eastAsia="ko-KR"/>
        </w:rPr>
        <w:tab/>
        <w:t xml:space="preserve">Probabilistic shaping changes only the symbol probabilities, while </w:t>
      </w:r>
      <w:r>
        <w:rPr>
          <w:rFonts w:eastAsia="맑은 고딕"/>
          <w:b/>
          <w:bCs/>
          <w:lang w:val="en-US" w:eastAsia="ko-KR"/>
        </w:rPr>
        <w:t xml:space="preserve">RAN4 shall still evaluate its impact on relevant </w:t>
      </w:r>
      <w:r w:rsidRPr="00492027">
        <w:rPr>
          <w:rFonts w:eastAsia="맑은 고딕"/>
          <w:b/>
          <w:bCs/>
          <w:lang w:val="en-US" w:eastAsia="ko-KR"/>
        </w:rPr>
        <w:t xml:space="preserve">RF </w:t>
      </w:r>
      <w:r>
        <w:rPr>
          <w:rFonts w:eastAsia="맑은 고딕"/>
          <w:b/>
          <w:bCs/>
          <w:lang w:val="en-US" w:eastAsia="ko-KR"/>
        </w:rPr>
        <w:t>requirements</w:t>
      </w:r>
      <w:r w:rsidRPr="00492027">
        <w:rPr>
          <w:rFonts w:eastAsia="맑은 고딕"/>
          <w:b/>
          <w:bCs/>
          <w:lang w:val="en-US" w:eastAsia="ko-KR"/>
        </w:rPr>
        <w:t xml:space="preserve"> (such as EVM, ACLR and SEM/OOBE) </w:t>
      </w:r>
      <w:r>
        <w:rPr>
          <w:rFonts w:eastAsia="맑은 고딕"/>
          <w:b/>
          <w:bCs/>
          <w:lang w:val="en-US" w:eastAsia="ko-KR"/>
        </w:rPr>
        <w:t>by assuming the probability sharing agreed in RAN1 and resultant constellation expansion after power normalization</w:t>
      </w:r>
      <w:r w:rsidRPr="00492027">
        <w:rPr>
          <w:rFonts w:eastAsia="맑은 고딕"/>
          <w:b/>
          <w:bCs/>
          <w:lang w:val="en-US" w:eastAsia="ko-KR"/>
        </w:rPr>
        <w:t>.</w:t>
      </w:r>
    </w:p>
    <w:p w14:paraId="1F800E20" w14:textId="77777777" w:rsidR="004A1A27" w:rsidRPr="00E131B7" w:rsidRDefault="004A1A27" w:rsidP="004A1A27">
      <w:pPr>
        <w:jc w:val="left"/>
        <w:rPr>
          <w:rFonts w:eastAsia="맑은 고딕"/>
          <w:b/>
          <w:bCs/>
          <w:lang w:val="en-US" w:eastAsia="ko-KR"/>
        </w:rPr>
      </w:pPr>
      <w:r w:rsidRPr="005064CF">
        <w:rPr>
          <w:rFonts w:eastAsia="맑은 고딕"/>
          <w:b/>
          <w:bCs/>
          <w:lang w:val="en-US" w:eastAsia="ko-KR"/>
        </w:rPr>
        <w:t>Proposal 1:</w:t>
      </w:r>
      <w:r w:rsidRPr="005064CF">
        <w:rPr>
          <w:rFonts w:eastAsia="맑은 고딕"/>
          <w:b/>
          <w:bCs/>
          <w:lang w:val="en-US" w:eastAsia="ko-KR"/>
        </w:rPr>
        <w:tab/>
      </w:r>
      <w:r w:rsidRPr="005064CF">
        <w:rPr>
          <w:rFonts w:eastAsia="맑은 고딕"/>
          <w:b/>
          <w:bCs/>
          <w:lang w:val="en-US" w:eastAsia="ko-KR"/>
        </w:rPr>
        <w:tab/>
      </w:r>
      <w:r w:rsidRPr="00E131B7">
        <w:rPr>
          <w:rFonts w:eastAsia="맑은 고딕" w:hint="eastAsia"/>
          <w:b/>
          <w:bCs/>
          <w:lang w:val="en-US" w:eastAsia="ko-KR"/>
        </w:rPr>
        <w:t>RAN4</w:t>
      </w:r>
      <w:r w:rsidRPr="005064CF">
        <w:rPr>
          <w:rFonts w:eastAsia="맑은 고딕"/>
          <w:b/>
          <w:bCs/>
          <w:lang w:val="en-US" w:eastAsia="ko-KR"/>
        </w:rPr>
        <w:t xml:space="preserve"> should </w:t>
      </w:r>
      <w:r w:rsidRPr="00E131B7">
        <w:rPr>
          <w:rFonts w:eastAsia="맑은 고딕" w:hint="eastAsia"/>
          <w:b/>
          <w:bCs/>
          <w:lang w:val="en-US" w:eastAsia="ko-KR"/>
        </w:rPr>
        <w:t xml:space="preserve">adopt a single, harmonized </w:t>
      </w:r>
      <w:r w:rsidRPr="005064CF">
        <w:rPr>
          <w:rFonts w:eastAsia="맑은 고딕"/>
          <w:b/>
          <w:bCs/>
          <w:lang w:val="en-US" w:eastAsia="ko-KR"/>
        </w:rPr>
        <w:t>methodology</w:t>
      </w:r>
      <w:r w:rsidRPr="00E131B7">
        <w:rPr>
          <w:rFonts w:eastAsia="맑은 고딕" w:hint="eastAsia"/>
          <w:b/>
          <w:bCs/>
          <w:lang w:val="en-US" w:eastAsia="ko-KR"/>
        </w:rPr>
        <w:t xml:space="preserve"> so that results across different modulation orders and constellation types remain directly comparable. </w:t>
      </w:r>
    </w:p>
    <w:p w14:paraId="0EAAA357" w14:textId="7A0CBABD" w:rsidR="004A1A27" w:rsidRDefault="004A1A27" w:rsidP="004A1A27">
      <w:pPr>
        <w:jc w:val="left"/>
        <w:rPr>
          <w:rFonts w:eastAsia="맑은 고딕"/>
          <w:b/>
          <w:bCs/>
          <w:lang w:val="en-US" w:eastAsia="ko-KR"/>
        </w:rPr>
      </w:pPr>
      <w:r w:rsidRPr="005064CF">
        <w:rPr>
          <w:rFonts w:eastAsia="맑은 고딕"/>
          <w:b/>
          <w:bCs/>
          <w:lang w:val="en-US" w:eastAsia="ko-KR"/>
        </w:rPr>
        <w:t xml:space="preserve">Proposal </w:t>
      </w:r>
      <w:r>
        <w:rPr>
          <w:rFonts w:eastAsia="맑은 고딕"/>
          <w:b/>
          <w:bCs/>
          <w:lang w:val="en-US" w:eastAsia="ko-KR"/>
        </w:rPr>
        <w:t>2</w:t>
      </w:r>
      <w:r w:rsidRPr="005064CF">
        <w:rPr>
          <w:rFonts w:eastAsia="맑은 고딕"/>
          <w:b/>
          <w:bCs/>
          <w:lang w:val="en-US" w:eastAsia="ko-KR"/>
        </w:rPr>
        <w:t>:</w:t>
      </w:r>
      <w:r w:rsidRPr="005064CF">
        <w:rPr>
          <w:rFonts w:eastAsia="맑은 고딕"/>
          <w:b/>
          <w:bCs/>
          <w:lang w:val="en-US" w:eastAsia="ko-KR"/>
        </w:rPr>
        <w:tab/>
      </w:r>
      <w:r w:rsidRPr="005064CF">
        <w:rPr>
          <w:rFonts w:eastAsia="맑은 고딕"/>
          <w:b/>
          <w:bCs/>
          <w:lang w:val="en-US" w:eastAsia="ko-KR"/>
        </w:rPr>
        <w:tab/>
      </w:r>
      <w:r w:rsidRPr="00E131B7">
        <w:rPr>
          <w:rFonts w:eastAsia="맑은 고딕" w:hint="eastAsia"/>
          <w:b/>
          <w:bCs/>
          <w:lang w:val="en-US" w:eastAsia="ko-KR"/>
        </w:rPr>
        <w:t xml:space="preserve">RAN4 </w:t>
      </w:r>
      <w:r>
        <w:rPr>
          <w:rFonts w:eastAsia="맑은 고딕"/>
          <w:b/>
          <w:bCs/>
          <w:lang w:val="en-US" w:eastAsia="ko-KR"/>
        </w:rPr>
        <w:t xml:space="preserve">should </w:t>
      </w:r>
      <w:r w:rsidRPr="00E131B7">
        <w:rPr>
          <w:rFonts w:eastAsia="맑은 고딕" w:hint="eastAsia"/>
          <w:b/>
          <w:bCs/>
          <w:lang w:val="en-US" w:eastAsia="ko-KR"/>
        </w:rPr>
        <w:t>reus</w:t>
      </w:r>
      <w:r w:rsidRPr="005064CF">
        <w:rPr>
          <w:rFonts w:eastAsia="맑은 고딕"/>
          <w:b/>
          <w:bCs/>
          <w:lang w:val="en-US" w:eastAsia="ko-KR"/>
        </w:rPr>
        <w:t>e</w:t>
      </w:r>
      <w:r w:rsidRPr="00E131B7">
        <w:rPr>
          <w:rFonts w:eastAsia="맑은 고딕" w:hint="eastAsia"/>
          <w:b/>
          <w:bCs/>
          <w:lang w:val="en-US" w:eastAsia="ko-KR"/>
        </w:rPr>
        <w:t xml:space="preserve"> the </w:t>
      </w:r>
      <w:r w:rsidRPr="005064CF">
        <w:rPr>
          <w:rFonts w:eastAsia="맑은 고딕"/>
          <w:b/>
          <w:bCs/>
          <w:lang w:val="en-US" w:eastAsia="ko-KR"/>
        </w:rPr>
        <w:t>5G</w:t>
      </w:r>
      <w:r w:rsidRPr="00E131B7">
        <w:rPr>
          <w:rFonts w:eastAsia="맑은 고딕" w:hint="eastAsia"/>
          <w:b/>
          <w:bCs/>
          <w:lang w:val="en-US" w:eastAsia="ko-KR"/>
        </w:rPr>
        <w:t xml:space="preserve"> requirement values </w:t>
      </w:r>
      <w:r>
        <w:rPr>
          <w:rFonts w:eastAsia="맑은 고딕"/>
          <w:b/>
          <w:bCs/>
          <w:lang w:val="en-US" w:eastAsia="ko-KR"/>
        </w:rPr>
        <w:t xml:space="preserve">as much as possible </w:t>
      </w:r>
      <w:r w:rsidRPr="00E131B7">
        <w:rPr>
          <w:rFonts w:eastAsia="맑은 고딕" w:hint="eastAsia"/>
          <w:b/>
          <w:bCs/>
          <w:lang w:val="en-US" w:eastAsia="ko-KR"/>
        </w:rPr>
        <w:t>and to focus on the deltas caused by 6G-specific assumptions.</w:t>
      </w:r>
    </w:p>
    <w:p w14:paraId="5564EAB5" w14:textId="77777777" w:rsidR="006743D1" w:rsidRPr="00E131B7" w:rsidRDefault="006743D1" w:rsidP="004A1A27">
      <w:pPr>
        <w:jc w:val="left"/>
        <w:rPr>
          <w:rFonts w:eastAsia="맑은 고딕"/>
          <w:b/>
          <w:bCs/>
          <w:lang w:val="en-US" w:eastAsia="ko-KR"/>
        </w:rPr>
      </w:pPr>
    </w:p>
    <w:p w14:paraId="46EA5E35" w14:textId="50994316" w:rsidR="0053767C" w:rsidRPr="00C9081D" w:rsidRDefault="004A1A27" w:rsidP="0053767C">
      <w:pPr>
        <w:pStyle w:val="21"/>
        <w:rPr>
          <w:rStyle w:val="afe"/>
          <w:i/>
          <w:iCs/>
          <w:u w:val="single"/>
        </w:rPr>
      </w:pPr>
      <w:r w:rsidRPr="004A1A27">
        <w:rPr>
          <w:rStyle w:val="afe"/>
          <w:i/>
          <w:iCs/>
          <w:u w:val="single"/>
        </w:rPr>
        <w:t>Higher-order modulations</w:t>
      </w:r>
    </w:p>
    <w:p w14:paraId="0CDA2FD3" w14:textId="77777777" w:rsidR="004A1A27" w:rsidRPr="006B2504" w:rsidRDefault="004A1A27" w:rsidP="004A1A27">
      <w:pPr>
        <w:jc w:val="left"/>
        <w:rPr>
          <w:rFonts w:eastAsia="맑은 고딕"/>
          <w:b/>
          <w:bCs/>
          <w:lang w:val="en-US" w:eastAsia="ko-KR"/>
        </w:rPr>
      </w:pPr>
      <w:r w:rsidRPr="006B2504">
        <w:rPr>
          <w:rFonts w:eastAsia="맑은 고딕" w:hint="eastAsia"/>
          <w:b/>
          <w:bCs/>
          <w:lang w:val="en-US" w:eastAsia="ko-KR"/>
        </w:rPr>
        <w:t>O</w:t>
      </w:r>
      <w:r w:rsidRPr="006B2504">
        <w:rPr>
          <w:rFonts w:eastAsia="맑은 고딕"/>
          <w:b/>
          <w:bCs/>
          <w:lang w:val="en-US" w:eastAsia="ko-KR"/>
        </w:rPr>
        <w:t>bservation 4:</w:t>
      </w:r>
      <w:r w:rsidRPr="006B2504">
        <w:rPr>
          <w:rFonts w:eastAsia="맑은 고딕"/>
          <w:b/>
          <w:bCs/>
          <w:lang w:val="en-US" w:eastAsia="ko-KR"/>
        </w:rPr>
        <w:tab/>
        <w:t>Both RAN4 and RAN1 identified UL 1024QAM and DL 4096QAM as a study topic for optional higher-order modulations.</w:t>
      </w:r>
    </w:p>
    <w:p w14:paraId="29695791" w14:textId="77777777" w:rsidR="004A1A27" w:rsidRDefault="004A1A27" w:rsidP="004A1A27">
      <w:pPr>
        <w:jc w:val="left"/>
        <w:rPr>
          <w:rFonts w:eastAsia="맑은 고딕"/>
          <w:b/>
          <w:bCs/>
          <w:lang w:val="en-US" w:eastAsia="ko-KR"/>
        </w:rPr>
      </w:pPr>
      <w:r>
        <w:rPr>
          <w:rFonts w:eastAsia="맑은 고딕"/>
          <w:b/>
          <w:bCs/>
          <w:lang w:val="en-US" w:eastAsia="ko-KR"/>
        </w:rPr>
        <w:t>Observation 5:</w:t>
      </w:r>
      <w:r>
        <w:rPr>
          <w:rFonts w:eastAsia="맑은 고딕"/>
          <w:b/>
          <w:bCs/>
          <w:lang w:val="en-US" w:eastAsia="ko-KR"/>
        </w:rPr>
        <w:tab/>
      </w:r>
      <w:r w:rsidRPr="006B2504">
        <w:rPr>
          <w:rFonts w:eastAsia="맑은 고딕"/>
          <w:b/>
          <w:bCs/>
          <w:lang w:val="en-US" w:eastAsia="ko-KR"/>
        </w:rPr>
        <w:t xml:space="preserve">DL </w:t>
      </w:r>
      <w:r>
        <w:rPr>
          <w:rFonts w:eastAsia="맑은 고딕"/>
          <w:b/>
          <w:bCs/>
          <w:lang w:val="en-US" w:eastAsia="ko-KR"/>
        </w:rPr>
        <w:t xml:space="preserve">4096QAM </w:t>
      </w:r>
      <w:r w:rsidRPr="006B2504">
        <w:rPr>
          <w:rFonts w:eastAsia="맑은 고딕"/>
          <w:b/>
          <w:bCs/>
          <w:lang w:val="en-US" w:eastAsia="ko-KR"/>
        </w:rPr>
        <w:t>operation must respect the existing EVM targets, available PA headroom in practical gNB deployments, and the multiplexing behavior under multi-user scheduling.</w:t>
      </w:r>
    </w:p>
    <w:p w14:paraId="49512C11" w14:textId="77777777" w:rsidR="004A1A27" w:rsidRPr="006B2504" w:rsidRDefault="004A1A27" w:rsidP="004A1A27">
      <w:pPr>
        <w:jc w:val="left"/>
        <w:rPr>
          <w:rFonts w:eastAsia="맑은 고딕"/>
          <w:b/>
          <w:bCs/>
          <w:lang w:val="en-US" w:eastAsia="ko-KR"/>
        </w:rPr>
      </w:pPr>
      <w:r w:rsidRPr="006B2504">
        <w:rPr>
          <w:rFonts w:eastAsia="맑은 고딕" w:hint="eastAsia"/>
          <w:b/>
          <w:bCs/>
          <w:lang w:val="en-US" w:eastAsia="ko-KR"/>
        </w:rPr>
        <w:t>P</w:t>
      </w:r>
      <w:r w:rsidRPr="006B2504">
        <w:rPr>
          <w:rFonts w:eastAsia="맑은 고딕"/>
          <w:b/>
          <w:bCs/>
          <w:lang w:val="en-US" w:eastAsia="ko-KR"/>
        </w:rPr>
        <w:t>roposal 3:</w:t>
      </w:r>
      <w:r w:rsidRPr="006B2504">
        <w:rPr>
          <w:rFonts w:eastAsia="맑은 고딕"/>
          <w:b/>
          <w:bCs/>
          <w:lang w:val="en-US" w:eastAsia="ko-KR"/>
        </w:rPr>
        <w:tab/>
      </w:r>
      <w:r w:rsidRPr="006B2504">
        <w:rPr>
          <w:rFonts w:eastAsia="맑은 고딕"/>
          <w:b/>
          <w:bCs/>
          <w:lang w:val="en-US" w:eastAsia="ko-KR"/>
        </w:rPr>
        <w:tab/>
        <w:t>Any study on DL 4096QAM would (i) take CP-OFDM with 1024QAM as a reference, (ii) reuse the same measurement bandwidths and filters as in NR for transmitter-quality and emission checks, and (iii) examine whether the present EVM limits can still be met without requiring excessive back-off that would effectively remove the expected throughput gain.</w:t>
      </w:r>
    </w:p>
    <w:p w14:paraId="4A147293" w14:textId="77777777" w:rsidR="004A1A27" w:rsidRDefault="004A1A27" w:rsidP="004A1A27">
      <w:pPr>
        <w:jc w:val="left"/>
        <w:rPr>
          <w:rFonts w:eastAsia="맑은 고딕"/>
          <w:b/>
          <w:bCs/>
          <w:lang w:val="en-US" w:eastAsia="ko-KR"/>
        </w:rPr>
      </w:pPr>
      <w:r w:rsidRPr="00FE5992">
        <w:rPr>
          <w:rFonts w:eastAsia="맑은 고딕" w:hint="eastAsia"/>
          <w:b/>
          <w:bCs/>
          <w:lang w:val="en-US" w:eastAsia="ko-KR"/>
        </w:rPr>
        <w:t>O</w:t>
      </w:r>
      <w:r w:rsidRPr="00FE5992">
        <w:rPr>
          <w:rFonts w:eastAsia="맑은 고딕"/>
          <w:b/>
          <w:bCs/>
          <w:lang w:val="en-US" w:eastAsia="ko-KR"/>
        </w:rPr>
        <w:t>bservation 6:</w:t>
      </w:r>
      <w:r w:rsidRPr="00FE5992">
        <w:rPr>
          <w:rFonts w:eastAsia="맑은 고딕"/>
          <w:b/>
          <w:bCs/>
          <w:lang w:val="en-US" w:eastAsia="ko-KR"/>
        </w:rPr>
        <w:tab/>
        <w:t>UL 1024QAM is further constrained by the UE transmitter chain, especially by back-off practices associated with MPR, and the limited form factor and power capability of handheld devices.</w:t>
      </w:r>
    </w:p>
    <w:p w14:paraId="0D7C488C" w14:textId="77777777" w:rsidR="004A1A27" w:rsidRPr="00FE5992" w:rsidRDefault="004A1A27" w:rsidP="004A1A27">
      <w:pPr>
        <w:jc w:val="left"/>
        <w:rPr>
          <w:rFonts w:eastAsia="맑은 고딕"/>
          <w:b/>
          <w:bCs/>
          <w:lang w:val="en-US" w:eastAsia="ko-KR"/>
        </w:rPr>
      </w:pPr>
      <w:r w:rsidRPr="00FE5992">
        <w:rPr>
          <w:rFonts w:eastAsia="맑은 고딕" w:hint="eastAsia"/>
          <w:b/>
          <w:bCs/>
          <w:lang w:val="en-US" w:eastAsia="ko-KR"/>
        </w:rPr>
        <w:t>P</w:t>
      </w:r>
      <w:r w:rsidRPr="00FE5992">
        <w:rPr>
          <w:rFonts w:eastAsia="맑은 고딕"/>
          <w:b/>
          <w:bCs/>
          <w:lang w:val="en-US" w:eastAsia="ko-KR"/>
        </w:rPr>
        <w:t>roposal 4:</w:t>
      </w:r>
      <w:r w:rsidRPr="00FE5992">
        <w:rPr>
          <w:rFonts w:eastAsia="맑은 고딕"/>
          <w:b/>
          <w:bCs/>
          <w:lang w:val="en-US" w:eastAsia="ko-KR"/>
        </w:rPr>
        <w:tab/>
      </w:r>
      <w:r w:rsidRPr="00FE5992">
        <w:rPr>
          <w:rFonts w:eastAsia="맑은 고딕"/>
          <w:b/>
          <w:bCs/>
          <w:lang w:val="en-US" w:eastAsia="ko-KR"/>
        </w:rPr>
        <w:tab/>
        <w:t>RAN4 should compare it directly against UL 256QAM under identical transmitter assumptions and check the incremental differences in required SNR and EVM, together with the additional back-off needed to maintain regulatory compliance.</w:t>
      </w:r>
    </w:p>
    <w:p w14:paraId="73F7DFD9" w14:textId="1B8CF9F2" w:rsidR="004A1A27" w:rsidRDefault="004A1A27" w:rsidP="004A1A27">
      <w:pPr>
        <w:jc w:val="left"/>
        <w:rPr>
          <w:rFonts w:eastAsia="맑은 고딕"/>
          <w:b/>
          <w:bCs/>
          <w:lang w:val="en-US" w:eastAsia="ko-KR"/>
        </w:rPr>
      </w:pPr>
      <w:r w:rsidRPr="007A1D0B">
        <w:rPr>
          <w:rFonts w:eastAsia="맑은 고딕" w:hint="eastAsia"/>
          <w:b/>
          <w:bCs/>
          <w:lang w:val="en-US" w:eastAsia="ko-KR"/>
        </w:rPr>
        <w:t>P</w:t>
      </w:r>
      <w:r w:rsidRPr="007A1D0B">
        <w:rPr>
          <w:rFonts w:eastAsia="맑은 고딕"/>
          <w:b/>
          <w:bCs/>
          <w:lang w:val="en-US" w:eastAsia="ko-KR"/>
        </w:rPr>
        <w:t>roposal 5:</w:t>
      </w:r>
      <w:r w:rsidRPr="007A1D0B">
        <w:rPr>
          <w:rFonts w:eastAsia="맑은 고딕"/>
          <w:b/>
          <w:bCs/>
          <w:lang w:val="en-US" w:eastAsia="ko-KR"/>
        </w:rPr>
        <w:tab/>
      </w:r>
      <w:r w:rsidRPr="007A1D0B">
        <w:rPr>
          <w:rFonts w:eastAsia="맑은 고딕"/>
          <w:b/>
          <w:bCs/>
          <w:lang w:val="en-US" w:eastAsia="ko-KR"/>
        </w:rPr>
        <w:tab/>
        <w:t>RAN4 can treat DL 4096QAM and UL 1024QAM explicitly as optional features for which feasibility is studied under realistic transmitter and receiver assumptions, with the baseline remaining DL up to 1024QAM and UL up to 256QAM.</w:t>
      </w:r>
    </w:p>
    <w:p w14:paraId="0A5D8ABD" w14:textId="77777777" w:rsidR="006743D1" w:rsidRPr="007A1D0B" w:rsidRDefault="006743D1" w:rsidP="004A1A27">
      <w:pPr>
        <w:jc w:val="left"/>
        <w:rPr>
          <w:rFonts w:eastAsia="맑은 고딕"/>
          <w:b/>
          <w:bCs/>
          <w:lang w:val="en-US" w:eastAsia="ko-KR"/>
        </w:rPr>
      </w:pPr>
    </w:p>
    <w:p w14:paraId="282CF2D1" w14:textId="3BE1ADB0" w:rsidR="0053767C" w:rsidRPr="00C9081D" w:rsidRDefault="004A1A27" w:rsidP="0053767C">
      <w:pPr>
        <w:pStyle w:val="21"/>
        <w:rPr>
          <w:rStyle w:val="afe"/>
          <w:i/>
          <w:iCs/>
          <w:u w:val="single"/>
        </w:rPr>
      </w:pPr>
      <w:r w:rsidRPr="004A1A27">
        <w:rPr>
          <w:rStyle w:val="afe"/>
          <w:i/>
          <w:iCs/>
          <w:u w:val="single"/>
        </w:rPr>
        <w:t>Non-uniform constellations</w:t>
      </w:r>
    </w:p>
    <w:p w14:paraId="6B94A4BC" w14:textId="77777777" w:rsidR="00DF24A7" w:rsidRPr="00B621DC" w:rsidRDefault="00DF24A7" w:rsidP="00DF24A7">
      <w:pPr>
        <w:jc w:val="left"/>
        <w:rPr>
          <w:rFonts w:eastAsia="맑은 고딕"/>
          <w:b/>
          <w:bCs/>
          <w:lang w:val="en-US" w:eastAsia="ko-KR"/>
        </w:rPr>
      </w:pPr>
      <w:r w:rsidRPr="00B621DC">
        <w:rPr>
          <w:rFonts w:eastAsia="맑은 고딕" w:hint="eastAsia"/>
          <w:b/>
          <w:bCs/>
          <w:lang w:val="en-US" w:eastAsia="ko-KR"/>
        </w:rPr>
        <w:t>O</w:t>
      </w:r>
      <w:r w:rsidRPr="00B621DC">
        <w:rPr>
          <w:rFonts w:eastAsia="맑은 고딕"/>
          <w:b/>
          <w:bCs/>
          <w:lang w:val="en-US" w:eastAsia="ko-KR"/>
        </w:rPr>
        <w:t>bservation 7:</w:t>
      </w:r>
      <w:r w:rsidRPr="00B621DC">
        <w:rPr>
          <w:rFonts w:eastAsia="맑은 고딕"/>
          <w:b/>
          <w:bCs/>
          <w:lang w:val="en-US" w:eastAsia="ko-KR"/>
        </w:rPr>
        <w:tab/>
        <w:t>In RAN1, constellation shaping is broadly divided into geometric shaping (GS), which changes the constellation geometry, and probabilistic shaping (PS), which changes only the symbol probabilities while keeping the geometry fixed.</w:t>
      </w:r>
    </w:p>
    <w:p w14:paraId="5AD318D1" w14:textId="77777777" w:rsidR="00B16269" w:rsidRPr="00C35822" w:rsidRDefault="00B16269" w:rsidP="00B16269">
      <w:pPr>
        <w:jc w:val="left"/>
        <w:rPr>
          <w:rFonts w:eastAsia="맑은 고딕"/>
          <w:b/>
          <w:bCs/>
          <w:lang w:val="en-US" w:eastAsia="ko-KR"/>
        </w:rPr>
      </w:pPr>
      <w:r w:rsidRPr="00C35822">
        <w:rPr>
          <w:rFonts w:eastAsia="맑은 고딕" w:hint="eastAsia"/>
          <w:b/>
          <w:bCs/>
          <w:lang w:val="en-US" w:eastAsia="ko-KR"/>
        </w:rPr>
        <w:t>P</w:t>
      </w:r>
      <w:r w:rsidRPr="00C35822">
        <w:rPr>
          <w:rFonts w:eastAsia="맑은 고딕"/>
          <w:b/>
          <w:bCs/>
          <w:lang w:val="en-US" w:eastAsia="ko-KR"/>
        </w:rPr>
        <w:t>roposal 6:</w:t>
      </w:r>
      <w:r w:rsidRPr="00C35822">
        <w:rPr>
          <w:rFonts w:eastAsia="맑은 고딕"/>
          <w:b/>
          <w:bCs/>
          <w:lang w:val="en-US" w:eastAsia="ko-KR"/>
        </w:rPr>
        <w:tab/>
      </w:r>
      <w:r w:rsidRPr="00C35822">
        <w:rPr>
          <w:rFonts w:eastAsia="맑은 고딕"/>
          <w:b/>
          <w:bCs/>
          <w:lang w:val="en-US" w:eastAsia="ko-KR"/>
        </w:rPr>
        <w:tab/>
      </w:r>
      <w:r>
        <w:rPr>
          <w:rFonts w:eastAsia="맑은 고딕"/>
          <w:b/>
          <w:bCs/>
          <w:lang w:val="en-US" w:eastAsia="ko-KR"/>
        </w:rPr>
        <w:t>If</w:t>
      </w:r>
      <w:r w:rsidRPr="00C35822">
        <w:rPr>
          <w:rFonts w:eastAsia="맑은 고딕"/>
          <w:b/>
          <w:bCs/>
          <w:lang w:val="en-US" w:eastAsia="ko-KR"/>
        </w:rPr>
        <w:t xml:space="preserve"> PS is shown to cause a significant and consistent change in amplitude statistics</w:t>
      </w:r>
      <w:r>
        <w:rPr>
          <w:rFonts w:eastAsia="맑은 고딕"/>
          <w:b/>
          <w:bCs/>
          <w:lang w:val="en-US" w:eastAsia="ko-KR"/>
        </w:rPr>
        <w:t xml:space="preserve">, RAN4 shall consider its impact on </w:t>
      </w:r>
      <w:r w:rsidRPr="00C35822">
        <w:rPr>
          <w:rFonts w:eastAsia="맑은 고딕"/>
          <w:b/>
          <w:bCs/>
          <w:lang w:val="en-US" w:eastAsia="ko-KR"/>
        </w:rPr>
        <w:t xml:space="preserve">back-off policy, </w:t>
      </w:r>
      <w:r>
        <w:rPr>
          <w:rFonts w:eastAsia="맑은 고딕"/>
          <w:b/>
          <w:bCs/>
          <w:lang w:val="en-US" w:eastAsia="ko-KR"/>
        </w:rPr>
        <w:t xml:space="preserve">and relevant </w:t>
      </w:r>
      <w:r w:rsidRPr="00C35822">
        <w:rPr>
          <w:rFonts w:eastAsia="맑은 고딕"/>
          <w:b/>
          <w:bCs/>
          <w:lang w:val="en-US" w:eastAsia="ko-KR"/>
        </w:rPr>
        <w:t>RF requirement</w:t>
      </w:r>
      <w:r>
        <w:rPr>
          <w:rFonts w:eastAsia="맑은 고딕"/>
          <w:b/>
          <w:bCs/>
          <w:lang w:val="en-US" w:eastAsia="ko-KR"/>
        </w:rPr>
        <w:t>s</w:t>
      </w:r>
      <w:r w:rsidRPr="00C35822">
        <w:rPr>
          <w:rFonts w:eastAsia="맑은 고딕"/>
          <w:b/>
          <w:bCs/>
          <w:lang w:val="en-US" w:eastAsia="ko-KR"/>
        </w:rPr>
        <w:t>.</w:t>
      </w:r>
    </w:p>
    <w:p w14:paraId="22AE4AFB" w14:textId="77777777" w:rsidR="00DF24A7" w:rsidRPr="00DF24A7" w:rsidRDefault="00DF24A7" w:rsidP="00DF24A7">
      <w:pPr>
        <w:jc w:val="left"/>
        <w:rPr>
          <w:rFonts w:eastAsia="맑은 고딕"/>
          <w:b/>
          <w:bCs/>
          <w:lang w:val="en-US" w:eastAsia="ko-KR"/>
        </w:rPr>
      </w:pPr>
      <w:r w:rsidRPr="00DF24A7">
        <w:rPr>
          <w:rFonts w:eastAsia="맑은 고딕" w:hint="eastAsia"/>
          <w:b/>
          <w:bCs/>
          <w:lang w:val="en-US" w:eastAsia="ko-KR"/>
        </w:rPr>
        <w:t>O</w:t>
      </w:r>
      <w:r w:rsidRPr="00DF24A7">
        <w:rPr>
          <w:rFonts w:eastAsia="맑은 고딕"/>
          <w:b/>
          <w:bCs/>
          <w:lang w:val="en-US" w:eastAsia="ko-KR"/>
        </w:rPr>
        <w:t>bservation 8:</w:t>
      </w:r>
      <w:r w:rsidRPr="00DF24A7">
        <w:rPr>
          <w:rFonts w:eastAsia="맑은 고딕"/>
          <w:b/>
          <w:bCs/>
          <w:lang w:val="en-US" w:eastAsia="ko-KR"/>
        </w:rPr>
        <w:tab/>
        <w:t>For geometric shaping such as 1D-NUC, proposals to RAN1 indicate that 1D-NUC can provide performance gains over uniform QAM at similar or even lower receiver-side complexity in the SNR range of interest, with no significant PAPR increase compared to uniform QAM.</w:t>
      </w:r>
    </w:p>
    <w:p w14:paraId="491F352E" w14:textId="423E7137" w:rsidR="00B16269" w:rsidRPr="00545EB8" w:rsidRDefault="00B16269" w:rsidP="00B16269">
      <w:pPr>
        <w:jc w:val="left"/>
        <w:rPr>
          <w:rFonts w:eastAsia="맑은 고딕"/>
          <w:b/>
          <w:bCs/>
          <w:lang w:val="en-US" w:eastAsia="ko-KR"/>
        </w:rPr>
      </w:pPr>
      <w:r w:rsidRPr="00B16269">
        <w:rPr>
          <w:rFonts w:eastAsia="맑은 고딕"/>
          <w:b/>
          <w:bCs/>
          <w:lang w:val="en-US" w:eastAsia="ko-KR"/>
        </w:rPr>
        <w:t>Observation 9:</w:t>
      </w:r>
      <w:r w:rsidRPr="00B16269">
        <w:rPr>
          <w:rFonts w:eastAsia="맑은 고딕"/>
          <w:b/>
          <w:bCs/>
          <w:lang w:val="en-US" w:eastAsia="ko-KR"/>
        </w:rPr>
        <w:tab/>
        <w:t>For probabilistic shaping, as a probability-based method that keeps the constellation geometry unchanged before normalization and primarily affects the coding chain.</w:t>
      </w:r>
    </w:p>
    <w:p w14:paraId="14E94AFD" w14:textId="1CB83B26" w:rsidR="00DF24A7" w:rsidRPr="00545EB8" w:rsidRDefault="00DF24A7" w:rsidP="00DF24A7">
      <w:pPr>
        <w:jc w:val="left"/>
        <w:rPr>
          <w:rFonts w:eastAsia="맑은 고딕"/>
          <w:b/>
          <w:bCs/>
          <w:lang w:val="en-US" w:eastAsia="ko-KR"/>
        </w:rPr>
      </w:pPr>
      <w:r w:rsidRPr="00545EB8">
        <w:rPr>
          <w:rFonts w:eastAsia="맑은 고딕"/>
          <w:b/>
          <w:bCs/>
          <w:lang w:val="en-US" w:eastAsia="ko-KR"/>
        </w:rPr>
        <w:t>Observation 10:</w:t>
      </w:r>
      <w:r w:rsidR="007A5694">
        <w:rPr>
          <w:rFonts w:eastAsia="맑은 고딕"/>
          <w:b/>
          <w:bCs/>
          <w:lang w:val="en-US" w:eastAsia="ko-KR"/>
        </w:rPr>
        <w:tab/>
      </w:r>
      <w:r w:rsidRPr="00545EB8">
        <w:rPr>
          <w:rFonts w:eastAsia="맑은 고딕"/>
          <w:b/>
          <w:bCs/>
          <w:lang w:val="en-US" w:eastAsia="ko-KR"/>
        </w:rPr>
        <w:t>For geometric shaping, existing RF procedures appear sufficient as long as the overall spectral and power characteristics remain similar to those of the corresponding uniform constellations.</w:t>
      </w:r>
    </w:p>
    <w:p w14:paraId="54EE800F" w14:textId="62C1DCBF" w:rsidR="00DF24A7" w:rsidRPr="00545EB8" w:rsidRDefault="00DF24A7" w:rsidP="00DF24A7">
      <w:pPr>
        <w:jc w:val="left"/>
        <w:rPr>
          <w:rFonts w:eastAsia="맑은 고딕"/>
          <w:b/>
          <w:bCs/>
          <w:lang w:val="en-US" w:eastAsia="ko-KR"/>
        </w:rPr>
      </w:pPr>
      <w:r w:rsidRPr="00545EB8">
        <w:rPr>
          <w:rFonts w:eastAsia="맑은 고딕" w:hint="eastAsia"/>
          <w:b/>
          <w:bCs/>
          <w:lang w:val="en-US" w:eastAsia="ko-KR"/>
        </w:rPr>
        <w:t>P</w:t>
      </w:r>
      <w:r w:rsidRPr="00545EB8">
        <w:rPr>
          <w:rFonts w:eastAsia="맑은 고딕"/>
          <w:b/>
          <w:bCs/>
          <w:lang w:val="en-US" w:eastAsia="ko-KR"/>
        </w:rPr>
        <w:t>roposal 7:</w:t>
      </w:r>
      <w:r w:rsidRPr="00545EB8">
        <w:rPr>
          <w:rFonts w:eastAsia="맑은 고딕"/>
          <w:b/>
          <w:bCs/>
          <w:lang w:val="en-US" w:eastAsia="ko-KR"/>
        </w:rPr>
        <w:tab/>
      </w:r>
      <w:r w:rsidRPr="00545EB8">
        <w:rPr>
          <w:rFonts w:eastAsia="맑은 고딕"/>
          <w:b/>
          <w:bCs/>
          <w:lang w:val="en-US" w:eastAsia="ko-KR"/>
        </w:rPr>
        <w:tab/>
        <w:t>Unless future RAN1 inputs reveal a clear and systematic RF impact that cannot be captured within the current framework, RAN4 should continue using the existing evaluation methods and 5G-based RF requirements also for non-uniform constellations</w:t>
      </w:r>
    </w:p>
    <w:p w14:paraId="1586C041" w14:textId="5C7FB5E9" w:rsidR="009B37B2" w:rsidRPr="00C52357" w:rsidRDefault="00825D14">
      <w:pPr>
        <w:pStyle w:val="1"/>
        <w:rPr>
          <w:lang w:val="en-US" w:eastAsia="ja-JP"/>
        </w:rPr>
      </w:pPr>
      <w:r w:rsidRPr="00C52357">
        <w:rPr>
          <w:lang w:val="en-US" w:eastAsia="ja-JP"/>
        </w:rPr>
        <w:lastRenderedPageBreak/>
        <w:t>Re</w:t>
      </w:r>
      <w:r w:rsidR="000C758B" w:rsidRPr="00C52357">
        <w:rPr>
          <w:lang w:val="en-US" w:eastAsia="ja-JP"/>
        </w:rPr>
        <w:t>ference</w:t>
      </w:r>
    </w:p>
    <w:p w14:paraId="4AB9E4A4" w14:textId="22AB3355"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52357">
        <w:rPr>
          <w:rFonts w:eastAsia="맑은 고딕"/>
          <w:lang w:eastAsia="ko-KR"/>
        </w:rPr>
        <w:t>[1] RP-2</w:t>
      </w:r>
      <w:r w:rsidR="00240ACF">
        <w:rPr>
          <w:rFonts w:eastAsia="맑은 고딕"/>
          <w:lang w:eastAsia="ko-KR"/>
        </w:rPr>
        <w:t>5</w:t>
      </w:r>
      <w:r w:rsidR="00C9081D">
        <w:rPr>
          <w:rFonts w:eastAsia="맑은 고딕"/>
          <w:lang w:eastAsia="ko-KR"/>
        </w:rPr>
        <w:t>2912</w:t>
      </w:r>
      <w:r w:rsidR="00240ACF">
        <w:rPr>
          <w:rFonts w:eastAsia="맑은 고딕"/>
          <w:lang w:eastAsia="ko-KR"/>
        </w:rPr>
        <w:tab/>
      </w:r>
      <w:r w:rsidR="00C9081D" w:rsidRPr="00C9081D">
        <w:rPr>
          <w:rFonts w:eastAsia="맑은 고딕"/>
          <w:lang w:eastAsia="ko-KR"/>
        </w:rPr>
        <w:t>Revised SID: Study on 6G Radio</w:t>
      </w:r>
      <w:r w:rsidR="00240ACF">
        <w:rPr>
          <w:rFonts w:eastAsia="맑은 고딕"/>
          <w:lang w:eastAsia="ko-KR"/>
        </w:rPr>
        <w:tab/>
      </w:r>
      <w:r w:rsidR="00240ACF">
        <w:rPr>
          <w:rFonts w:eastAsia="맑은 고딕"/>
          <w:lang w:eastAsia="ko-KR"/>
        </w:rPr>
        <w:tab/>
      </w:r>
      <w:r w:rsidR="006A35D8">
        <w:rPr>
          <w:rFonts w:eastAsia="맑은 고딕"/>
          <w:lang w:eastAsia="ko-KR"/>
        </w:rPr>
        <w:t>RAN#10</w:t>
      </w:r>
      <w:r w:rsidR="00240ACF">
        <w:rPr>
          <w:rFonts w:eastAsia="맑은 고딕"/>
          <w:lang w:eastAsia="ko-KR"/>
        </w:rPr>
        <w:t>9</w:t>
      </w:r>
    </w:p>
    <w:p w14:paraId="1CDCFC14" w14:textId="7226FCAB" w:rsidR="00C9081D"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2]</w:t>
      </w:r>
      <w:r>
        <w:rPr>
          <w:rFonts w:eastAsia="맑은 고딕"/>
          <w:lang w:eastAsia="ko-KR"/>
        </w:rPr>
        <w:tab/>
        <w:t>R4-2511652</w:t>
      </w:r>
      <w:r>
        <w:rPr>
          <w:rFonts w:eastAsia="맑은 고딕"/>
          <w:lang w:eastAsia="ko-KR"/>
        </w:rPr>
        <w:tab/>
      </w:r>
      <w:r w:rsidRPr="00C9081D">
        <w:rPr>
          <w:rFonts w:eastAsia="맑은 고딕"/>
          <w:lang w:eastAsia="ko-KR"/>
        </w:rPr>
        <w:t>Plan on RAN4 6G discussion and meeting arrangement in Rel-20</w:t>
      </w:r>
      <w:r>
        <w:rPr>
          <w:rFonts w:eastAsia="맑은 고딕"/>
          <w:lang w:eastAsia="ko-KR"/>
        </w:rPr>
        <w:tab/>
        <w:t>RAN4#116</w:t>
      </w:r>
    </w:p>
    <w:sectPr w:rsidR="00C908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F8F4C" w14:textId="77777777" w:rsidR="00324ECB" w:rsidRDefault="00324ECB" w:rsidP="00FC2656">
      <w:pPr>
        <w:spacing w:after="0" w:line="240" w:lineRule="auto"/>
      </w:pPr>
      <w:r>
        <w:separator/>
      </w:r>
    </w:p>
  </w:endnote>
  <w:endnote w:type="continuationSeparator" w:id="0">
    <w:p w14:paraId="67ED52F9" w14:textId="77777777" w:rsidR="00324ECB" w:rsidRDefault="00324ECB"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97F76" w14:textId="77777777" w:rsidR="00324ECB" w:rsidRDefault="00324ECB" w:rsidP="00FC2656">
      <w:pPr>
        <w:spacing w:after="0" w:line="240" w:lineRule="auto"/>
      </w:pPr>
      <w:r>
        <w:separator/>
      </w:r>
    </w:p>
  </w:footnote>
  <w:footnote w:type="continuationSeparator" w:id="0">
    <w:p w14:paraId="281E1E0C" w14:textId="77777777" w:rsidR="00324ECB" w:rsidRDefault="00324ECB"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5"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3E83A56"/>
    <w:multiLevelType w:val="multilevel"/>
    <w:tmpl w:val="7F0A1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3"/>
  </w:num>
  <w:num w:numId="2">
    <w:abstractNumId w:val="26"/>
  </w:num>
  <w:num w:numId="3">
    <w:abstractNumId w:val="25"/>
  </w:num>
  <w:num w:numId="4">
    <w:abstractNumId w:val="6"/>
  </w:num>
  <w:num w:numId="5">
    <w:abstractNumId w:val="24"/>
  </w:num>
  <w:num w:numId="6">
    <w:abstractNumId w:val="22"/>
  </w:num>
  <w:num w:numId="7">
    <w:abstractNumId w:val="20"/>
  </w:num>
  <w:num w:numId="8">
    <w:abstractNumId w:val="23"/>
  </w:num>
  <w:num w:numId="9">
    <w:abstractNumId w:val="27"/>
  </w:num>
  <w:num w:numId="10">
    <w:abstractNumId w:val="12"/>
  </w:num>
  <w:num w:numId="11">
    <w:abstractNumId w:val="14"/>
  </w:num>
  <w:num w:numId="12">
    <w:abstractNumId w:val="3"/>
  </w:num>
  <w:num w:numId="13">
    <w:abstractNumId w:val="17"/>
  </w:num>
  <w:num w:numId="14">
    <w:abstractNumId w:val="1"/>
  </w:num>
  <w:num w:numId="15">
    <w:abstractNumId w:val="21"/>
  </w:num>
  <w:num w:numId="16">
    <w:abstractNumId w:val="0"/>
  </w:num>
  <w:num w:numId="17">
    <w:abstractNumId w:val="16"/>
  </w:num>
  <w:num w:numId="18">
    <w:abstractNumId w:val="9"/>
  </w:num>
  <w:num w:numId="19">
    <w:abstractNumId w:val="18"/>
  </w:num>
  <w:num w:numId="20">
    <w:abstractNumId w:val="2"/>
  </w:num>
  <w:num w:numId="21">
    <w:abstractNumId w:val="30"/>
  </w:num>
  <w:num w:numId="22">
    <w:abstractNumId w:val="8"/>
  </w:num>
  <w:num w:numId="23">
    <w:abstractNumId w:val="7"/>
  </w:num>
  <w:num w:numId="24">
    <w:abstractNumId w:val="4"/>
  </w:num>
  <w:num w:numId="25">
    <w:abstractNumId w:val="28"/>
  </w:num>
  <w:num w:numId="26">
    <w:abstractNumId w:val="10"/>
  </w:num>
  <w:num w:numId="27">
    <w:abstractNumId w:val="29"/>
  </w:num>
  <w:num w:numId="28">
    <w:abstractNumId w:val="11"/>
  </w:num>
  <w:num w:numId="29">
    <w:abstractNumId w:val="15"/>
  </w:num>
  <w:num w:numId="30">
    <w:abstractNumId w:val="19"/>
  </w:num>
  <w:num w:numId="3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338"/>
    <w:rsid w:val="0000223C"/>
    <w:rsid w:val="0000390D"/>
    <w:rsid w:val="00004165"/>
    <w:rsid w:val="000056FE"/>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4DDB"/>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C2553"/>
    <w:rsid w:val="000C362A"/>
    <w:rsid w:val="000C38C3"/>
    <w:rsid w:val="000C5C42"/>
    <w:rsid w:val="000C6E14"/>
    <w:rsid w:val="000C758B"/>
    <w:rsid w:val="000C7E08"/>
    <w:rsid w:val="000D05F6"/>
    <w:rsid w:val="000D09FD"/>
    <w:rsid w:val="000D0F50"/>
    <w:rsid w:val="000D10CD"/>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07E04"/>
    <w:rsid w:val="0011088B"/>
    <w:rsid w:val="001109DB"/>
    <w:rsid w:val="00110E26"/>
    <w:rsid w:val="00111321"/>
    <w:rsid w:val="00111EB9"/>
    <w:rsid w:val="00111F0D"/>
    <w:rsid w:val="00112F91"/>
    <w:rsid w:val="00114EA6"/>
    <w:rsid w:val="00116965"/>
    <w:rsid w:val="00117BD6"/>
    <w:rsid w:val="001200CB"/>
    <w:rsid w:val="00120166"/>
    <w:rsid w:val="001206C2"/>
    <w:rsid w:val="00121978"/>
    <w:rsid w:val="001220EB"/>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F51"/>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4ECB"/>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5F5E"/>
    <w:rsid w:val="003B755E"/>
    <w:rsid w:val="003C0346"/>
    <w:rsid w:val="003C0ABE"/>
    <w:rsid w:val="003C1710"/>
    <w:rsid w:val="003C1A0F"/>
    <w:rsid w:val="003C1FA5"/>
    <w:rsid w:val="003C228E"/>
    <w:rsid w:val="003C343A"/>
    <w:rsid w:val="003C48E6"/>
    <w:rsid w:val="003C51E7"/>
    <w:rsid w:val="003C6893"/>
    <w:rsid w:val="003C6B70"/>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1DF7"/>
    <w:rsid w:val="00482115"/>
    <w:rsid w:val="00482285"/>
    <w:rsid w:val="00482E27"/>
    <w:rsid w:val="00482EB1"/>
    <w:rsid w:val="00483BBD"/>
    <w:rsid w:val="00484C5D"/>
    <w:rsid w:val="0048543E"/>
    <w:rsid w:val="0048677E"/>
    <w:rsid w:val="004868C1"/>
    <w:rsid w:val="0048750F"/>
    <w:rsid w:val="00487A70"/>
    <w:rsid w:val="0049026A"/>
    <w:rsid w:val="00490463"/>
    <w:rsid w:val="00491D4B"/>
    <w:rsid w:val="00491E54"/>
    <w:rsid w:val="00492027"/>
    <w:rsid w:val="004923A6"/>
    <w:rsid w:val="00495E3B"/>
    <w:rsid w:val="00495EA4"/>
    <w:rsid w:val="004A1A07"/>
    <w:rsid w:val="004A1A2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4CF"/>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5EB8"/>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1B6"/>
    <w:rsid w:val="005664BD"/>
    <w:rsid w:val="00570126"/>
    <w:rsid w:val="005701DF"/>
    <w:rsid w:val="00571777"/>
    <w:rsid w:val="005718A3"/>
    <w:rsid w:val="00575F09"/>
    <w:rsid w:val="00580107"/>
    <w:rsid w:val="00580FF5"/>
    <w:rsid w:val="0058151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105D"/>
    <w:rsid w:val="006412DC"/>
    <w:rsid w:val="00642BC6"/>
    <w:rsid w:val="00643209"/>
    <w:rsid w:val="00643A41"/>
    <w:rsid w:val="00643EB2"/>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70AC"/>
    <w:rsid w:val="00670A08"/>
    <w:rsid w:val="00670BC1"/>
    <w:rsid w:val="00670FC0"/>
    <w:rsid w:val="00671226"/>
    <w:rsid w:val="00671D2F"/>
    <w:rsid w:val="00672307"/>
    <w:rsid w:val="00672D10"/>
    <w:rsid w:val="006743D1"/>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04"/>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1EE0"/>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173"/>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9B3"/>
    <w:rsid w:val="00773B35"/>
    <w:rsid w:val="00773E4F"/>
    <w:rsid w:val="00775449"/>
    <w:rsid w:val="007763C1"/>
    <w:rsid w:val="00777E82"/>
    <w:rsid w:val="00781359"/>
    <w:rsid w:val="0078148C"/>
    <w:rsid w:val="0078493B"/>
    <w:rsid w:val="00785074"/>
    <w:rsid w:val="00785B4D"/>
    <w:rsid w:val="00786921"/>
    <w:rsid w:val="00790B1C"/>
    <w:rsid w:val="00790FD3"/>
    <w:rsid w:val="007920D9"/>
    <w:rsid w:val="00792104"/>
    <w:rsid w:val="007927FF"/>
    <w:rsid w:val="00792B0C"/>
    <w:rsid w:val="00792D70"/>
    <w:rsid w:val="0079701B"/>
    <w:rsid w:val="00797676"/>
    <w:rsid w:val="00797C64"/>
    <w:rsid w:val="007A0938"/>
    <w:rsid w:val="007A1D0B"/>
    <w:rsid w:val="007A1EAA"/>
    <w:rsid w:val="007A265C"/>
    <w:rsid w:val="007A30A6"/>
    <w:rsid w:val="007A3910"/>
    <w:rsid w:val="007A5694"/>
    <w:rsid w:val="007A6B51"/>
    <w:rsid w:val="007A70DA"/>
    <w:rsid w:val="007A7407"/>
    <w:rsid w:val="007A79FD"/>
    <w:rsid w:val="007B06E5"/>
    <w:rsid w:val="007B0B9D"/>
    <w:rsid w:val="007B26E3"/>
    <w:rsid w:val="007B4AC8"/>
    <w:rsid w:val="007B4C9F"/>
    <w:rsid w:val="007B5A43"/>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015"/>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6D8"/>
    <w:rsid w:val="00881934"/>
    <w:rsid w:val="00881A03"/>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07F8"/>
    <w:rsid w:val="008B1F6A"/>
    <w:rsid w:val="008B27A2"/>
    <w:rsid w:val="008B3194"/>
    <w:rsid w:val="008B3F56"/>
    <w:rsid w:val="008B490D"/>
    <w:rsid w:val="008B564C"/>
    <w:rsid w:val="008B5830"/>
    <w:rsid w:val="008B5AE7"/>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4827"/>
    <w:rsid w:val="008F4DD1"/>
    <w:rsid w:val="008F5D19"/>
    <w:rsid w:val="008F6056"/>
    <w:rsid w:val="008F7D2E"/>
    <w:rsid w:val="00902618"/>
    <w:rsid w:val="00902C07"/>
    <w:rsid w:val="0090374B"/>
    <w:rsid w:val="00903825"/>
    <w:rsid w:val="0090428E"/>
    <w:rsid w:val="00905625"/>
    <w:rsid w:val="00905804"/>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C44"/>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BAA"/>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269"/>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1DC"/>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6FB"/>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95C17"/>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0EC6"/>
    <w:rsid w:val="00BF1180"/>
    <w:rsid w:val="00BF5FE2"/>
    <w:rsid w:val="00BF65C8"/>
    <w:rsid w:val="00BF6A27"/>
    <w:rsid w:val="00BF7A24"/>
    <w:rsid w:val="00C00919"/>
    <w:rsid w:val="00C00CF2"/>
    <w:rsid w:val="00C01B10"/>
    <w:rsid w:val="00C01C82"/>
    <w:rsid w:val="00C01D50"/>
    <w:rsid w:val="00C01F3C"/>
    <w:rsid w:val="00C035B1"/>
    <w:rsid w:val="00C056DC"/>
    <w:rsid w:val="00C06299"/>
    <w:rsid w:val="00C072C4"/>
    <w:rsid w:val="00C07BA3"/>
    <w:rsid w:val="00C1329B"/>
    <w:rsid w:val="00C13ED7"/>
    <w:rsid w:val="00C14031"/>
    <w:rsid w:val="00C14E19"/>
    <w:rsid w:val="00C1572F"/>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822"/>
    <w:rsid w:val="00C35AA7"/>
    <w:rsid w:val="00C371D5"/>
    <w:rsid w:val="00C37C08"/>
    <w:rsid w:val="00C402FD"/>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0EF"/>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1B7B"/>
    <w:rsid w:val="00CC25B4"/>
    <w:rsid w:val="00CC2606"/>
    <w:rsid w:val="00CC2B46"/>
    <w:rsid w:val="00CC3982"/>
    <w:rsid w:val="00CC495A"/>
    <w:rsid w:val="00CC528E"/>
    <w:rsid w:val="00CC5EA5"/>
    <w:rsid w:val="00CC5F88"/>
    <w:rsid w:val="00CC69C8"/>
    <w:rsid w:val="00CC77A2"/>
    <w:rsid w:val="00CC7B4E"/>
    <w:rsid w:val="00CD06AF"/>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383C"/>
    <w:rsid w:val="00CF4156"/>
    <w:rsid w:val="00CF540C"/>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4C3"/>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AB"/>
    <w:rsid w:val="00D843E2"/>
    <w:rsid w:val="00D8576F"/>
    <w:rsid w:val="00D85BD1"/>
    <w:rsid w:val="00D8677F"/>
    <w:rsid w:val="00D873A0"/>
    <w:rsid w:val="00D87BAD"/>
    <w:rsid w:val="00D9012C"/>
    <w:rsid w:val="00D905CE"/>
    <w:rsid w:val="00D90C0C"/>
    <w:rsid w:val="00D92CD6"/>
    <w:rsid w:val="00D93043"/>
    <w:rsid w:val="00D94C54"/>
    <w:rsid w:val="00D972A1"/>
    <w:rsid w:val="00D9754C"/>
    <w:rsid w:val="00D97D6F"/>
    <w:rsid w:val="00D97F0C"/>
    <w:rsid w:val="00DA030B"/>
    <w:rsid w:val="00DA0F7E"/>
    <w:rsid w:val="00DA12EF"/>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84A"/>
    <w:rsid w:val="00DF069A"/>
    <w:rsid w:val="00DF08BB"/>
    <w:rsid w:val="00DF14A8"/>
    <w:rsid w:val="00DF19D3"/>
    <w:rsid w:val="00DF24A7"/>
    <w:rsid w:val="00DF28D1"/>
    <w:rsid w:val="00DF3965"/>
    <w:rsid w:val="00DF43F2"/>
    <w:rsid w:val="00DF46F8"/>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1B7"/>
    <w:rsid w:val="00E13A89"/>
    <w:rsid w:val="00E14EB8"/>
    <w:rsid w:val="00E15E2D"/>
    <w:rsid w:val="00E160A5"/>
    <w:rsid w:val="00E16CDA"/>
    <w:rsid w:val="00E1713D"/>
    <w:rsid w:val="00E2003C"/>
    <w:rsid w:val="00E201A2"/>
    <w:rsid w:val="00E20232"/>
    <w:rsid w:val="00E20A43"/>
    <w:rsid w:val="00E21022"/>
    <w:rsid w:val="00E21A56"/>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CD2"/>
    <w:rsid w:val="00E355B0"/>
    <w:rsid w:val="00E4028D"/>
    <w:rsid w:val="00E40E90"/>
    <w:rsid w:val="00E42108"/>
    <w:rsid w:val="00E421F9"/>
    <w:rsid w:val="00E4289B"/>
    <w:rsid w:val="00E42FCD"/>
    <w:rsid w:val="00E437AA"/>
    <w:rsid w:val="00E45C7E"/>
    <w:rsid w:val="00E47999"/>
    <w:rsid w:val="00E50319"/>
    <w:rsid w:val="00E50F29"/>
    <w:rsid w:val="00E51298"/>
    <w:rsid w:val="00E52445"/>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3EAA"/>
    <w:rsid w:val="00ED516C"/>
    <w:rsid w:val="00ED53E3"/>
    <w:rsid w:val="00EE1080"/>
    <w:rsid w:val="00EE4A42"/>
    <w:rsid w:val="00EF188E"/>
    <w:rsid w:val="00EF1EC5"/>
    <w:rsid w:val="00EF2689"/>
    <w:rsid w:val="00EF4AA4"/>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23A8"/>
    <w:rsid w:val="00F24B8B"/>
    <w:rsid w:val="00F25AAB"/>
    <w:rsid w:val="00F25DD0"/>
    <w:rsid w:val="00F3025D"/>
    <w:rsid w:val="00F30D2E"/>
    <w:rsid w:val="00F321CB"/>
    <w:rsid w:val="00F328CD"/>
    <w:rsid w:val="00F33AB0"/>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1C6C"/>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1A4"/>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6BE"/>
    <w:rsid w:val="00FE4EC8"/>
    <w:rsid w:val="00FE5750"/>
    <w:rsid w:val="00FE5992"/>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23570194">
      <w:bodyDiv w:val="1"/>
      <w:marLeft w:val="0"/>
      <w:marRight w:val="0"/>
      <w:marTop w:val="0"/>
      <w:marBottom w:val="0"/>
      <w:divBdr>
        <w:top w:val="none" w:sz="0" w:space="0" w:color="auto"/>
        <w:left w:val="none" w:sz="0" w:space="0" w:color="auto"/>
        <w:bottom w:val="none" w:sz="0" w:space="0" w:color="auto"/>
        <w:right w:val="none" w:sz="0" w:space="0" w:color="auto"/>
      </w:divBdr>
      <w:divsChild>
        <w:div w:id="1088815550">
          <w:marLeft w:val="0"/>
          <w:marRight w:val="0"/>
          <w:marTop w:val="0"/>
          <w:marBottom w:val="0"/>
          <w:divBdr>
            <w:top w:val="none" w:sz="0" w:space="0" w:color="auto"/>
            <w:left w:val="none" w:sz="0" w:space="0" w:color="auto"/>
            <w:bottom w:val="none" w:sz="0" w:space="0" w:color="auto"/>
            <w:right w:val="none" w:sz="0" w:space="0" w:color="auto"/>
          </w:divBdr>
        </w:div>
        <w:div w:id="1489592789">
          <w:marLeft w:val="0"/>
          <w:marRight w:val="0"/>
          <w:marTop w:val="0"/>
          <w:marBottom w:val="0"/>
          <w:divBdr>
            <w:top w:val="none" w:sz="0" w:space="0" w:color="auto"/>
            <w:left w:val="none" w:sz="0" w:space="0" w:color="auto"/>
            <w:bottom w:val="none" w:sz="0" w:space="0" w:color="auto"/>
            <w:right w:val="none" w:sz="0" w:space="0" w:color="auto"/>
          </w:divBdr>
        </w:div>
        <w:div w:id="1100951267">
          <w:marLeft w:val="0"/>
          <w:marRight w:val="0"/>
          <w:marTop w:val="0"/>
          <w:marBottom w:val="0"/>
          <w:divBdr>
            <w:top w:val="none" w:sz="0" w:space="0" w:color="auto"/>
            <w:left w:val="none" w:sz="0" w:space="0" w:color="auto"/>
            <w:bottom w:val="none" w:sz="0" w:space="0" w:color="auto"/>
            <w:right w:val="none" w:sz="0" w:space="0" w:color="auto"/>
          </w:divBdr>
        </w:div>
        <w:div w:id="1303193446">
          <w:marLeft w:val="0"/>
          <w:marRight w:val="0"/>
          <w:marTop w:val="0"/>
          <w:marBottom w:val="0"/>
          <w:divBdr>
            <w:top w:val="none" w:sz="0" w:space="0" w:color="auto"/>
            <w:left w:val="none" w:sz="0" w:space="0" w:color="auto"/>
            <w:bottom w:val="none" w:sz="0" w:space="0" w:color="auto"/>
            <w:right w:val="none" w:sz="0" w:space="0" w:color="auto"/>
          </w:divBdr>
        </w:div>
        <w:div w:id="1968588475">
          <w:marLeft w:val="0"/>
          <w:marRight w:val="0"/>
          <w:marTop w:val="0"/>
          <w:marBottom w:val="0"/>
          <w:divBdr>
            <w:top w:val="none" w:sz="0" w:space="0" w:color="auto"/>
            <w:left w:val="none" w:sz="0" w:space="0" w:color="auto"/>
            <w:bottom w:val="none" w:sz="0" w:space="0" w:color="auto"/>
            <w:right w:val="none" w:sz="0" w:space="0" w:color="auto"/>
          </w:divBdr>
        </w:div>
        <w:div w:id="196629388">
          <w:marLeft w:val="0"/>
          <w:marRight w:val="0"/>
          <w:marTop w:val="0"/>
          <w:marBottom w:val="0"/>
          <w:divBdr>
            <w:top w:val="none" w:sz="0" w:space="0" w:color="auto"/>
            <w:left w:val="none" w:sz="0" w:space="0" w:color="auto"/>
            <w:bottom w:val="none" w:sz="0" w:space="0" w:color="auto"/>
            <w:right w:val="none" w:sz="0" w:space="0" w:color="auto"/>
          </w:divBdr>
        </w:div>
        <w:div w:id="1379626634">
          <w:marLeft w:val="0"/>
          <w:marRight w:val="0"/>
          <w:marTop w:val="0"/>
          <w:marBottom w:val="0"/>
          <w:divBdr>
            <w:top w:val="none" w:sz="0" w:space="0" w:color="auto"/>
            <w:left w:val="none" w:sz="0" w:space="0" w:color="auto"/>
            <w:bottom w:val="none" w:sz="0" w:space="0" w:color="auto"/>
            <w:right w:val="none" w:sz="0" w:space="0" w:color="auto"/>
          </w:divBdr>
        </w:div>
        <w:div w:id="1303539203">
          <w:marLeft w:val="0"/>
          <w:marRight w:val="0"/>
          <w:marTop w:val="0"/>
          <w:marBottom w:val="0"/>
          <w:divBdr>
            <w:top w:val="none" w:sz="0" w:space="0" w:color="auto"/>
            <w:left w:val="none" w:sz="0" w:space="0" w:color="auto"/>
            <w:bottom w:val="none" w:sz="0" w:space="0" w:color="auto"/>
            <w:right w:val="none" w:sz="0" w:space="0" w:color="auto"/>
          </w:divBdr>
        </w:div>
        <w:div w:id="553809147">
          <w:marLeft w:val="0"/>
          <w:marRight w:val="0"/>
          <w:marTop w:val="0"/>
          <w:marBottom w:val="0"/>
          <w:divBdr>
            <w:top w:val="none" w:sz="0" w:space="0" w:color="auto"/>
            <w:left w:val="none" w:sz="0" w:space="0" w:color="auto"/>
            <w:bottom w:val="none" w:sz="0" w:space="0" w:color="auto"/>
            <w:right w:val="none" w:sz="0" w:space="0" w:color="auto"/>
          </w:divBdr>
        </w:div>
        <w:div w:id="1646160487">
          <w:marLeft w:val="0"/>
          <w:marRight w:val="0"/>
          <w:marTop w:val="0"/>
          <w:marBottom w:val="0"/>
          <w:divBdr>
            <w:top w:val="none" w:sz="0" w:space="0" w:color="auto"/>
            <w:left w:val="none" w:sz="0" w:space="0" w:color="auto"/>
            <w:bottom w:val="none" w:sz="0" w:space="0" w:color="auto"/>
            <w:right w:val="none" w:sz="0" w:space="0" w:color="auto"/>
          </w:divBdr>
        </w:div>
        <w:div w:id="170336858">
          <w:marLeft w:val="0"/>
          <w:marRight w:val="0"/>
          <w:marTop w:val="0"/>
          <w:marBottom w:val="0"/>
          <w:divBdr>
            <w:top w:val="none" w:sz="0" w:space="0" w:color="auto"/>
            <w:left w:val="none" w:sz="0" w:space="0" w:color="auto"/>
            <w:bottom w:val="none" w:sz="0" w:space="0" w:color="auto"/>
            <w:right w:val="none" w:sz="0" w:space="0" w:color="auto"/>
          </w:divBdr>
        </w:div>
        <w:div w:id="2012678948">
          <w:marLeft w:val="0"/>
          <w:marRight w:val="0"/>
          <w:marTop w:val="0"/>
          <w:marBottom w:val="0"/>
          <w:divBdr>
            <w:top w:val="none" w:sz="0" w:space="0" w:color="auto"/>
            <w:left w:val="none" w:sz="0" w:space="0" w:color="auto"/>
            <w:bottom w:val="none" w:sz="0" w:space="0" w:color="auto"/>
            <w:right w:val="none" w:sz="0" w:space="0" w:color="auto"/>
          </w:divBdr>
        </w:div>
        <w:div w:id="2121605583">
          <w:marLeft w:val="0"/>
          <w:marRight w:val="0"/>
          <w:marTop w:val="0"/>
          <w:marBottom w:val="0"/>
          <w:divBdr>
            <w:top w:val="none" w:sz="0" w:space="0" w:color="auto"/>
            <w:left w:val="none" w:sz="0" w:space="0" w:color="auto"/>
            <w:bottom w:val="none" w:sz="0" w:space="0" w:color="auto"/>
            <w:right w:val="none" w:sz="0" w:space="0" w:color="auto"/>
          </w:divBdr>
        </w:div>
        <w:div w:id="460609073">
          <w:marLeft w:val="0"/>
          <w:marRight w:val="0"/>
          <w:marTop w:val="0"/>
          <w:marBottom w:val="0"/>
          <w:divBdr>
            <w:top w:val="none" w:sz="0" w:space="0" w:color="auto"/>
            <w:left w:val="none" w:sz="0" w:space="0" w:color="auto"/>
            <w:bottom w:val="none" w:sz="0" w:space="0" w:color="auto"/>
            <w:right w:val="none" w:sz="0" w:space="0" w:color="auto"/>
          </w:divBdr>
        </w:div>
        <w:div w:id="1219051867">
          <w:marLeft w:val="0"/>
          <w:marRight w:val="0"/>
          <w:marTop w:val="0"/>
          <w:marBottom w:val="0"/>
          <w:divBdr>
            <w:top w:val="none" w:sz="0" w:space="0" w:color="auto"/>
            <w:left w:val="none" w:sz="0" w:space="0" w:color="auto"/>
            <w:bottom w:val="none" w:sz="0" w:space="0" w:color="auto"/>
            <w:right w:val="none" w:sz="0" w:space="0" w:color="auto"/>
          </w:divBdr>
        </w:div>
        <w:div w:id="1522626714">
          <w:marLeft w:val="0"/>
          <w:marRight w:val="0"/>
          <w:marTop w:val="0"/>
          <w:marBottom w:val="0"/>
          <w:divBdr>
            <w:top w:val="none" w:sz="0" w:space="0" w:color="auto"/>
            <w:left w:val="none" w:sz="0" w:space="0" w:color="auto"/>
            <w:bottom w:val="none" w:sz="0" w:space="0" w:color="auto"/>
            <w:right w:val="none" w:sz="0" w:space="0" w:color="auto"/>
          </w:divBdr>
        </w:div>
        <w:div w:id="1712268714">
          <w:marLeft w:val="0"/>
          <w:marRight w:val="0"/>
          <w:marTop w:val="0"/>
          <w:marBottom w:val="0"/>
          <w:divBdr>
            <w:top w:val="none" w:sz="0" w:space="0" w:color="auto"/>
            <w:left w:val="none" w:sz="0" w:space="0" w:color="auto"/>
            <w:bottom w:val="none" w:sz="0" w:space="0" w:color="auto"/>
            <w:right w:val="none" w:sz="0" w:space="0" w:color="auto"/>
          </w:divBdr>
        </w:div>
        <w:div w:id="105077597">
          <w:marLeft w:val="0"/>
          <w:marRight w:val="0"/>
          <w:marTop w:val="0"/>
          <w:marBottom w:val="0"/>
          <w:divBdr>
            <w:top w:val="none" w:sz="0" w:space="0" w:color="auto"/>
            <w:left w:val="none" w:sz="0" w:space="0" w:color="auto"/>
            <w:bottom w:val="none" w:sz="0" w:space="0" w:color="auto"/>
            <w:right w:val="none" w:sz="0" w:space="0" w:color="auto"/>
          </w:divBdr>
        </w:div>
        <w:div w:id="377902156">
          <w:marLeft w:val="0"/>
          <w:marRight w:val="0"/>
          <w:marTop w:val="0"/>
          <w:marBottom w:val="0"/>
          <w:divBdr>
            <w:top w:val="none" w:sz="0" w:space="0" w:color="auto"/>
            <w:left w:val="none" w:sz="0" w:space="0" w:color="auto"/>
            <w:bottom w:val="none" w:sz="0" w:space="0" w:color="auto"/>
            <w:right w:val="none" w:sz="0" w:space="0" w:color="auto"/>
          </w:divBdr>
        </w:div>
        <w:div w:id="139077545">
          <w:marLeft w:val="0"/>
          <w:marRight w:val="0"/>
          <w:marTop w:val="0"/>
          <w:marBottom w:val="0"/>
          <w:divBdr>
            <w:top w:val="none" w:sz="0" w:space="0" w:color="auto"/>
            <w:left w:val="none" w:sz="0" w:space="0" w:color="auto"/>
            <w:bottom w:val="none" w:sz="0" w:space="0" w:color="auto"/>
            <w:right w:val="none" w:sz="0" w:space="0" w:color="auto"/>
          </w:divBdr>
        </w:div>
        <w:div w:id="562715966">
          <w:marLeft w:val="0"/>
          <w:marRight w:val="0"/>
          <w:marTop w:val="0"/>
          <w:marBottom w:val="0"/>
          <w:divBdr>
            <w:top w:val="none" w:sz="0" w:space="0" w:color="auto"/>
            <w:left w:val="none" w:sz="0" w:space="0" w:color="auto"/>
            <w:bottom w:val="none" w:sz="0" w:space="0" w:color="auto"/>
            <w:right w:val="none" w:sz="0" w:space="0" w:color="auto"/>
          </w:divBdr>
        </w:div>
        <w:div w:id="1063328931">
          <w:marLeft w:val="0"/>
          <w:marRight w:val="0"/>
          <w:marTop w:val="0"/>
          <w:marBottom w:val="0"/>
          <w:divBdr>
            <w:top w:val="none" w:sz="0" w:space="0" w:color="auto"/>
            <w:left w:val="none" w:sz="0" w:space="0" w:color="auto"/>
            <w:bottom w:val="none" w:sz="0" w:space="0" w:color="auto"/>
            <w:right w:val="none" w:sz="0" w:space="0" w:color="auto"/>
          </w:divBdr>
        </w:div>
      </w:divsChild>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649479467">
      <w:bodyDiv w:val="1"/>
      <w:marLeft w:val="0"/>
      <w:marRight w:val="0"/>
      <w:marTop w:val="0"/>
      <w:marBottom w:val="0"/>
      <w:divBdr>
        <w:top w:val="none" w:sz="0" w:space="0" w:color="auto"/>
        <w:left w:val="none" w:sz="0" w:space="0" w:color="auto"/>
        <w:bottom w:val="none" w:sz="0" w:space="0" w:color="auto"/>
        <w:right w:val="none" w:sz="0" w:space="0" w:color="auto"/>
      </w:divBdr>
      <w:divsChild>
        <w:div w:id="496270586">
          <w:marLeft w:val="0"/>
          <w:marRight w:val="0"/>
          <w:marTop w:val="0"/>
          <w:marBottom w:val="0"/>
          <w:divBdr>
            <w:top w:val="none" w:sz="0" w:space="0" w:color="auto"/>
            <w:left w:val="none" w:sz="0" w:space="0" w:color="auto"/>
            <w:bottom w:val="none" w:sz="0" w:space="0" w:color="auto"/>
            <w:right w:val="none" w:sz="0" w:space="0" w:color="auto"/>
          </w:divBdr>
        </w:div>
        <w:div w:id="1124540888">
          <w:marLeft w:val="0"/>
          <w:marRight w:val="0"/>
          <w:marTop w:val="0"/>
          <w:marBottom w:val="0"/>
          <w:divBdr>
            <w:top w:val="none" w:sz="0" w:space="0" w:color="auto"/>
            <w:left w:val="none" w:sz="0" w:space="0" w:color="auto"/>
            <w:bottom w:val="none" w:sz="0" w:space="0" w:color="auto"/>
            <w:right w:val="none" w:sz="0" w:space="0" w:color="auto"/>
          </w:divBdr>
        </w:div>
        <w:div w:id="1657028406">
          <w:marLeft w:val="0"/>
          <w:marRight w:val="0"/>
          <w:marTop w:val="0"/>
          <w:marBottom w:val="0"/>
          <w:divBdr>
            <w:top w:val="none" w:sz="0" w:space="0" w:color="auto"/>
            <w:left w:val="none" w:sz="0" w:space="0" w:color="auto"/>
            <w:bottom w:val="none" w:sz="0" w:space="0" w:color="auto"/>
            <w:right w:val="none" w:sz="0" w:space="0" w:color="auto"/>
          </w:divBdr>
        </w:div>
        <w:div w:id="147014279">
          <w:marLeft w:val="0"/>
          <w:marRight w:val="0"/>
          <w:marTop w:val="0"/>
          <w:marBottom w:val="0"/>
          <w:divBdr>
            <w:top w:val="none" w:sz="0" w:space="0" w:color="auto"/>
            <w:left w:val="none" w:sz="0" w:space="0" w:color="auto"/>
            <w:bottom w:val="none" w:sz="0" w:space="0" w:color="auto"/>
            <w:right w:val="none" w:sz="0" w:space="0" w:color="auto"/>
          </w:divBdr>
        </w:div>
        <w:div w:id="1586838360">
          <w:marLeft w:val="0"/>
          <w:marRight w:val="0"/>
          <w:marTop w:val="0"/>
          <w:marBottom w:val="0"/>
          <w:divBdr>
            <w:top w:val="none" w:sz="0" w:space="0" w:color="auto"/>
            <w:left w:val="none" w:sz="0" w:space="0" w:color="auto"/>
            <w:bottom w:val="none" w:sz="0" w:space="0" w:color="auto"/>
            <w:right w:val="none" w:sz="0" w:space="0" w:color="auto"/>
          </w:divBdr>
        </w:div>
        <w:div w:id="1169103345">
          <w:marLeft w:val="0"/>
          <w:marRight w:val="0"/>
          <w:marTop w:val="0"/>
          <w:marBottom w:val="0"/>
          <w:divBdr>
            <w:top w:val="none" w:sz="0" w:space="0" w:color="auto"/>
            <w:left w:val="none" w:sz="0" w:space="0" w:color="auto"/>
            <w:bottom w:val="none" w:sz="0" w:space="0" w:color="auto"/>
            <w:right w:val="none" w:sz="0" w:space="0" w:color="auto"/>
          </w:divBdr>
        </w:div>
        <w:div w:id="859272429">
          <w:marLeft w:val="0"/>
          <w:marRight w:val="0"/>
          <w:marTop w:val="0"/>
          <w:marBottom w:val="0"/>
          <w:divBdr>
            <w:top w:val="none" w:sz="0" w:space="0" w:color="auto"/>
            <w:left w:val="none" w:sz="0" w:space="0" w:color="auto"/>
            <w:bottom w:val="none" w:sz="0" w:space="0" w:color="auto"/>
            <w:right w:val="none" w:sz="0" w:space="0" w:color="auto"/>
          </w:divBdr>
        </w:div>
        <w:div w:id="1381441969">
          <w:marLeft w:val="0"/>
          <w:marRight w:val="0"/>
          <w:marTop w:val="0"/>
          <w:marBottom w:val="0"/>
          <w:divBdr>
            <w:top w:val="none" w:sz="0" w:space="0" w:color="auto"/>
            <w:left w:val="none" w:sz="0" w:space="0" w:color="auto"/>
            <w:bottom w:val="none" w:sz="0" w:space="0" w:color="auto"/>
            <w:right w:val="none" w:sz="0" w:space="0" w:color="auto"/>
          </w:divBdr>
        </w:div>
        <w:div w:id="56168453">
          <w:marLeft w:val="0"/>
          <w:marRight w:val="0"/>
          <w:marTop w:val="0"/>
          <w:marBottom w:val="0"/>
          <w:divBdr>
            <w:top w:val="none" w:sz="0" w:space="0" w:color="auto"/>
            <w:left w:val="none" w:sz="0" w:space="0" w:color="auto"/>
            <w:bottom w:val="none" w:sz="0" w:space="0" w:color="auto"/>
            <w:right w:val="none" w:sz="0" w:space="0" w:color="auto"/>
          </w:divBdr>
        </w:div>
        <w:div w:id="204298444">
          <w:marLeft w:val="0"/>
          <w:marRight w:val="0"/>
          <w:marTop w:val="0"/>
          <w:marBottom w:val="0"/>
          <w:divBdr>
            <w:top w:val="none" w:sz="0" w:space="0" w:color="auto"/>
            <w:left w:val="none" w:sz="0" w:space="0" w:color="auto"/>
            <w:bottom w:val="none" w:sz="0" w:space="0" w:color="auto"/>
            <w:right w:val="none" w:sz="0" w:space="0" w:color="auto"/>
          </w:divBdr>
        </w:div>
      </w:divsChild>
    </w:div>
    <w:div w:id="696279075">
      <w:bodyDiv w:val="1"/>
      <w:marLeft w:val="0"/>
      <w:marRight w:val="0"/>
      <w:marTop w:val="0"/>
      <w:marBottom w:val="0"/>
      <w:divBdr>
        <w:top w:val="none" w:sz="0" w:space="0" w:color="auto"/>
        <w:left w:val="none" w:sz="0" w:space="0" w:color="auto"/>
        <w:bottom w:val="none" w:sz="0" w:space="0" w:color="auto"/>
        <w:right w:val="none" w:sz="0" w:space="0" w:color="auto"/>
      </w:divBdr>
      <w:divsChild>
        <w:div w:id="689768618">
          <w:marLeft w:val="0"/>
          <w:marRight w:val="0"/>
          <w:marTop w:val="0"/>
          <w:marBottom w:val="0"/>
          <w:divBdr>
            <w:top w:val="none" w:sz="0" w:space="0" w:color="auto"/>
            <w:left w:val="none" w:sz="0" w:space="0" w:color="auto"/>
            <w:bottom w:val="none" w:sz="0" w:space="0" w:color="auto"/>
            <w:right w:val="none" w:sz="0" w:space="0" w:color="auto"/>
          </w:divBdr>
        </w:div>
        <w:div w:id="1907296871">
          <w:marLeft w:val="0"/>
          <w:marRight w:val="0"/>
          <w:marTop w:val="0"/>
          <w:marBottom w:val="0"/>
          <w:divBdr>
            <w:top w:val="none" w:sz="0" w:space="0" w:color="auto"/>
            <w:left w:val="none" w:sz="0" w:space="0" w:color="auto"/>
            <w:bottom w:val="none" w:sz="0" w:space="0" w:color="auto"/>
            <w:right w:val="none" w:sz="0" w:space="0" w:color="auto"/>
          </w:divBdr>
        </w:div>
        <w:div w:id="448670787">
          <w:marLeft w:val="0"/>
          <w:marRight w:val="0"/>
          <w:marTop w:val="0"/>
          <w:marBottom w:val="0"/>
          <w:divBdr>
            <w:top w:val="none" w:sz="0" w:space="0" w:color="auto"/>
            <w:left w:val="none" w:sz="0" w:space="0" w:color="auto"/>
            <w:bottom w:val="none" w:sz="0" w:space="0" w:color="auto"/>
            <w:right w:val="none" w:sz="0" w:space="0" w:color="auto"/>
          </w:divBdr>
        </w:div>
      </w:divsChild>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38542820">
      <w:bodyDiv w:val="1"/>
      <w:marLeft w:val="0"/>
      <w:marRight w:val="0"/>
      <w:marTop w:val="0"/>
      <w:marBottom w:val="0"/>
      <w:divBdr>
        <w:top w:val="none" w:sz="0" w:space="0" w:color="auto"/>
        <w:left w:val="none" w:sz="0" w:space="0" w:color="auto"/>
        <w:bottom w:val="none" w:sz="0" w:space="0" w:color="auto"/>
        <w:right w:val="none" w:sz="0" w:space="0" w:color="auto"/>
      </w:divBdr>
      <w:divsChild>
        <w:div w:id="233469445">
          <w:marLeft w:val="0"/>
          <w:marRight w:val="0"/>
          <w:marTop w:val="0"/>
          <w:marBottom w:val="0"/>
          <w:divBdr>
            <w:top w:val="none" w:sz="0" w:space="0" w:color="auto"/>
            <w:left w:val="none" w:sz="0" w:space="0" w:color="auto"/>
            <w:bottom w:val="none" w:sz="0" w:space="0" w:color="auto"/>
            <w:right w:val="none" w:sz="0" w:space="0" w:color="auto"/>
          </w:divBdr>
        </w:div>
        <w:div w:id="1235819799">
          <w:marLeft w:val="0"/>
          <w:marRight w:val="0"/>
          <w:marTop w:val="0"/>
          <w:marBottom w:val="0"/>
          <w:divBdr>
            <w:top w:val="none" w:sz="0" w:space="0" w:color="auto"/>
            <w:left w:val="none" w:sz="0" w:space="0" w:color="auto"/>
            <w:bottom w:val="none" w:sz="0" w:space="0" w:color="auto"/>
            <w:right w:val="none" w:sz="0" w:space="0" w:color="auto"/>
          </w:divBdr>
        </w:div>
        <w:div w:id="254218377">
          <w:marLeft w:val="0"/>
          <w:marRight w:val="0"/>
          <w:marTop w:val="0"/>
          <w:marBottom w:val="0"/>
          <w:divBdr>
            <w:top w:val="none" w:sz="0" w:space="0" w:color="auto"/>
            <w:left w:val="none" w:sz="0" w:space="0" w:color="auto"/>
            <w:bottom w:val="none" w:sz="0" w:space="0" w:color="auto"/>
            <w:right w:val="none" w:sz="0" w:space="0" w:color="auto"/>
          </w:divBdr>
        </w:div>
        <w:div w:id="1609240369">
          <w:marLeft w:val="0"/>
          <w:marRight w:val="0"/>
          <w:marTop w:val="0"/>
          <w:marBottom w:val="0"/>
          <w:divBdr>
            <w:top w:val="none" w:sz="0" w:space="0" w:color="auto"/>
            <w:left w:val="none" w:sz="0" w:space="0" w:color="auto"/>
            <w:bottom w:val="none" w:sz="0" w:space="0" w:color="auto"/>
            <w:right w:val="none" w:sz="0" w:space="0" w:color="auto"/>
          </w:divBdr>
        </w:div>
        <w:div w:id="1374190815">
          <w:marLeft w:val="0"/>
          <w:marRight w:val="0"/>
          <w:marTop w:val="0"/>
          <w:marBottom w:val="0"/>
          <w:divBdr>
            <w:top w:val="none" w:sz="0" w:space="0" w:color="auto"/>
            <w:left w:val="none" w:sz="0" w:space="0" w:color="auto"/>
            <w:bottom w:val="none" w:sz="0" w:space="0" w:color="auto"/>
            <w:right w:val="none" w:sz="0" w:space="0" w:color="auto"/>
          </w:divBdr>
        </w:div>
        <w:div w:id="615869883">
          <w:marLeft w:val="0"/>
          <w:marRight w:val="0"/>
          <w:marTop w:val="0"/>
          <w:marBottom w:val="0"/>
          <w:divBdr>
            <w:top w:val="none" w:sz="0" w:space="0" w:color="auto"/>
            <w:left w:val="none" w:sz="0" w:space="0" w:color="auto"/>
            <w:bottom w:val="none" w:sz="0" w:space="0" w:color="auto"/>
            <w:right w:val="none" w:sz="0" w:space="0" w:color="auto"/>
          </w:divBdr>
        </w:div>
        <w:div w:id="921838857">
          <w:marLeft w:val="0"/>
          <w:marRight w:val="0"/>
          <w:marTop w:val="0"/>
          <w:marBottom w:val="0"/>
          <w:divBdr>
            <w:top w:val="none" w:sz="0" w:space="0" w:color="auto"/>
            <w:left w:val="none" w:sz="0" w:space="0" w:color="auto"/>
            <w:bottom w:val="none" w:sz="0" w:space="0" w:color="auto"/>
            <w:right w:val="none" w:sz="0" w:space="0" w:color="auto"/>
          </w:divBdr>
        </w:div>
        <w:div w:id="1867135694">
          <w:marLeft w:val="0"/>
          <w:marRight w:val="0"/>
          <w:marTop w:val="0"/>
          <w:marBottom w:val="0"/>
          <w:divBdr>
            <w:top w:val="none" w:sz="0" w:space="0" w:color="auto"/>
            <w:left w:val="none" w:sz="0" w:space="0" w:color="auto"/>
            <w:bottom w:val="none" w:sz="0" w:space="0" w:color="auto"/>
            <w:right w:val="none" w:sz="0" w:space="0" w:color="auto"/>
          </w:divBdr>
        </w:div>
        <w:div w:id="2072803965">
          <w:marLeft w:val="0"/>
          <w:marRight w:val="0"/>
          <w:marTop w:val="0"/>
          <w:marBottom w:val="0"/>
          <w:divBdr>
            <w:top w:val="none" w:sz="0" w:space="0" w:color="auto"/>
            <w:left w:val="none" w:sz="0" w:space="0" w:color="auto"/>
            <w:bottom w:val="none" w:sz="0" w:space="0" w:color="auto"/>
            <w:right w:val="none" w:sz="0" w:space="0" w:color="auto"/>
          </w:divBdr>
        </w:div>
        <w:div w:id="1187672030">
          <w:marLeft w:val="0"/>
          <w:marRight w:val="0"/>
          <w:marTop w:val="0"/>
          <w:marBottom w:val="0"/>
          <w:divBdr>
            <w:top w:val="none" w:sz="0" w:space="0" w:color="auto"/>
            <w:left w:val="none" w:sz="0" w:space="0" w:color="auto"/>
            <w:bottom w:val="none" w:sz="0" w:space="0" w:color="auto"/>
            <w:right w:val="none" w:sz="0" w:space="0" w:color="auto"/>
          </w:divBdr>
        </w:div>
      </w:divsChild>
    </w:div>
    <w:div w:id="989022356">
      <w:bodyDiv w:val="1"/>
      <w:marLeft w:val="0"/>
      <w:marRight w:val="0"/>
      <w:marTop w:val="0"/>
      <w:marBottom w:val="0"/>
      <w:divBdr>
        <w:top w:val="none" w:sz="0" w:space="0" w:color="auto"/>
        <w:left w:val="none" w:sz="0" w:space="0" w:color="auto"/>
        <w:bottom w:val="none" w:sz="0" w:space="0" w:color="auto"/>
        <w:right w:val="none" w:sz="0" w:space="0" w:color="auto"/>
      </w:divBdr>
      <w:divsChild>
        <w:div w:id="1629893490">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01301287">
      <w:bodyDiv w:val="1"/>
      <w:marLeft w:val="0"/>
      <w:marRight w:val="0"/>
      <w:marTop w:val="0"/>
      <w:marBottom w:val="0"/>
      <w:divBdr>
        <w:top w:val="none" w:sz="0" w:space="0" w:color="auto"/>
        <w:left w:val="none" w:sz="0" w:space="0" w:color="auto"/>
        <w:bottom w:val="none" w:sz="0" w:space="0" w:color="auto"/>
        <w:right w:val="none" w:sz="0" w:space="0" w:color="auto"/>
      </w:divBdr>
      <w:divsChild>
        <w:div w:id="1353068668">
          <w:marLeft w:val="0"/>
          <w:marRight w:val="0"/>
          <w:marTop w:val="0"/>
          <w:marBottom w:val="0"/>
          <w:divBdr>
            <w:top w:val="none" w:sz="0" w:space="0" w:color="auto"/>
            <w:left w:val="none" w:sz="0" w:space="0" w:color="auto"/>
            <w:bottom w:val="none" w:sz="0" w:space="0" w:color="auto"/>
            <w:right w:val="none" w:sz="0" w:space="0" w:color="auto"/>
          </w:divBdr>
        </w:div>
        <w:div w:id="383716211">
          <w:marLeft w:val="0"/>
          <w:marRight w:val="0"/>
          <w:marTop w:val="0"/>
          <w:marBottom w:val="0"/>
          <w:divBdr>
            <w:top w:val="none" w:sz="0" w:space="0" w:color="auto"/>
            <w:left w:val="none" w:sz="0" w:space="0" w:color="auto"/>
            <w:bottom w:val="none" w:sz="0" w:space="0" w:color="auto"/>
            <w:right w:val="none" w:sz="0" w:space="0" w:color="auto"/>
          </w:divBdr>
        </w:div>
        <w:div w:id="1090158506">
          <w:marLeft w:val="0"/>
          <w:marRight w:val="0"/>
          <w:marTop w:val="0"/>
          <w:marBottom w:val="0"/>
          <w:divBdr>
            <w:top w:val="none" w:sz="0" w:space="0" w:color="auto"/>
            <w:left w:val="none" w:sz="0" w:space="0" w:color="auto"/>
            <w:bottom w:val="none" w:sz="0" w:space="0" w:color="auto"/>
            <w:right w:val="none" w:sz="0" w:space="0" w:color="auto"/>
          </w:divBdr>
        </w:div>
        <w:div w:id="962421829">
          <w:marLeft w:val="0"/>
          <w:marRight w:val="0"/>
          <w:marTop w:val="0"/>
          <w:marBottom w:val="0"/>
          <w:divBdr>
            <w:top w:val="none" w:sz="0" w:space="0" w:color="auto"/>
            <w:left w:val="none" w:sz="0" w:space="0" w:color="auto"/>
            <w:bottom w:val="none" w:sz="0" w:space="0" w:color="auto"/>
            <w:right w:val="none" w:sz="0" w:space="0" w:color="auto"/>
          </w:divBdr>
        </w:div>
        <w:div w:id="1113599617">
          <w:marLeft w:val="0"/>
          <w:marRight w:val="0"/>
          <w:marTop w:val="0"/>
          <w:marBottom w:val="0"/>
          <w:divBdr>
            <w:top w:val="none" w:sz="0" w:space="0" w:color="auto"/>
            <w:left w:val="none" w:sz="0" w:space="0" w:color="auto"/>
            <w:bottom w:val="none" w:sz="0" w:space="0" w:color="auto"/>
            <w:right w:val="none" w:sz="0" w:space="0" w:color="auto"/>
          </w:divBdr>
        </w:div>
        <w:div w:id="820006113">
          <w:marLeft w:val="0"/>
          <w:marRight w:val="0"/>
          <w:marTop w:val="0"/>
          <w:marBottom w:val="0"/>
          <w:divBdr>
            <w:top w:val="none" w:sz="0" w:space="0" w:color="auto"/>
            <w:left w:val="none" w:sz="0" w:space="0" w:color="auto"/>
            <w:bottom w:val="none" w:sz="0" w:space="0" w:color="auto"/>
            <w:right w:val="none" w:sz="0" w:space="0" w:color="auto"/>
          </w:divBdr>
        </w:div>
        <w:div w:id="1643120300">
          <w:marLeft w:val="0"/>
          <w:marRight w:val="0"/>
          <w:marTop w:val="0"/>
          <w:marBottom w:val="0"/>
          <w:divBdr>
            <w:top w:val="none" w:sz="0" w:space="0" w:color="auto"/>
            <w:left w:val="none" w:sz="0" w:space="0" w:color="auto"/>
            <w:bottom w:val="none" w:sz="0" w:space="0" w:color="auto"/>
            <w:right w:val="none" w:sz="0" w:space="0" w:color="auto"/>
          </w:divBdr>
        </w:div>
        <w:div w:id="111634726">
          <w:marLeft w:val="0"/>
          <w:marRight w:val="0"/>
          <w:marTop w:val="0"/>
          <w:marBottom w:val="0"/>
          <w:divBdr>
            <w:top w:val="none" w:sz="0" w:space="0" w:color="auto"/>
            <w:left w:val="none" w:sz="0" w:space="0" w:color="auto"/>
            <w:bottom w:val="none" w:sz="0" w:space="0" w:color="auto"/>
            <w:right w:val="none" w:sz="0" w:space="0" w:color="auto"/>
          </w:divBdr>
        </w:div>
        <w:div w:id="2075548308">
          <w:marLeft w:val="0"/>
          <w:marRight w:val="0"/>
          <w:marTop w:val="0"/>
          <w:marBottom w:val="0"/>
          <w:divBdr>
            <w:top w:val="none" w:sz="0" w:space="0" w:color="auto"/>
            <w:left w:val="none" w:sz="0" w:space="0" w:color="auto"/>
            <w:bottom w:val="none" w:sz="0" w:space="0" w:color="auto"/>
            <w:right w:val="none" w:sz="0" w:space="0" w:color="auto"/>
          </w:divBdr>
        </w:div>
        <w:div w:id="44258934">
          <w:marLeft w:val="0"/>
          <w:marRight w:val="0"/>
          <w:marTop w:val="0"/>
          <w:marBottom w:val="0"/>
          <w:divBdr>
            <w:top w:val="none" w:sz="0" w:space="0" w:color="auto"/>
            <w:left w:val="none" w:sz="0" w:space="0" w:color="auto"/>
            <w:bottom w:val="none" w:sz="0" w:space="0" w:color="auto"/>
            <w:right w:val="none" w:sz="0" w:space="0" w:color="auto"/>
          </w:divBdr>
        </w:div>
        <w:div w:id="462046866">
          <w:marLeft w:val="0"/>
          <w:marRight w:val="0"/>
          <w:marTop w:val="0"/>
          <w:marBottom w:val="0"/>
          <w:divBdr>
            <w:top w:val="none" w:sz="0" w:space="0" w:color="auto"/>
            <w:left w:val="none" w:sz="0" w:space="0" w:color="auto"/>
            <w:bottom w:val="none" w:sz="0" w:space="0" w:color="auto"/>
            <w:right w:val="none" w:sz="0" w:space="0" w:color="auto"/>
          </w:divBdr>
        </w:div>
        <w:div w:id="1742026067">
          <w:marLeft w:val="0"/>
          <w:marRight w:val="0"/>
          <w:marTop w:val="0"/>
          <w:marBottom w:val="0"/>
          <w:divBdr>
            <w:top w:val="none" w:sz="0" w:space="0" w:color="auto"/>
            <w:left w:val="none" w:sz="0" w:space="0" w:color="auto"/>
            <w:bottom w:val="none" w:sz="0" w:space="0" w:color="auto"/>
            <w:right w:val="none" w:sz="0" w:space="0" w:color="auto"/>
          </w:divBdr>
        </w:div>
        <w:div w:id="1316105303">
          <w:marLeft w:val="0"/>
          <w:marRight w:val="0"/>
          <w:marTop w:val="0"/>
          <w:marBottom w:val="0"/>
          <w:divBdr>
            <w:top w:val="none" w:sz="0" w:space="0" w:color="auto"/>
            <w:left w:val="none" w:sz="0" w:space="0" w:color="auto"/>
            <w:bottom w:val="none" w:sz="0" w:space="0" w:color="auto"/>
            <w:right w:val="none" w:sz="0" w:space="0" w:color="auto"/>
          </w:divBdr>
        </w:div>
        <w:div w:id="427234816">
          <w:marLeft w:val="0"/>
          <w:marRight w:val="0"/>
          <w:marTop w:val="0"/>
          <w:marBottom w:val="0"/>
          <w:divBdr>
            <w:top w:val="none" w:sz="0" w:space="0" w:color="auto"/>
            <w:left w:val="none" w:sz="0" w:space="0" w:color="auto"/>
            <w:bottom w:val="none" w:sz="0" w:space="0" w:color="auto"/>
            <w:right w:val="none" w:sz="0" w:space="0" w:color="auto"/>
          </w:divBdr>
        </w:div>
        <w:div w:id="287123621">
          <w:marLeft w:val="0"/>
          <w:marRight w:val="0"/>
          <w:marTop w:val="0"/>
          <w:marBottom w:val="0"/>
          <w:divBdr>
            <w:top w:val="none" w:sz="0" w:space="0" w:color="auto"/>
            <w:left w:val="none" w:sz="0" w:space="0" w:color="auto"/>
            <w:bottom w:val="none" w:sz="0" w:space="0" w:color="auto"/>
            <w:right w:val="none" w:sz="0" w:space="0" w:color="auto"/>
          </w:divBdr>
        </w:div>
      </w:divsChild>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12528615">
      <w:bodyDiv w:val="1"/>
      <w:marLeft w:val="0"/>
      <w:marRight w:val="0"/>
      <w:marTop w:val="0"/>
      <w:marBottom w:val="0"/>
      <w:divBdr>
        <w:top w:val="none" w:sz="0" w:space="0" w:color="auto"/>
        <w:left w:val="none" w:sz="0" w:space="0" w:color="auto"/>
        <w:bottom w:val="none" w:sz="0" w:space="0" w:color="auto"/>
        <w:right w:val="none" w:sz="0" w:space="0" w:color="auto"/>
      </w:divBdr>
      <w:divsChild>
        <w:div w:id="1503352077">
          <w:marLeft w:val="0"/>
          <w:marRight w:val="0"/>
          <w:marTop w:val="0"/>
          <w:marBottom w:val="0"/>
          <w:divBdr>
            <w:top w:val="none" w:sz="0" w:space="0" w:color="auto"/>
            <w:left w:val="none" w:sz="0" w:space="0" w:color="auto"/>
            <w:bottom w:val="none" w:sz="0" w:space="0" w:color="auto"/>
            <w:right w:val="none" w:sz="0" w:space="0" w:color="auto"/>
          </w:divBdr>
        </w:div>
        <w:div w:id="2144809541">
          <w:marLeft w:val="0"/>
          <w:marRight w:val="0"/>
          <w:marTop w:val="0"/>
          <w:marBottom w:val="0"/>
          <w:divBdr>
            <w:top w:val="none" w:sz="0" w:space="0" w:color="auto"/>
            <w:left w:val="none" w:sz="0" w:space="0" w:color="auto"/>
            <w:bottom w:val="none" w:sz="0" w:space="0" w:color="auto"/>
            <w:right w:val="none" w:sz="0" w:space="0" w:color="auto"/>
          </w:divBdr>
        </w:div>
        <w:div w:id="654991050">
          <w:marLeft w:val="0"/>
          <w:marRight w:val="0"/>
          <w:marTop w:val="0"/>
          <w:marBottom w:val="0"/>
          <w:divBdr>
            <w:top w:val="none" w:sz="0" w:space="0" w:color="auto"/>
            <w:left w:val="none" w:sz="0" w:space="0" w:color="auto"/>
            <w:bottom w:val="none" w:sz="0" w:space="0" w:color="auto"/>
            <w:right w:val="none" w:sz="0" w:space="0" w:color="auto"/>
          </w:divBdr>
        </w:div>
        <w:div w:id="494273049">
          <w:marLeft w:val="0"/>
          <w:marRight w:val="0"/>
          <w:marTop w:val="0"/>
          <w:marBottom w:val="0"/>
          <w:divBdr>
            <w:top w:val="none" w:sz="0" w:space="0" w:color="auto"/>
            <w:left w:val="none" w:sz="0" w:space="0" w:color="auto"/>
            <w:bottom w:val="none" w:sz="0" w:space="0" w:color="auto"/>
            <w:right w:val="none" w:sz="0" w:space="0" w:color="auto"/>
          </w:divBdr>
        </w:div>
        <w:div w:id="14618860">
          <w:marLeft w:val="0"/>
          <w:marRight w:val="0"/>
          <w:marTop w:val="0"/>
          <w:marBottom w:val="0"/>
          <w:divBdr>
            <w:top w:val="none" w:sz="0" w:space="0" w:color="auto"/>
            <w:left w:val="none" w:sz="0" w:space="0" w:color="auto"/>
            <w:bottom w:val="none" w:sz="0" w:space="0" w:color="auto"/>
            <w:right w:val="none" w:sz="0" w:space="0" w:color="auto"/>
          </w:divBdr>
        </w:div>
        <w:div w:id="903956973">
          <w:marLeft w:val="0"/>
          <w:marRight w:val="0"/>
          <w:marTop w:val="0"/>
          <w:marBottom w:val="0"/>
          <w:divBdr>
            <w:top w:val="none" w:sz="0" w:space="0" w:color="auto"/>
            <w:left w:val="none" w:sz="0" w:space="0" w:color="auto"/>
            <w:bottom w:val="none" w:sz="0" w:space="0" w:color="auto"/>
            <w:right w:val="none" w:sz="0" w:space="0" w:color="auto"/>
          </w:divBdr>
        </w:div>
        <w:div w:id="377975622">
          <w:marLeft w:val="0"/>
          <w:marRight w:val="0"/>
          <w:marTop w:val="0"/>
          <w:marBottom w:val="0"/>
          <w:divBdr>
            <w:top w:val="none" w:sz="0" w:space="0" w:color="auto"/>
            <w:left w:val="none" w:sz="0" w:space="0" w:color="auto"/>
            <w:bottom w:val="none" w:sz="0" w:space="0" w:color="auto"/>
            <w:right w:val="none" w:sz="0" w:space="0" w:color="auto"/>
          </w:divBdr>
        </w:div>
        <w:div w:id="2007708850">
          <w:marLeft w:val="0"/>
          <w:marRight w:val="0"/>
          <w:marTop w:val="0"/>
          <w:marBottom w:val="0"/>
          <w:divBdr>
            <w:top w:val="none" w:sz="0" w:space="0" w:color="auto"/>
            <w:left w:val="none" w:sz="0" w:space="0" w:color="auto"/>
            <w:bottom w:val="none" w:sz="0" w:space="0" w:color="auto"/>
            <w:right w:val="none" w:sz="0" w:space="0" w:color="auto"/>
          </w:divBdr>
        </w:div>
        <w:div w:id="773594883">
          <w:marLeft w:val="0"/>
          <w:marRight w:val="0"/>
          <w:marTop w:val="0"/>
          <w:marBottom w:val="0"/>
          <w:divBdr>
            <w:top w:val="none" w:sz="0" w:space="0" w:color="auto"/>
            <w:left w:val="none" w:sz="0" w:space="0" w:color="auto"/>
            <w:bottom w:val="none" w:sz="0" w:space="0" w:color="auto"/>
            <w:right w:val="none" w:sz="0" w:space="0" w:color="auto"/>
          </w:divBdr>
        </w:div>
        <w:div w:id="928538530">
          <w:marLeft w:val="0"/>
          <w:marRight w:val="0"/>
          <w:marTop w:val="0"/>
          <w:marBottom w:val="0"/>
          <w:divBdr>
            <w:top w:val="none" w:sz="0" w:space="0" w:color="auto"/>
            <w:left w:val="none" w:sz="0" w:space="0" w:color="auto"/>
            <w:bottom w:val="none" w:sz="0" w:space="0" w:color="auto"/>
            <w:right w:val="none" w:sz="0" w:space="0" w:color="auto"/>
          </w:divBdr>
        </w:div>
        <w:div w:id="2132702423">
          <w:marLeft w:val="0"/>
          <w:marRight w:val="0"/>
          <w:marTop w:val="0"/>
          <w:marBottom w:val="0"/>
          <w:divBdr>
            <w:top w:val="none" w:sz="0" w:space="0" w:color="auto"/>
            <w:left w:val="none" w:sz="0" w:space="0" w:color="auto"/>
            <w:bottom w:val="none" w:sz="0" w:space="0" w:color="auto"/>
            <w:right w:val="none" w:sz="0" w:space="0" w:color="auto"/>
          </w:divBdr>
        </w:div>
        <w:div w:id="137187830">
          <w:marLeft w:val="0"/>
          <w:marRight w:val="0"/>
          <w:marTop w:val="0"/>
          <w:marBottom w:val="0"/>
          <w:divBdr>
            <w:top w:val="none" w:sz="0" w:space="0" w:color="auto"/>
            <w:left w:val="none" w:sz="0" w:space="0" w:color="auto"/>
            <w:bottom w:val="none" w:sz="0" w:space="0" w:color="auto"/>
            <w:right w:val="none" w:sz="0" w:space="0" w:color="auto"/>
          </w:divBdr>
        </w:div>
      </w:divsChild>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768113695">
      <w:bodyDiv w:val="1"/>
      <w:marLeft w:val="0"/>
      <w:marRight w:val="0"/>
      <w:marTop w:val="0"/>
      <w:marBottom w:val="0"/>
      <w:divBdr>
        <w:top w:val="none" w:sz="0" w:space="0" w:color="auto"/>
        <w:left w:val="none" w:sz="0" w:space="0" w:color="auto"/>
        <w:bottom w:val="none" w:sz="0" w:space="0" w:color="auto"/>
        <w:right w:val="none" w:sz="0" w:space="0" w:color="auto"/>
      </w:divBdr>
      <w:divsChild>
        <w:div w:id="220601941">
          <w:marLeft w:val="0"/>
          <w:marRight w:val="0"/>
          <w:marTop w:val="0"/>
          <w:marBottom w:val="0"/>
          <w:divBdr>
            <w:top w:val="none" w:sz="0" w:space="0" w:color="auto"/>
            <w:left w:val="none" w:sz="0" w:space="0" w:color="auto"/>
            <w:bottom w:val="none" w:sz="0" w:space="0" w:color="auto"/>
            <w:right w:val="none" w:sz="0" w:space="0" w:color="auto"/>
          </w:divBdr>
        </w:div>
        <w:div w:id="612442730">
          <w:marLeft w:val="0"/>
          <w:marRight w:val="0"/>
          <w:marTop w:val="0"/>
          <w:marBottom w:val="0"/>
          <w:divBdr>
            <w:top w:val="none" w:sz="0" w:space="0" w:color="auto"/>
            <w:left w:val="none" w:sz="0" w:space="0" w:color="auto"/>
            <w:bottom w:val="none" w:sz="0" w:space="0" w:color="auto"/>
            <w:right w:val="none" w:sz="0" w:space="0" w:color="auto"/>
          </w:divBdr>
        </w:div>
        <w:div w:id="1465194105">
          <w:marLeft w:val="0"/>
          <w:marRight w:val="0"/>
          <w:marTop w:val="0"/>
          <w:marBottom w:val="0"/>
          <w:divBdr>
            <w:top w:val="none" w:sz="0" w:space="0" w:color="auto"/>
            <w:left w:val="none" w:sz="0" w:space="0" w:color="auto"/>
            <w:bottom w:val="none" w:sz="0" w:space="0" w:color="auto"/>
            <w:right w:val="none" w:sz="0" w:space="0" w:color="auto"/>
          </w:divBdr>
        </w:div>
        <w:div w:id="1068115385">
          <w:marLeft w:val="0"/>
          <w:marRight w:val="0"/>
          <w:marTop w:val="0"/>
          <w:marBottom w:val="0"/>
          <w:divBdr>
            <w:top w:val="none" w:sz="0" w:space="0" w:color="auto"/>
            <w:left w:val="none" w:sz="0" w:space="0" w:color="auto"/>
            <w:bottom w:val="none" w:sz="0" w:space="0" w:color="auto"/>
            <w:right w:val="none" w:sz="0" w:space="0" w:color="auto"/>
          </w:divBdr>
        </w:div>
        <w:div w:id="1104495065">
          <w:marLeft w:val="0"/>
          <w:marRight w:val="0"/>
          <w:marTop w:val="0"/>
          <w:marBottom w:val="0"/>
          <w:divBdr>
            <w:top w:val="none" w:sz="0" w:space="0" w:color="auto"/>
            <w:left w:val="none" w:sz="0" w:space="0" w:color="auto"/>
            <w:bottom w:val="none" w:sz="0" w:space="0" w:color="auto"/>
            <w:right w:val="none" w:sz="0" w:space="0" w:color="auto"/>
          </w:divBdr>
        </w:div>
        <w:div w:id="1306004333">
          <w:marLeft w:val="0"/>
          <w:marRight w:val="0"/>
          <w:marTop w:val="0"/>
          <w:marBottom w:val="0"/>
          <w:divBdr>
            <w:top w:val="none" w:sz="0" w:space="0" w:color="auto"/>
            <w:left w:val="none" w:sz="0" w:space="0" w:color="auto"/>
            <w:bottom w:val="none" w:sz="0" w:space="0" w:color="auto"/>
            <w:right w:val="none" w:sz="0" w:space="0" w:color="auto"/>
          </w:divBdr>
        </w:div>
        <w:div w:id="1532455803">
          <w:marLeft w:val="0"/>
          <w:marRight w:val="0"/>
          <w:marTop w:val="0"/>
          <w:marBottom w:val="0"/>
          <w:divBdr>
            <w:top w:val="none" w:sz="0" w:space="0" w:color="auto"/>
            <w:left w:val="none" w:sz="0" w:space="0" w:color="auto"/>
            <w:bottom w:val="none" w:sz="0" w:space="0" w:color="auto"/>
            <w:right w:val="none" w:sz="0" w:space="0" w:color="auto"/>
          </w:divBdr>
        </w:div>
        <w:div w:id="2111654931">
          <w:marLeft w:val="0"/>
          <w:marRight w:val="0"/>
          <w:marTop w:val="0"/>
          <w:marBottom w:val="0"/>
          <w:divBdr>
            <w:top w:val="none" w:sz="0" w:space="0" w:color="auto"/>
            <w:left w:val="none" w:sz="0" w:space="0" w:color="auto"/>
            <w:bottom w:val="none" w:sz="0" w:space="0" w:color="auto"/>
            <w:right w:val="none" w:sz="0" w:space="0" w:color="auto"/>
          </w:divBdr>
        </w:div>
        <w:div w:id="638726891">
          <w:marLeft w:val="0"/>
          <w:marRight w:val="0"/>
          <w:marTop w:val="0"/>
          <w:marBottom w:val="0"/>
          <w:divBdr>
            <w:top w:val="none" w:sz="0" w:space="0" w:color="auto"/>
            <w:left w:val="none" w:sz="0" w:space="0" w:color="auto"/>
            <w:bottom w:val="none" w:sz="0" w:space="0" w:color="auto"/>
            <w:right w:val="none" w:sz="0" w:space="0" w:color="auto"/>
          </w:divBdr>
        </w:div>
        <w:div w:id="1912235121">
          <w:marLeft w:val="0"/>
          <w:marRight w:val="0"/>
          <w:marTop w:val="0"/>
          <w:marBottom w:val="0"/>
          <w:divBdr>
            <w:top w:val="none" w:sz="0" w:space="0" w:color="auto"/>
            <w:left w:val="none" w:sz="0" w:space="0" w:color="auto"/>
            <w:bottom w:val="none" w:sz="0" w:space="0" w:color="auto"/>
            <w:right w:val="none" w:sz="0" w:space="0" w:color="auto"/>
          </w:divBdr>
        </w:div>
      </w:divsChild>
    </w:div>
    <w:div w:id="1774671648">
      <w:bodyDiv w:val="1"/>
      <w:marLeft w:val="0"/>
      <w:marRight w:val="0"/>
      <w:marTop w:val="0"/>
      <w:marBottom w:val="0"/>
      <w:divBdr>
        <w:top w:val="none" w:sz="0" w:space="0" w:color="auto"/>
        <w:left w:val="none" w:sz="0" w:space="0" w:color="auto"/>
        <w:bottom w:val="none" w:sz="0" w:space="0" w:color="auto"/>
        <w:right w:val="none" w:sz="0" w:space="0" w:color="auto"/>
      </w:divBdr>
      <w:divsChild>
        <w:div w:id="511184422">
          <w:marLeft w:val="0"/>
          <w:marRight w:val="0"/>
          <w:marTop w:val="0"/>
          <w:marBottom w:val="0"/>
          <w:divBdr>
            <w:top w:val="none" w:sz="0" w:space="0" w:color="auto"/>
            <w:left w:val="none" w:sz="0" w:space="0" w:color="auto"/>
            <w:bottom w:val="none" w:sz="0" w:space="0" w:color="auto"/>
            <w:right w:val="none" w:sz="0" w:space="0" w:color="auto"/>
          </w:divBdr>
        </w:div>
      </w:divsChild>
    </w:div>
    <w:div w:id="1871067671">
      <w:bodyDiv w:val="1"/>
      <w:marLeft w:val="0"/>
      <w:marRight w:val="0"/>
      <w:marTop w:val="0"/>
      <w:marBottom w:val="0"/>
      <w:divBdr>
        <w:top w:val="none" w:sz="0" w:space="0" w:color="auto"/>
        <w:left w:val="none" w:sz="0" w:space="0" w:color="auto"/>
        <w:bottom w:val="none" w:sz="0" w:space="0" w:color="auto"/>
        <w:right w:val="none" w:sz="0" w:space="0" w:color="auto"/>
      </w:divBdr>
      <w:divsChild>
        <w:div w:id="1760642334">
          <w:marLeft w:val="0"/>
          <w:marRight w:val="0"/>
          <w:marTop w:val="0"/>
          <w:marBottom w:val="0"/>
          <w:divBdr>
            <w:top w:val="none" w:sz="0" w:space="0" w:color="auto"/>
            <w:left w:val="none" w:sz="0" w:space="0" w:color="auto"/>
            <w:bottom w:val="none" w:sz="0" w:space="0" w:color="auto"/>
            <w:right w:val="none" w:sz="0" w:space="0" w:color="auto"/>
          </w:divBdr>
        </w:div>
        <w:div w:id="935593638">
          <w:marLeft w:val="0"/>
          <w:marRight w:val="0"/>
          <w:marTop w:val="0"/>
          <w:marBottom w:val="0"/>
          <w:divBdr>
            <w:top w:val="none" w:sz="0" w:space="0" w:color="auto"/>
            <w:left w:val="none" w:sz="0" w:space="0" w:color="auto"/>
            <w:bottom w:val="none" w:sz="0" w:space="0" w:color="auto"/>
            <w:right w:val="none" w:sz="0" w:space="0" w:color="auto"/>
          </w:divBdr>
        </w:div>
        <w:div w:id="268859487">
          <w:marLeft w:val="0"/>
          <w:marRight w:val="0"/>
          <w:marTop w:val="0"/>
          <w:marBottom w:val="0"/>
          <w:divBdr>
            <w:top w:val="none" w:sz="0" w:space="0" w:color="auto"/>
            <w:left w:val="none" w:sz="0" w:space="0" w:color="auto"/>
            <w:bottom w:val="none" w:sz="0" w:space="0" w:color="auto"/>
            <w:right w:val="none" w:sz="0" w:space="0" w:color="auto"/>
          </w:divBdr>
        </w:div>
        <w:div w:id="1988438181">
          <w:marLeft w:val="0"/>
          <w:marRight w:val="0"/>
          <w:marTop w:val="0"/>
          <w:marBottom w:val="0"/>
          <w:divBdr>
            <w:top w:val="none" w:sz="0" w:space="0" w:color="auto"/>
            <w:left w:val="none" w:sz="0" w:space="0" w:color="auto"/>
            <w:bottom w:val="none" w:sz="0" w:space="0" w:color="auto"/>
            <w:right w:val="none" w:sz="0" w:space="0" w:color="auto"/>
          </w:divBdr>
        </w:div>
        <w:div w:id="1353267787">
          <w:marLeft w:val="0"/>
          <w:marRight w:val="0"/>
          <w:marTop w:val="0"/>
          <w:marBottom w:val="0"/>
          <w:divBdr>
            <w:top w:val="none" w:sz="0" w:space="0" w:color="auto"/>
            <w:left w:val="none" w:sz="0" w:space="0" w:color="auto"/>
            <w:bottom w:val="none" w:sz="0" w:space="0" w:color="auto"/>
            <w:right w:val="none" w:sz="0" w:space="0" w:color="auto"/>
          </w:divBdr>
        </w:div>
        <w:div w:id="1710914251">
          <w:marLeft w:val="0"/>
          <w:marRight w:val="0"/>
          <w:marTop w:val="0"/>
          <w:marBottom w:val="0"/>
          <w:divBdr>
            <w:top w:val="none" w:sz="0" w:space="0" w:color="auto"/>
            <w:left w:val="none" w:sz="0" w:space="0" w:color="auto"/>
            <w:bottom w:val="none" w:sz="0" w:space="0" w:color="auto"/>
            <w:right w:val="none" w:sz="0" w:space="0" w:color="auto"/>
          </w:divBdr>
        </w:div>
        <w:div w:id="2003043022">
          <w:marLeft w:val="0"/>
          <w:marRight w:val="0"/>
          <w:marTop w:val="0"/>
          <w:marBottom w:val="0"/>
          <w:divBdr>
            <w:top w:val="none" w:sz="0" w:space="0" w:color="auto"/>
            <w:left w:val="none" w:sz="0" w:space="0" w:color="auto"/>
            <w:bottom w:val="none" w:sz="0" w:space="0" w:color="auto"/>
            <w:right w:val="none" w:sz="0" w:space="0" w:color="auto"/>
          </w:divBdr>
        </w:div>
        <w:div w:id="831331978">
          <w:marLeft w:val="0"/>
          <w:marRight w:val="0"/>
          <w:marTop w:val="0"/>
          <w:marBottom w:val="0"/>
          <w:divBdr>
            <w:top w:val="none" w:sz="0" w:space="0" w:color="auto"/>
            <w:left w:val="none" w:sz="0" w:space="0" w:color="auto"/>
            <w:bottom w:val="none" w:sz="0" w:space="0" w:color="auto"/>
            <w:right w:val="none" w:sz="0" w:space="0" w:color="auto"/>
          </w:divBdr>
        </w:div>
        <w:div w:id="341977620">
          <w:marLeft w:val="0"/>
          <w:marRight w:val="0"/>
          <w:marTop w:val="0"/>
          <w:marBottom w:val="0"/>
          <w:divBdr>
            <w:top w:val="none" w:sz="0" w:space="0" w:color="auto"/>
            <w:left w:val="none" w:sz="0" w:space="0" w:color="auto"/>
            <w:bottom w:val="none" w:sz="0" w:space="0" w:color="auto"/>
            <w:right w:val="none" w:sz="0" w:space="0" w:color="auto"/>
          </w:divBdr>
        </w:div>
        <w:div w:id="1746872738">
          <w:marLeft w:val="0"/>
          <w:marRight w:val="0"/>
          <w:marTop w:val="0"/>
          <w:marBottom w:val="0"/>
          <w:divBdr>
            <w:top w:val="none" w:sz="0" w:space="0" w:color="auto"/>
            <w:left w:val="none" w:sz="0" w:space="0" w:color="auto"/>
            <w:bottom w:val="none" w:sz="0" w:space="0" w:color="auto"/>
            <w:right w:val="none" w:sz="0" w:space="0" w:color="auto"/>
          </w:divBdr>
        </w:div>
        <w:div w:id="1048530837">
          <w:marLeft w:val="0"/>
          <w:marRight w:val="0"/>
          <w:marTop w:val="0"/>
          <w:marBottom w:val="0"/>
          <w:divBdr>
            <w:top w:val="none" w:sz="0" w:space="0" w:color="auto"/>
            <w:left w:val="none" w:sz="0" w:space="0" w:color="auto"/>
            <w:bottom w:val="none" w:sz="0" w:space="0" w:color="auto"/>
            <w:right w:val="none" w:sz="0" w:space="0" w:color="auto"/>
          </w:divBdr>
        </w:div>
        <w:div w:id="961039040">
          <w:marLeft w:val="0"/>
          <w:marRight w:val="0"/>
          <w:marTop w:val="0"/>
          <w:marBottom w:val="0"/>
          <w:divBdr>
            <w:top w:val="none" w:sz="0" w:space="0" w:color="auto"/>
            <w:left w:val="none" w:sz="0" w:space="0" w:color="auto"/>
            <w:bottom w:val="none" w:sz="0" w:space="0" w:color="auto"/>
            <w:right w:val="none" w:sz="0" w:space="0" w:color="auto"/>
          </w:divBdr>
        </w:div>
        <w:div w:id="1132017178">
          <w:marLeft w:val="0"/>
          <w:marRight w:val="0"/>
          <w:marTop w:val="0"/>
          <w:marBottom w:val="0"/>
          <w:divBdr>
            <w:top w:val="none" w:sz="0" w:space="0" w:color="auto"/>
            <w:left w:val="none" w:sz="0" w:space="0" w:color="auto"/>
            <w:bottom w:val="none" w:sz="0" w:space="0" w:color="auto"/>
            <w:right w:val="none" w:sz="0" w:space="0" w:color="auto"/>
          </w:divBdr>
        </w:div>
        <w:div w:id="564878817">
          <w:marLeft w:val="0"/>
          <w:marRight w:val="0"/>
          <w:marTop w:val="0"/>
          <w:marBottom w:val="0"/>
          <w:divBdr>
            <w:top w:val="none" w:sz="0" w:space="0" w:color="auto"/>
            <w:left w:val="none" w:sz="0" w:space="0" w:color="auto"/>
            <w:bottom w:val="none" w:sz="0" w:space="0" w:color="auto"/>
            <w:right w:val="none" w:sz="0" w:space="0" w:color="auto"/>
          </w:divBdr>
        </w:div>
        <w:div w:id="487593044">
          <w:marLeft w:val="0"/>
          <w:marRight w:val="0"/>
          <w:marTop w:val="0"/>
          <w:marBottom w:val="0"/>
          <w:divBdr>
            <w:top w:val="none" w:sz="0" w:space="0" w:color="auto"/>
            <w:left w:val="none" w:sz="0" w:space="0" w:color="auto"/>
            <w:bottom w:val="none" w:sz="0" w:space="0" w:color="auto"/>
            <w:right w:val="none" w:sz="0" w:space="0" w:color="auto"/>
          </w:divBdr>
        </w:div>
      </w:divsChild>
    </w:div>
    <w:div w:id="2059207825">
      <w:bodyDiv w:val="1"/>
      <w:marLeft w:val="0"/>
      <w:marRight w:val="0"/>
      <w:marTop w:val="0"/>
      <w:marBottom w:val="0"/>
      <w:divBdr>
        <w:top w:val="none" w:sz="0" w:space="0" w:color="auto"/>
        <w:left w:val="none" w:sz="0" w:space="0" w:color="auto"/>
        <w:bottom w:val="none" w:sz="0" w:space="0" w:color="auto"/>
        <w:right w:val="none" w:sz="0" w:space="0" w:color="auto"/>
      </w:divBdr>
      <w:divsChild>
        <w:div w:id="285476687">
          <w:marLeft w:val="0"/>
          <w:marRight w:val="0"/>
          <w:marTop w:val="0"/>
          <w:marBottom w:val="0"/>
          <w:divBdr>
            <w:top w:val="none" w:sz="0" w:space="0" w:color="auto"/>
            <w:left w:val="none" w:sz="0" w:space="0" w:color="auto"/>
            <w:bottom w:val="none" w:sz="0" w:space="0" w:color="auto"/>
            <w:right w:val="none" w:sz="0" w:space="0" w:color="auto"/>
          </w:divBdr>
        </w:div>
        <w:div w:id="1773089951">
          <w:marLeft w:val="0"/>
          <w:marRight w:val="0"/>
          <w:marTop w:val="0"/>
          <w:marBottom w:val="0"/>
          <w:divBdr>
            <w:top w:val="none" w:sz="0" w:space="0" w:color="auto"/>
            <w:left w:val="none" w:sz="0" w:space="0" w:color="auto"/>
            <w:bottom w:val="none" w:sz="0" w:space="0" w:color="auto"/>
            <w:right w:val="none" w:sz="0" w:space="0" w:color="auto"/>
          </w:divBdr>
        </w:div>
        <w:div w:id="1013994171">
          <w:marLeft w:val="0"/>
          <w:marRight w:val="0"/>
          <w:marTop w:val="0"/>
          <w:marBottom w:val="0"/>
          <w:divBdr>
            <w:top w:val="none" w:sz="0" w:space="0" w:color="auto"/>
            <w:left w:val="none" w:sz="0" w:space="0" w:color="auto"/>
            <w:bottom w:val="none" w:sz="0" w:space="0" w:color="auto"/>
            <w:right w:val="none" w:sz="0" w:space="0" w:color="auto"/>
          </w:divBdr>
        </w:div>
        <w:div w:id="1900824966">
          <w:marLeft w:val="0"/>
          <w:marRight w:val="0"/>
          <w:marTop w:val="0"/>
          <w:marBottom w:val="0"/>
          <w:divBdr>
            <w:top w:val="none" w:sz="0" w:space="0" w:color="auto"/>
            <w:left w:val="none" w:sz="0" w:space="0" w:color="auto"/>
            <w:bottom w:val="none" w:sz="0" w:space="0" w:color="auto"/>
            <w:right w:val="none" w:sz="0" w:space="0" w:color="auto"/>
          </w:divBdr>
        </w:div>
        <w:div w:id="882206614">
          <w:marLeft w:val="0"/>
          <w:marRight w:val="0"/>
          <w:marTop w:val="0"/>
          <w:marBottom w:val="0"/>
          <w:divBdr>
            <w:top w:val="none" w:sz="0" w:space="0" w:color="auto"/>
            <w:left w:val="none" w:sz="0" w:space="0" w:color="auto"/>
            <w:bottom w:val="none" w:sz="0" w:space="0" w:color="auto"/>
            <w:right w:val="none" w:sz="0" w:space="0" w:color="auto"/>
          </w:divBdr>
        </w:div>
        <w:div w:id="190992238">
          <w:marLeft w:val="0"/>
          <w:marRight w:val="0"/>
          <w:marTop w:val="0"/>
          <w:marBottom w:val="0"/>
          <w:divBdr>
            <w:top w:val="none" w:sz="0" w:space="0" w:color="auto"/>
            <w:left w:val="none" w:sz="0" w:space="0" w:color="auto"/>
            <w:bottom w:val="none" w:sz="0" w:space="0" w:color="auto"/>
            <w:right w:val="none" w:sz="0" w:space="0" w:color="auto"/>
          </w:divBdr>
        </w:div>
        <w:div w:id="1541478632">
          <w:marLeft w:val="0"/>
          <w:marRight w:val="0"/>
          <w:marTop w:val="0"/>
          <w:marBottom w:val="0"/>
          <w:divBdr>
            <w:top w:val="none" w:sz="0" w:space="0" w:color="auto"/>
            <w:left w:val="none" w:sz="0" w:space="0" w:color="auto"/>
            <w:bottom w:val="none" w:sz="0" w:space="0" w:color="auto"/>
            <w:right w:val="none" w:sz="0" w:space="0" w:color="auto"/>
          </w:divBdr>
        </w:div>
        <w:div w:id="346685855">
          <w:marLeft w:val="0"/>
          <w:marRight w:val="0"/>
          <w:marTop w:val="0"/>
          <w:marBottom w:val="0"/>
          <w:divBdr>
            <w:top w:val="none" w:sz="0" w:space="0" w:color="auto"/>
            <w:left w:val="none" w:sz="0" w:space="0" w:color="auto"/>
            <w:bottom w:val="none" w:sz="0" w:space="0" w:color="auto"/>
            <w:right w:val="none" w:sz="0" w:space="0" w:color="auto"/>
          </w:divBdr>
        </w:div>
        <w:div w:id="1195583918">
          <w:marLeft w:val="0"/>
          <w:marRight w:val="0"/>
          <w:marTop w:val="0"/>
          <w:marBottom w:val="0"/>
          <w:divBdr>
            <w:top w:val="none" w:sz="0" w:space="0" w:color="auto"/>
            <w:left w:val="none" w:sz="0" w:space="0" w:color="auto"/>
            <w:bottom w:val="none" w:sz="0" w:space="0" w:color="auto"/>
            <w:right w:val="none" w:sz="0" w:space="0" w:color="auto"/>
          </w:divBdr>
        </w:div>
        <w:div w:id="207298487">
          <w:marLeft w:val="0"/>
          <w:marRight w:val="0"/>
          <w:marTop w:val="0"/>
          <w:marBottom w:val="0"/>
          <w:divBdr>
            <w:top w:val="none" w:sz="0" w:space="0" w:color="auto"/>
            <w:left w:val="none" w:sz="0" w:space="0" w:color="auto"/>
            <w:bottom w:val="none" w:sz="0" w:space="0" w:color="auto"/>
            <w:right w:val="none" w:sz="0" w:space="0" w:color="auto"/>
          </w:divBdr>
        </w:div>
        <w:div w:id="957838840">
          <w:marLeft w:val="0"/>
          <w:marRight w:val="0"/>
          <w:marTop w:val="0"/>
          <w:marBottom w:val="0"/>
          <w:divBdr>
            <w:top w:val="none" w:sz="0" w:space="0" w:color="auto"/>
            <w:left w:val="none" w:sz="0" w:space="0" w:color="auto"/>
            <w:bottom w:val="none" w:sz="0" w:space="0" w:color="auto"/>
            <w:right w:val="none" w:sz="0" w:space="0" w:color="auto"/>
          </w:divBdr>
        </w:div>
        <w:div w:id="1329334248">
          <w:marLeft w:val="0"/>
          <w:marRight w:val="0"/>
          <w:marTop w:val="0"/>
          <w:marBottom w:val="0"/>
          <w:divBdr>
            <w:top w:val="none" w:sz="0" w:space="0" w:color="auto"/>
            <w:left w:val="none" w:sz="0" w:space="0" w:color="auto"/>
            <w:bottom w:val="none" w:sz="0" w:space="0" w:color="auto"/>
            <w:right w:val="none" w:sz="0" w:space="0" w:color="auto"/>
          </w:divBdr>
        </w:div>
        <w:div w:id="1555654764">
          <w:marLeft w:val="0"/>
          <w:marRight w:val="0"/>
          <w:marTop w:val="0"/>
          <w:marBottom w:val="0"/>
          <w:divBdr>
            <w:top w:val="none" w:sz="0" w:space="0" w:color="auto"/>
            <w:left w:val="none" w:sz="0" w:space="0" w:color="auto"/>
            <w:bottom w:val="none" w:sz="0" w:space="0" w:color="auto"/>
            <w:right w:val="none" w:sz="0" w:space="0" w:color="auto"/>
          </w:divBdr>
        </w:div>
        <w:div w:id="820586395">
          <w:marLeft w:val="0"/>
          <w:marRight w:val="0"/>
          <w:marTop w:val="0"/>
          <w:marBottom w:val="0"/>
          <w:divBdr>
            <w:top w:val="none" w:sz="0" w:space="0" w:color="auto"/>
            <w:left w:val="none" w:sz="0" w:space="0" w:color="auto"/>
            <w:bottom w:val="none" w:sz="0" w:space="0" w:color="auto"/>
            <w:right w:val="none" w:sz="0" w:space="0" w:color="auto"/>
          </w:divBdr>
        </w:div>
        <w:div w:id="2114276857">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 w:id="21049157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3334</Words>
  <Characters>19005</Characters>
  <Application>Microsoft Office Word</Application>
  <DocSecurity>0</DocSecurity>
  <Lines>158</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7</cp:revision>
  <cp:lastPrinted>2019-04-25T01:09:00Z</cp:lastPrinted>
  <dcterms:created xsi:type="dcterms:W3CDTF">2025-11-07T04:44:00Z</dcterms:created>
  <dcterms:modified xsi:type="dcterms:W3CDTF">2025-11-07T15:11:00Z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B40B3F2C8792311EE07E9C568F91D121D36EB6230C5E1DAB7DE0333E45C5541DC3D96C3E65E29B2D7C0B146E8ECB3D915B8779164CE80C69A73795825A3AEA03</vt:lpwstr>
  </property>
</Properties>
</file>