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_Hlk127531451"/>
      <w:bookmarkEnd w:id="0"/>
      <w:bookmarkStart w:id="1" w:name="DocumentFor"/>
      <w:bookmarkEnd w:id="1"/>
      <w:bookmarkStart w:id="2" w:name="Title"/>
      <w:bookmarkEnd w:id="2"/>
      <w:bookmarkStart w:id="3" w:name="OLE_LINK5"/>
      <w:bookmarkStart w:id="4" w:name="OLE_LINK7"/>
      <w:bookmarkStart w:id="5" w:name="OLE_LINK6"/>
      <w:r>
        <w:rPr>
          <w:rFonts w:ascii="Arial" w:hAnsi="Arial" w:eastAsia="宋体" w:cs="Arial"/>
          <w:b/>
          <w:kern w:val="0"/>
          <w:sz w:val="24"/>
          <w:szCs w:val="24"/>
          <w:lang w:val="en-US" w:eastAsia="zh-CN" w:bidi="ar-SA"/>
        </w:rPr>
        <w:t>3GPP TSG-RAN WG4 Meeting #117</w:t>
      </w:r>
      <w:r>
        <w:rPr>
          <w:rFonts w:hint="eastAsia" w:ascii="Arial" w:hAnsi="Arial" w:eastAsia="宋体" w:cs="Arial"/>
          <w:b/>
          <w:kern w:val="0"/>
          <w:sz w:val="24"/>
          <w:szCs w:val="24"/>
          <w:lang w:val="en-US" w:eastAsia="zh-CN" w:bidi="ar-SA"/>
        </w:rPr>
        <w:t xml:space="preserve">                                   </w:t>
      </w:r>
      <w:bookmarkStart w:id="12" w:name="_GoBack"/>
      <w:r>
        <w:rPr>
          <w:rFonts w:hint="eastAsia" w:ascii="Arial" w:hAnsi="Arial" w:eastAsia="宋体" w:cs="Arial"/>
          <w:b/>
          <w:kern w:val="0"/>
          <w:sz w:val="24"/>
          <w:szCs w:val="24"/>
          <w:lang w:val="en-US" w:eastAsia="zh-CN" w:bidi="ar-SA"/>
        </w:rPr>
        <w:t>R4-2520427</w:t>
      </w:r>
      <w:bookmarkEnd w:id="12"/>
    </w:p>
    <w:p w14:paraId="663CBC9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Dallas, USA, Nov. 17-21, 2025</w:t>
      </w:r>
    </w:p>
    <w:p w14:paraId="0190D518">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8.2.1</w:t>
      </w:r>
    </w:p>
    <w:p w14:paraId="185D1CC5">
      <w:pPr>
        <w:tabs>
          <w:tab w:val="left" w:pos="2160"/>
        </w:tabs>
        <w:rPr>
          <w:rFonts w:hint="default" w:ascii="Arial" w:hAnsi="Arial" w:eastAsia="宋体" w:cs="Arial"/>
          <w:b/>
          <w:sz w:val="24"/>
          <w:szCs w:val="24"/>
          <w:highlight w:val="none"/>
          <w:lang w:val="en-US" w:eastAsia="zh-CN"/>
        </w:rPr>
      </w:pPr>
      <w:bookmarkStart w:id="6" w:name="OLE_LINK9"/>
      <w:r>
        <w:rPr>
          <w:rFonts w:ascii="Arial" w:hAnsi="Arial" w:cs="Arial"/>
          <w:b/>
          <w:sz w:val="24"/>
          <w:szCs w:val="24"/>
          <w:highlight w:val="none"/>
        </w:rPr>
        <w:t>Source:</w:t>
      </w:r>
      <w:r>
        <w:rPr>
          <w:rFonts w:ascii="Arial" w:hAnsi="Arial" w:cs="Arial"/>
          <w:b/>
          <w:sz w:val="24"/>
          <w:szCs w:val="24"/>
          <w:highlight w:val="none"/>
        </w:rPr>
        <w:tab/>
      </w:r>
      <w:bookmarkStart w:id="7" w:name="OLE_LINK12"/>
      <w:r>
        <w:rPr>
          <w:rFonts w:hint="eastAsia" w:ascii="Arial" w:hAnsi="Arial" w:cs="Arial"/>
          <w:b/>
          <w:sz w:val="24"/>
          <w:szCs w:val="24"/>
          <w:highlight w:val="none"/>
        </w:rPr>
        <w:t>C</w:t>
      </w:r>
      <w:bookmarkEnd w:id="7"/>
      <w:r>
        <w:rPr>
          <w:rFonts w:hint="eastAsia" w:ascii="Arial" w:hAnsi="Arial" w:eastAsia="宋体" w:cs="Arial"/>
          <w:b/>
          <w:sz w:val="24"/>
          <w:szCs w:val="24"/>
          <w:highlight w:val="none"/>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6GR waveform</w:t>
      </w:r>
    </w:p>
    <w:p w14:paraId="11B7221F">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Document for:</w:t>
      </w:r>
      <w:r>
        <w:rPr>
          <w:rFonts w:ascii="Arial" w:hAnsi="Arial" w:cs="Arial"/>
          <w:b/>
          <w:sz w:val="24"/>
          <w:szCs w:val="24"/>
          <w:highlight w:val="none"/>
        </w:rPr>
        <w:tab/>
      </w:r>
      <w:r>
        <w:rPr>
          <w:rFonts w:hint="eastAsia" w:ascii="Arial" w:hAnsi="Arial" w:eastAsia="宋体" w:cs="Arial"/>
          <w:b/>
          <w:sz w:val="24"/>
          <w:szCs w:val="24"/>
          <w:highlight w:val="none"/>
          <w:lang w:val="en-US" w:eastAsia="zh-CN"/>
        </w:rPr>
        <w:t>Discussion</w:t>
      </w:r>
    </w:p>
    <w:p w14:paraId="4CE3F22E">
      <w:pPr>
        <w:pStyle w:val="2"/>
        <w:rPr>
          <w:highlight w:val="none"/>
        </w:rPr>
      </w:pPr>
      <w:r>
        <w:rPr>
          <w:highlight w:val="none"/>
        </w:rPr>
        <w:t>Introduction</w:t>
      </w:r>
      <w:bookmarkStart w:id="9" w:name="OLE_LINK15"/>
      <w:bookmarkStart w:id="10" w:name="OLE_LINK4"/>
    </w:p>
    <w:bookmarkEnd w:id="9"/>
    <w:bookmarkEnd w:id="10"/>
    <w:p w14:paraId="7AA3CAEE">
      <w:pPr>
        <w:spacing w:before="0"/>
        <w:jc w:val="both"/>
        <w:rPr>
          <w:rFonts w:hint="default"/>
          <w:highlight w:val="none"/>
          <w:lang w:val="en-US" w:eastAsia="zh-CN"/>
        </w:rPr>
      </w:pPr>
      <w:r>
        <w:rPr>
          <w:color w:val="000000"/>
          <w:highlight w:val="none"/>
          <w:lang w:eastAsia="zh-CN"/>
        </w:rPr>
        <w:t>I</w:t>
      </w:r>
      <w:r>
        <w:rPr>
          <w:rFonts w:hint="eastAsia"/>
          <w:color w:val="000000"/>
          <w:highlight w:val="none"/>
          <w:lang w:eastAsia="zh-CN"/>
        </w:rPr>
        <w:t xml:space="preserve">n </w:t>
      </w:r>
      <w:r>
        <w:rPr>
          <w:szCs w:val="22"/>
          <w:highlight w:val="none"/>
        </w:rPr>
        <w:t>RAN#</w:t>
      </w:r>
      <w:r>
        <w:rPr>
          <w:rFonts w:hint="eastAsia"/>
          <w:szCs w:val="22"/>
          <w:highlight w:val="none"/>
          <w:lang w:eastAsia="zh-CN"/>
        </w:rPr>
        <w:t>108</w:t>
      </w:r>
      <w:r>
        <w:rPr>
          <w:szCs w:val="22"/>
          <w:highlight w:val="none"/>
        </w:rPr>
        <w:t xml:space="preserve">, the technology study item for </w:t>
      </w:r>
      <w:r>
        <w:rPr>
          <w:rFonts w:hint="eastAsia"/>
          <w:szCs w:val="22"/>
          <w:highlight w:val="none"/>
          <w:lang w:eastAsia="zh-CN"/>
        </w:rPr>
        <w:t>6</w:t>
      </w:r>
      <w:r>
        <w:rPr>
          <w:szCs w:val="22"/>
          <w:highlight w:val="none"/>
        </w:rPr>
        <w:t>G</w:t>
      </w:r>
      <w:r>
        <w:rPr>
          <w:rFonts w:hint="eastAsia"/>
          <w:szCs w:val="22"/>
          <w:highlight w:val="none"/>
          <w:lang w:eastAsia="zh-CN"/>
        </w:rPr>
        <w:t xml:space="preserve"> radio (6GR)</w:t>
      </w:r>
      <w:r>
        <w:rPr>
          <w:szCs w:val="22"/>
          <w:highlight w:val="none"/>
        </w:rPr>
        <w:t xml:space="preserve"> has been approved</w:t>
      </w:r>
      <w:r>
        <w:rPr>
          <w:rFonts w:hint="eastAsia"/>
          <w:szCs w:val="22"/>
          <w:highlight w:val="none"/>
          <w:lang w:eastAsia="zh-CN"/>
        </w:rPr>
        <w:t xml:space="preserve"> [1]</w:t>
      </w:r>
      <w:r>
        <w:rPr>
          <w:szCs w:val="22"/>
          <w:highlight w:val="none"/>
        </w:rPr>
        <w:t xml:space="preserve">. </w:t>
      </w:r>
      <w:r>
        <w:rPr>
          <w:rFonts w:hint="eastAsia"/>
          <w:highlight w:val="none"/>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950E5B5">
      <w:pPr>
        <w:numPr>
          <w:ilvl w:val="0"/>
          <w:numId w:val="0"/>
        </w:numPr>
        <w:spacing w:after="120"/>
        <w:ind w:right="-96" w:rightChars="0"/>
        <w:jc w:val="both"/>
        <w:rPr>
          <w:rFonts w:hint="default" w:ascii="Times" w:hAnsi="Times" w:eastAsia="宋体"/>
          <w:bCs/>
          <w:highlight w:val="none"/>
          <w:lang w:val="en-US" w:eastAsia="zh-CN"/>
        </w:rPr>
      </w:pPr>
      <w:r>
        <w:rPr>
          <w:rFonts w:hint="eastAsia"/>
          <w:highlight w:val="none"/>
          <w:lang w:eastAsia="zh-CN"/>
        </w:rPr>
        <w:t xml:space="preserve">In this contribution, </w:t>
      </w:r>
      <w:r>
        <w:rPr>
          <w:rFonts w:hint="eastAsia"/>
          <w:highlight w:val="none"/>
          <w:lang w:val="en-US" w:eastAsia="zh-CN"/>
        </w:rPr>
        <w:t>we show our initial analysis on waveform and PA modelling.</w:t>
      </w:r>
    </w:p>
    <w:p w14:paraId="3C04DC75">
      <w:pPr>
        <w:pStyle w:val="2"/>
        <w:jc w:val="both"/>
        <w:rPr>
          <w:rFonts w:hint="default" w:eastAsia="宋体"/>
          <w:highlight w:val="none"/>
          <w:lang w:val="en-US" w:eastAsia="zh-CN"/>
        </w:rPr>
      </w:pPr>
      <w:bookmarkStart w:id="11" w:name="OLE_LINK3"/>
      <w:r>
        <w:rPr>
          <w:rFonts w:hint="eastAsia" w:eastAsia="宋体"/>
          <w:highlight w:val="none"/>
          <w:lang w:val="en-US" w:eastAsia="zh-CN"/>
        </w:rPr>
        <w:t>Discussion</w:t>
      </w:r>
    </w:p>
    <w:p w14:paraId="073F17B1">
      <w:pPr>
        <w:pStyle w:val="3"/>
        <w:bidi w:val="0"/>
        <w:rPr>
          <w:rFonts w:hint="eastAsia"/>
          <w:highlight w:val="none"/>
          <w:lang w:val="en-US" w:eastAsia="zh-CN"/>
        </w:rPr>
      </w:pPr>
      <w:r>
        <w:rPr>
          <w:rFonts w:hint="eastAsia"/>
          <w:highlight w:val="none"/>
          <w:lang w:val="en-US" w:eastAsia="zh-CN"/>
        </w:rPr>
        <w:t>PA modeling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81E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AA379F9">
            <w:pPr>
              <w:pStyle w:val="25"/>
              <w:numPr>
                <w:ilvl w:val="0"/>
                <w:numId w:val="2"/>
              </w:numPr>
              <w:overflowPunct/>
              <w:autoSpaceDE/>
              <w:autoSpaceDN/>
              <w:adjustRightInd/>
              <w:spacing w:after="120"/>
              <w:ind w:left="720" w:firstLineChars="0"/>
              <w:textAlignment w:val="auto"/>
              <w:rPr>
                <w:rFonts w:eastAsia="宋体"/>
                <w:szCs w:val="24"/>
                <w:highlight w:val="none"/>
                <w:lang w:eastAsia="zh-CN"/>
              </w:rPr>
            </w:pPr>
            <w:r>
              <w:rPr>
                <w:rFonts w:eastAsia="宋体"/>
                <w:szCs w:val="24"/>
                <w:highlight w:val="none"/>
                <w:lang w:eastAsia="zh-CN"/>
              </w:rPr>
              <w:t>Agreement</w:t>
            </w:r>
          </w:p>
          <w:p w14:paraId="39F39292">
            <w:pPr>
              <w:pStyle w:val="25"/>
              <w:numPr>
                <w:ilvl w:val="1"/>
                <w:numId w:val="2"/>
              </w:numPr>
              <w:spacing w:after="120"/>
              <w:ind w:firstLineChars="0"/>
              <w:jc w:val="both"/>
              <w:rPr>
                <w:rFonts w:eastAsia="宋体"/>
                <w:szCs w:val="24"/>
                <w:highlight w:val="none"/>
                <w:lang w:eastAsia="zh-CN"/>
              </w:rPr>
            </w:pPr>
            <w:r>
              <w:rPr>
                <w:rFonts w:eastAsia="宋体"/>
                <w:szCs w:val="24"/>
                <w:highlight w:val="none"/>
                <w:lang w:eastAsia="zh-CN"/>
              </w:rPr>
              <w:t xml:space="preserve">Consider </w:t>
            </w:r>
            <w:r>
              <w:rPr>
                <w:rFonts w:hint="eastAsia" w:eastAsia="宋体"/>
                <w:szCs w:val="24"/>
                <w:highlight w:val="none"/>
                <w:lang w:eastAsia="zh-CN"/>
              </w:rPr>
              <w:t>P</w:t>
            </w:r>
            <w:r>
              <w:rPr>
                <w:rFonts w:eastAsia="宋体"/>
                <w:szCs w:val="24"/>
                <w:highlight w:val="none"/>
                <w:lang w:eastAsia="zh-CN"/>
              </w:rPr>
              <w:t>A modelling at least for the following aspects for RAN4 discussion</w:t>
            </w:r>
          </w:p>
          <w:p w14:paraId="4DA88431">
            <w:pPr>
              <w:pStyle w:val="25"/>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M</w:t>
            </w:r>
            <w:r>
              <w:rPr>
                <w:rFonts w:eastAsia="宋体"/>
                <w:szCs w:val="24"/>
                <w:highlight w:val="none"/>
                <w:lang w:eastAsia="zh-CN"/>
              </w:rPr>
              <w:t>emory effects for UE supporting larger CBW</w:t>
            </w:r>
          </w:p>
          <w:p w14:paraId="52229941">
            <w:pPr>
              <w:pStyle w:val="25"/>
              <w:numPr>
                <w:ilvl w:val="2"/>
                <w:numId w:val="2"/>
              </w:numPr>
              <w:spacing w:after="120"/>
              <w:ind w:firstLineChars="0"/>
              <w:jc w:val="both"/>
              <w:rPr>
                <w:rFonts w:eastAsia="宋体"/>
                <w:szCs w:val="24"/>
                <w:highlight w:val="none"/>
                <w:lang w:eastAsia="zh-CN"/>
              </w:rPr>
            </w:pPr>
            <w:r>
              <w:rPr>
                <w:rFonts w:eastAsia="宋体"/>
                <w:szCs w:val="24"/>
                <w:highlight w:val="none"/>
                <w:lang w:eastAsia="zh-CN"/>
              </w:rPr>
              <w:t>Different PA models for different sub-frequency ranges, e.g. around 7GHz (high priority, PC3/PC2) and lower frequency bands (PC3)</w:t>
            </w:r>
          </w:p>
          <w:p w14:paraId="5B8D27E5">
            <w:pPr>
              <w:pStyle w:val="25"/>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C</w:t>
            </w:r>
            <w:r>
              <w:rPr>
                <w:rFonts w:eastAsia="宋体"/>
                <w:szCs w:val="24"/>
                <w:highlight w:val="none"/>
                <w:lang w:eastAsia="zh-CN"/>
              </w:rPr>
              <w:t xml:space="preserve">alibration conditions </w:t>
            </w:r>
          </w:p>
          <w:p w14:paraId="2CBC9C2D">
            <w:pPr>
              <w:pStyle w:val="25"/>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R</w:t>
            </w:r>
            <w:r>
              <w:rPr>
                <w:rFonts w:eastAsia="宋体"/>
                <w:szCs w:val="24"/>
                <w:highlight w:val="none"/>
                <w:lang w:eastAsia="zh-CN"/>
              </w:rPr>
              <w:t>F impairments used for MPR evaluation, e.g. carrier leakage, I/Q imbalance, etc.</w:t>
            </w:r>
          </w:p>
          <w:p w14:paraId="7D1D02A8">
            <w:pPr>
              <w:pStyle w:val="25"/>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P</w:t>
            </w:r>
            <w:r>
              <w:rPr>
                <w:rFonts w:eastAsia="宋体"/>
                <w:szCs w:val="24"/>
                <w:highlight w:val="none"/>
                <w:lang w:eastAsia="zh-CN"/>
              </w:rPr>
              <w:t>A models for different device types, handheld UE is prioritized</w:t>
            </w:r>
          </w:p>
          <w:p w14:paraId="1F24B480">
            <w:pPr>
              <w:pStyle w:val="25"/>
              <w:numPr>
                <w:ilvl w:val="2"/>
                <w:numId w:val="2"/>
              </w:numPr>
              <w:spacing w:after="120"/>
              <w:ind w:firstLineChars="0"/>
              <w:jc w:val="both"/>
              <w:rPr>
                <w:rFonts w:eastAsia="宋体"/>
                <w:szCs w:val="24"/>
                <w:highlight w:val="none"/>
                <w:lang w:eastAsia="zh-CN"/>
              </w:rPr>
            </w:pPr>
            <w:r>
              <w:rPr>
                <w:rFonts w:hint="eastAsia" w:eastAsia="宋体"/>
                <w:szCs w:val="24"/>
                <w:highlight w:val="none"/>
                <w:lang w:eastAsia="zh-CN"/>
              </w:rPr>
              <w:t>A</w:t>
            </w:r>
            <w:r>
              <w:rPr>
                <w:rFonts w:eastAsia="宋体"/>
                <w:szCs w:val="24"/>
                <w:highlight w:val="none"/>
                <w:lang w:eastAsia="zh-CN"/>
              </w:rPr>
              <w:t>pplicable requirements</w:t>
            </w:r>
          </w:p>
          <w:p w14:paraId="02EE043F">
            <w:pPr>
              <w:pStyle w:val="25"/>
              <w:numPr>
                <w:ilvl w:val="3"/>
                <w:numId w:val="2"/>
              </w:numPr>
              <w:spacing w:after="120"/>
              <w:ind w:firstLineChars="0"/>
              <w:jc w:val="both"/>
              <w:rPr>
                <w:rFonts w:eastAsia="宋体"/>
                <w:szCs w:val="24"/>
                <w:highlight w:val="none"/>
                <w:lang w:eastAsia="zh-CN"/>
              </w:rPr>
            </w:pPr>
            <w:r>
              <w:rPr>
                <w:rFonts w:hint="eastAsia" w:eastAsia="宋体"/>
                <w:szCs w:val="24"/>
                <w:highlight w:val="none"/>
                <w:lang w:eastAsia="zh-CN"/>
              </w:rPr>
              <w:t>5</w:t>
            </w:r>
            <w:r>
              <w:rPr>
                <w:rFonts w:eastAsia="宋体"/>
                <w:szCs w:val="24"/>
                <w:highlight w:val="none"/>
                <w:lang w:eastAsia="zh-CN"/>
              </w:rPr>
              <w:t>G-A requirements as starting point</w:t>
            </w:r>
          </w:p>
          <w:p w14:paraId="3E7D5B7A">
            <w:pPr>
              <w:pStyle w:val="25"/>
              <w:numPr>
                <w:ilvl w:val="2"/>
                <w:numId w:val="2"/>
              </w:numPr>
              <w:spacing w:after="120"/>
              <w:ind w:firstLineChars="0"/>
              <w:jc w:val="both"/>
              <w:rPr>
                <w:rFonts w:hint="eastAsia"/>
                <w:highlight w:val="none"/>
                <w:vertAlign w:val="baseline"/>
                <w:lang w:val="en-US" w:eastAsia="zh-CN"/>
              </w:rPr>
            </w:pPr>
            <w:r>
              <w:rPr>
                <w:rFonts w:hint="eastAsia" w:eastAsia="宋体"/>
                <w:szCs w:val="24"/>
                <w:highlight w:val="none"/>
                <w:lang w:eastAsia="zh-CN"/>
              </w:rPr>
              <w:t>P</w:t>
            </w:r>
            <w:r>
              <w:rPr>
                <w:rFonts w:eastAsia="宋体"/>
                <w:szCs w:val="24"/>
                <w:highlight w:val="none"/>
                <w:lang w:eastAsia="zh-CN"/>
              </w:rPr>
              <w:t>A models for RAN1 waveform evaluation and RAN4 requirements discussion can be decoupled</w:t>
            </w:r>
          </w:p>
        </w:tc>
      </w:tr>
    </w:tbl>
    <w:p w14:paraId="3A052186">
      <w:pPr>
        <w:rPr>
          <w:rFonts w:hint="eastAsia"/>
          <w:highlight w:val="none"/>
          <w:lang w:val="en-US" w:eastAsia="zh-CN"/>
        </w:rPr>
      </w:pPr>
    </w:p>
    <w:p w14:paraId="5C6D3DF1">
      <w:pPr>
        <w:rPr>
          <w:rFonts w:hint="eastAsia"/>
          <w:highlight w:val="none"/>
          <w:lang w:val="en-US" w:eastAsia="zh-CN"/>
        </w:rPr>
      </w:pPr>
      <w:r>
        <w:rPr>
          <w:rFonts w:hint="eastAsia"/>
          <w:highlight w:val="none"/>
          <w:lang w:val="en-US" w:eastAsia="zh-CN"/>
        </w:rPr>
        <w:t xml:space="preserve">PA modeling will be used for RF front end non-linearity simulation, e.g. MPR requirement analysis and as the baseline for RF AI analysis. In 5G phase, polynomial PA modeling is widely used among different work items but lack of detailed analysis of the difference from commercial PA device. Some companies also use actual testing data for MPR requirements analysis but without unified PA modeling. </w:t>
      </w:r>
    </w:p>
    <w:p w14:paraId="464BEFB1">
      <w:pPr>
        <w:rPr>
          <w:rFonts w:hint="eastAsia"/>
          <w:highlight w:val="none"/>
          <w:lang w:val="en-US" w:eastAsia="zh-CN"/>
        </w:rPr>
      </w:pPr>
      <w:r>
        <w:rPr>
          <w:rFonts w:hint="eastAsia"/>
          <w:highlight w:val="none"/>
          <w:lang w:val="en-US" w:eastAsia="zh-CN"/>
        </w:rPr>
        <w:t>For 6G, higher PAE with lower power consumption is required, following add some solutions for 6G higher PAE with corresponding drawbacks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4184"/>
        <w:gridCol w:w="3285"/>
      </w:tblGrid>
      <w:tr w14:paraId="2C4B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tcPr>
          <w:p w14:paraId="2F5EFAC3">
            <w:pPr>
              <w:rPr>
                <w:rFonts w:hint="default"/>
                <w:highlight w:val="none"/>
                <w:vertAlign w:val="baseline"/>
                <w:lang w:val="en-US" w:eastAsia="zh-CN"/>
              </w:rPr>
            </w:pPr>
            <w:r>
              <w:rPr>
                <w:rFonts w:hint="eastAsia"/>
                <w:highlight w:val="none"/>
                <w:vertAlign w:val="baseline"/>
                <w:lang w:val="en-US" w:eastAsia="zh-CN"/>
              </w:rPr>
              <w:t>target</w:t>
            </w:r>
          </w:p>
        </w:tc>
        <w:tc>
          <w:tcPr>
            <w:tcW w:w="4184" w:type="dxa"/>
          </w:tcPr>
          <w:p w14:paraId="2BED61DF">
            <w:pPr>
              <w:rPr>
                <w:rFonts w:hint="default"/>
                <w:highlight w:val="none"/>
                <w:vertAlign w:val="baseline"/>
                <w:lang w:val="en-US" w:eastAsia="zh-CN"/>
              </w:rPr>
            </w:pPr>
            <w:r>
              <w:rPr>
                <w:rFonts w:hint="eastAsia"/>
                <w:highlight w:val="none"/>
                <w:vertAlign w:val="baseline"/>
                <w:lang w:val="en-US" w:eastAsia="zh-CN"/>
              </w:rPr>
              <w:t>technology</w:t>
            </w:r>
          </w:p>
        </w:tc>
        <w:tc>
          <w:tcPr>
            <w:tcW w:w="3285" w:type="dxa"/>
          </w:tcPr>
          <w:p w14:paraId="0D6BA2CC">
            <w:pPr>
              <w:rPr>
                <w:rFonts w:hint="default"/>
                <w:highlight w:val="none"/>
                <w:vertAlign w:val="baseline"/>
                <w:lang w:val="en-US" w:eastAsia="zh-CN"/>
              </w:rPr>
            </w:pPr>
            <w:r>
              <w:rPr>
                <w:rFonts w:hint="eastAsia"/>
                <w:highlight w:val="none"/>
                <w:vertAlign w:val="baseline"/>
                <w:lang w:val="en-US" w:eastAsia="zh-CN"/>
              </w:rPr>
              <w:t>drawbacks</w:t>
            </w:r>
          </w:p>
        </w:tc>
      </w:tr>
      <w:tr w14:paraId="4A0C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restart"/>
            <w:vAlign w:val="center"/>
          </w:tcPr>
          <w:p w14:paraId="69268013">
            <w:pPr>
              <w:jc w:val="left"/>
              <w:rPr>
                <w:rFonts w:hint="default"/>
                <w:highlight w:val="none"/>
                <w:vertAlign w:val="baseline"/>
                <w:lang w:val="en-US" w:eastAsia="zh-CN"/>
              </w:rPr>
            </w:pPr>
            <w:r>
              <w:rPr>
                <w:rFonts w:hint="eastAsia"/>
                <w:highlight w:val="none"/>
                <w:vertAlign w:val="baseline"/>
                <w:lang w:val="en-US" w:eastAsia="zh-CN"/>
              </w:rPr>
              <w:t>High PAE</w:t>
            </w:r>
          </w:p>
        </w:tc>
        <w:tc>
          <w:tcPr>
            <w:tcW w:w="4184" w:type="dxa"/>
          </w:tcPr>
          <w:p w14:paraId="49EAEFA8">
            <w:pPr>
              <w:rPr>
                <w:rFonts w:hint="default"/>
                <w:highlight w:val="none"/>
                <w:vertAlign w:val="baseline"/>
                <w:lang w:val="en-US" w:eastAsia="zh-CN"/>
              </w:rPr>
            </w:pPr>
            <w:r>
              <w:rPr>
                <w:rFonts w:hint="eastAsia"/>
                <w:highlight w:val="none"/>
                <w:vertAlign w:val="baseline"/>
                <w:lang w:val="en-US" w:eastAsia="zh-CN"/>
              </w:rPr>
              <w:t>Higher Vcc supply</w:t>
            </w:r>
          </w:p>
        </w:tc>
        <w:tc>
          <w:tcPr>
            <w:tcW w:w="3285" w:type="dxa"/>
          </w:tcPr>
          <w:p w14:paraId="5551F81D">
            <w:pPr>
              <w:rPr>
                <w:rFonts w:hint="eastAsia"/>
                <w:highlight w:val="none"/>
                <w:vertAlign w:val="baseline"/>
                <w:lang w:val="en-US" w:eastAsia="zh-CN"/>
              </w:rPr>
            </w:pPr>
            <w:r>
              <w:rPr>
                <w:rFonts w:hint="eastAsia"/>
                <w:highlight w:val="none"/>
                <w:vertAlign w:val="baseline"/>
                <w:lang w:val="en-US" w:eastAsia="zh-CN"/>
              </w:rPr>
              <w:t>Need DC-DC boost</w:t>
            </w:r>
          </w:p>
          <w:p w14:paraId="3A8E6247">
            <w:pPr>
              <w:rPr>
                <w:rFonts w:hint="default"/>
                <w:highlight w:val="none"/>
                <w:vertAlign w:val="baseline"/>
                <w:lang w:val="en-US" w:eastAsia="zh-CN"/>
              </w:rPr>
            </w:pPr>
            <w:r>
              <w:rPr>
                <w:rFonts w:hint="eastAsia"/>
                <w:highlight w:val="none"/>
                <w:vertAlign w:val="baseline"/>
                <w:lang w:val="en-US" w:eastAsia="zh-CN"/>
              </w:rPr>
              <w:t>The most effective solution based on a comprehensive comparison</w:t>
            </w:r>
          </w:p>
        </w:tc>
      </w:tr>
      <w:tr w14:paraId="2615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653B3F27">
            <w:pPr>
              <w:rPr>
                <w:rFonts w:hint="default"/>
                <w:highlight w:val="none"/>
                <w:vertAlign w:val="baseline"/>
                <w:lang w:val="en-US" w:eastAsia="zh-CN"/>
              </w:rPr>
            </w:pPr>
          </w:p>
        </w:tc>
        <w:tc>
          <w:tcPr>
            <w:tcW w:w="4184" w:type="dxa"/>
          </w:tcPr>
          <w:p w14:paraId="30C6141A">
            <w:pPr>
              <w:rPr>
                <w:rFonts w:hint="default"/>
                <w:highlight w:val="none"/>
                <w:vertAlign w:val="baseline"/>
                <w:lang w:val="en-US" w:eastAsia="zh-CN"/>
              </w:rPr>
            </w:pPr>
            <w:r>
              <w:rPr>
                <w:rFonts w:hint="eastAsia"/>
                <w:highlight w:val="none"/>
                <w:vertAlign w:val="baseline"/>
                <w:lang w:val="en-US" w:eastAsia="zh-CN"/>
              </w:rPr>
              <w:t xml:space="preserve">ET PA </w:t>
            </w:r>
          </w:p>
        </w:tc>
        <w:tc>
          <w:tcPr>
            <w:tcW w:w="3285" w:type="dxa"/>
          </w:tcPr>
          <w:p w14:paraId="08A6FD12">
            <w:pPr>
              <w:rPr>
                <w:rFonts w:hint="eastAsia"/>
                <w:highlight w:val="none"/>
                <w:vertAlign w:val="baseline"/>
                <w:lang w:val="en-US" w:eastAsia="zh-CN"/>
              </w:rPr>
            </w:pPr>
            <w:r>
              <w:rPr>
                <w:rFonts w:hint="eastAsia"/>
                <w:highlight w:val="none"/>
                <w:vertAlign w:val="baseline"/>
                <w:lang w:val="en-US" w:eastAsia="zh-CN"/>
              </w:rPr>
              <w:t>ET PA needs high efficiency ET modulator</w:t>
            </w:r>
          </w:p>
          <w:p w14:paraId="3613BB55">
            <w:pPr>
              <w:rPr>
                <w:rFonts w:hint="default"/>
                <w:highlight w:val="none"/>
                <w:vertAlign w:val="baseline"/>
                <w:lang w:val="en-US" w:eastAsia="zh-CN"/>
              </w:rPr>
            </w:pPr>
            <w:r>
              <w:rPr>
                <w:rFonts w:hint="eastAsia"/>
                <w:highlight w:val="none"/>
                <w:vertAlign w:val="baseline"/>
                <w:lang w:val="en-US" w:eastAsia="zh-CN"/>
              </w:rPr>
              <w:t>ET PA can</w:t>
            </w:r>
            <w:r>
              <w:rPr>
                <w:rFonts w:hint="default"/>
                <w:highlight w:val="none"/>
                <w:vertAlign w:val="baseline"/>
                <w:lang w:val="en-US" w:eastAsia="zh-CN"/>
              </w:rPr>
              <w:t>’</w:t>
            </w:r>
            <w:r>
              <w:rPr>
                <w:rFonts w:hint="eastAsia"/>
                <w:highlight w:val="none"/>
                <w:vertAlign w:val="baseline"/>
                <w:lang w:val="en-US" w:eastAsia="zh-CN"/>
              </w:rPr>
              <w:t>t support larger than 100MHz</w:t>
            </w:r>
          </w:p>
        </w:tc>
      </w:tr>
      <w:tr w14:paraId="4F99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1086AF9B">
            <w:pPr>
              <w:rPr>
                <w:rFonts w:hint="default"/>
                <w:highlight w:val="none"/>
                <w:vertAlign w:val="baseline"/>
                <w:lang w:val="en-US" w:eastAsia="zh-CN"/>
              </w:rPr>
            </w:pPr>
          </w:p>
        </w:tc>
        <w:tc>
          <w:tcPr>
            <w:tcW w:w="4184" w:type="dxa"/>
          </w:tcPr>
          <w:p w14:paraId="28AE72B9">
            <w:pPr>
              <w:rPr>
                <w:rFonts w:hint="default"/>
                <w:highlight w:val="none"/>
                <w:vertAlign w:val="baseline"/>
                <w:lang w:val="en-US" w:eastAsia="zh-CN"/>
              </w:rPr>
            </w:pPr>
            <w:r>
              <w:rPr>
                <w:rFonts w:hint="eastAsia"/>
                <w:highlight w:val="none"/>
                <w:vertAlign w:val="baseline"/>
                <w:lang w:val="en-US" w:eastAsia="zh-CN"/>
              </w:rPr>
              <w:t>High accuracy APT PA</w:t>
            </w:r>
          </w:p>
        </w:tc>
        <w:tc>
          <w:tcPr>
            <w:tcW w:w="3285" w:type="dxa"/>
          </w:tcPr>
          <w:p w14:paraId="4468BB6B">
            <w:pPr>
              <w:rPr>
                <w:rFonts w:hint="default"/>
                <w:highlight w:val="none"/>
                <w:vertAlign w:val="baseline"/>
                <w:lang w:val="en-US" w:eastAsia="zh-CN"/>
              </w:rPr>
            </w:pPr>
            <w:r>
              <w:rPr>
                <w:rFonts w:hint="eastAsia"/>
                <w:highlight w:val="none"/>
                <w:vertAlign w:val="baseline"/>
                <w:lang w:val="en-US" w:eastAsia="zh-CN"/>
              </w:rPr>
              <w:t>Further study how to model it with PA modeling.</w:t>
            </w:r>
          </w:p>
        </w:tc>
      </w:tr>
      <w:tr w14:paraId="55C4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655F43F8">
            <w:pPr>
              <w:rPr>
                <w:rFonts w:hint="default"/>
                <w:highlight w:val="none"/>
                <w:vertAlign w:val="baseline"/>
                <w:lang w:val="en-US" w:eastAsia="zh-CN"/>
              </w:rPr>
            </w:pPr>
          </w:p>
        </w:tc>
        <w:tc>
          <w:tcPr>
            <w:tcW w:w="4184" w:type="dxa"/>
          </w:tcPr>
          <w:p w14:paraId="0F2312E3">
            <w:pPr>
              <w:rPr>
                <w:rFonts w:hint="default"/>
                <w:highlight w:val="none"/>
                <w:vertAlign w:val="baseline"/>
                <w:lang w:val="en-US" w:eastAsia="zh-CN"/>
              </w:rPr>
            </w:pPr>
            <w:r>
              <w:rPr>
                <w:rFonts w:hint="eastAsia"/>
                <w:highlight w:val="none"/>
                <w:vertAlign w:val="baseline"/>
                <w:lang w:val="en-US" w:eastAsia="zh-CN"/>
              </w:rPr>
              <w:t>Increase PA load-line</w:t>
            </w:r>
          </w:p>
        </w:tc>
        <w:tc>
          <w:tcPr>
            <w:tcW w:w="3285" w:type="dxa"/>
          </w:tcPr>
          <w:p w14:paraId="755AFA08">
            <w:pPr>
              <w:rPr>
                <w:rFonts w:hint="default"/>
                <w:highlight w:val="none"/>
                <w:vertAlign w:val="baseline"/>
                <w:lang w:val="en-US" w:eastAsia="zh-CN"/>
              </w:rPr>
            </w:pPr>
            <w:r>
              <w:rPr>
                <w:rFonts w:hint="eastAsia"/>
                <w:highlight w:val="none"/>
                <w:vertAlign w:val="baseline"/>
                <w:lang w:val="en-US" w:eastAsia="zh-CN"/>
              </w:rPr>
              <w:t>Needs increase Vcc for higher output power but the enhancement is limited</w:t>
            </w:r>
          </w:p>
        </w:tc>
      </w:tr>
      <w:tr w14:paraId="1DA7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2E52C065">
            <w:pPr>
              <w:rPr>
                <w:rFonts w:hint="default"/>
                <w:highlight w:val="none"/>
                <w:vertAlign w:val="baseline"/>
                <w:lang w:val="en-US" w:eastAsia="zh-CN"/>
              </w:rPr>
            </w:pPr>
          </w:p>
        </w:tc>
        <w:tc>
          <w:tcPr>
            <w:tcW w:w="4184" w:type="dxa"/>
          </w:tcPr>
          <w:p w14:paraId="1892BD29">
            <w:pPr>
              <w:rPr>
                <w:rFonts w:hint="default"/>
                <w:highlight w:val="none"/>
                <w:vertAlign w:val="baseline"/>
                <w:lang w:val="en-US" w:eastAsia="zh-CN"/>
              </w:rPr>
            </w:pPr>
            <w:r>
              <w:rPr>
                <w:rFonts w:hint="eastAsia"/>
                <w:highlight w:val="none"/>
                <w:vertAlign w:val="baseline"/>
                <w:lang w:val="en-US" w:eastAsia="zh-CN"/>
              </w:rPr>
              <w:t>Push-Pull or Doherty PA</w:t>
            </w:r>
          </w:p>
        </w:tc>
        <w:tc>
          <w:tcPr>
            <w:tcW w:w="3285" w:type="dxa"/>
          </w:tcPr>
          <w:p w14:paraId="4998353A">
            <w:pPr>
              <w:rPr>
                <w:rFonts w:hint="default"/>
                <w:highlight w:val="none"/>
                <w:vertAlign w:val="baseline"/>
                <w:lang w:val="en-US" w:eastAsia="zh-CN"/>
              </w:rPr>
            </w:pPr>
            <w:r>
              <w:rPr>
                <w:rFonts w:hint="eastAsia"/>
                <w:highlight w:val="none"/>
                <w:vertAlign w:val="baseline"/>
                <w:lang w:val="en-US" w:eastAsia="zh-CN"/>
              </w:rPr>
              <w:t>Induce linearity issues, no use for current &lt;6GHz UE</w:t>
            </w:r>
          </w:p>
        </w:tc>
      </w:tr>
      <w:tr w14:paraId="18B4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tcPr>
          <w:p w14:paraId="3C0100F9">
            <w:pPr>
              <w:rPr>
                <w:rFonts w:hint="default"/>
                <w:highlight w:val="none"/>
                <w:vertAlign w:val="baseline"/>
                <w:lang w:val="en-US" w:eastAsia="zh-CN"/>
              </w:rPr>
            </w:pPr>
            <w:r>
              <w:rPr>
                <w:rFonts w:hint="eastAsia"/>
                <w:highlight w:val="none"/>
                <w:vertAlign w:val="baseline"/>
                <w:lang w:val="en-US" w:eastAsia="zh-CN"/>
              </w:rPr>
              <w:t>High linearity</w:t>
            </w:r>
          </w:p>
        </w:tc>
        <w:tc>
          <w:tcPr>
            <w:tcW w:w="4184" w:type="dxa"/>
          </w:tcPr>
          <w:p w14:paraId="4349C23D">
            <w:pPr>
              <w:rPr>
                <w:rFonts w:hint="default"/>
                <w:highlight w:val="none"/>
                <w:vertAlign w:val="baseline"/>
                <w:lang w:val="en-US" w:eastAsia="zh-CN"/>
              </w:rPr>
            </w:pPr>
            <w:r>
              <w:rPr>
                <w:rFonts w:hint="eastAsia"/>
                <w:highlight w:val="none"/>
                <w:vertAlign w:val="baseline"/>
                <w:lang w:val="en-US" w:eastAsia="zh-CN"/>
              </w:rPr>
              <w:t>DPD</w:t>
            </w:r>
          </w:p>
        </w:tc>
        <w:tc>
          <w:tcPr>
            <w:tcW w:w="3285" w:type="dxa"/>
          </w:tcPr>
          <w:p w14:paraId="4DC87680">
            <w:pPr>
              <w:rPr>
                <w:rFonts w:hint="default"/>
                <w:highlight w:val="none"/>
                <w:vertAlign w:val="baseline"/>
                <w:lang w:val="en-US" w:eastAsia="zh-CN"/>
              </w:rPr>
            </w:pPr>
            <w:r>
              <w:rPr>
                <w:rFonts w:hint="eastAsia"/>
                <w:highlight w:val="none"/>
                <w:vertAlign w:val="baseline"/>
                <w:lang w:val="en-US" w:eastAsia="zh-CN"/>
              </w:rPr>
              <w:t>Adapt the separate Rx chain and DPD algorithm</w:t>
            </w:r>
          </w:p>
        </w:tc>
      </w:tr>
    </w:tbl>
    <w:p w14:paraId="491F45E6">
      <w:pPr>
        <w:rPr>
          <w:rFonts w:hint="default"/>
          <w:highlight w:val="none"/>
          <w:lang w:val="en-US" w:eastAsia="zh-CN"/>
        </w:rPr>
      </w:pPr>
    </w:p>
    <w:p w14:paraId="309C0A24">
      <w:pPr>
        <w:rPr>
          <w:rFonts w:hint="default"/>
          <w:b/>
          <w:bCs/>
          <w:highlight w:val="none"/>
          <w:lang w:val="en-US" w:eastAsia="zh-CN"/>
        </w:rPr>
      </w:pPr>
      <w:r>
        <w:rPr>
          <w:rFonts w:hint="eastAsia"/>
          <w:b/>
          <w:bCs/>
          <w:highlight w:val="none"/>
          <w:lang w:val="en-US" w:eastAsia="zh-CN"/>
        </w:rPr>
        <w:t>Observation 1: above list the candidate solutions to enhanced PA PAE and linearity performance with corresponding drawbacks, among which, higher Vcc supply seems like the most effective solutions.</w:t>
      </w:r>
    </w:p>
    <w:p w14:paraId="726F9271">
      <w:pPr>
        <w:rPr>
          <w:rFonts w:hint="eastAsia"/>
          <w:b w:val="0"/>
          <w:bCs w:val="0"/>
          <w:highlight w:val="none"/>
          <w:lang w:val="en-US" w:eastAsia="zh-CN"/>
        </w:rPr>
      </w:pPr>
      <w:r>
        <w:rPr>
          <w:rFonts w:hint="eastAsia"/>
          <w:b w:val="0"/>
          <w:bCs w:val="0"/>
          <w:highlight w:val="none"/>
          <w:lang w:val="en-US" w:eastAsia="zh-CN"/>
        </w:rPr>
        <w:t>For max 100MHz bandwidth, legacy NR ignore the memory effect. Now RAN1 approved to support max 400MHz at BS side and FFS for UE to support such CBW. 400MHz CBW will induce more memory effect which can</w:t>
      </w:r>
      <w:r>
        <w:rPr>
          <w:rFonts w:hint="default"/>
          <w:b w:val="0"/>
          <w:bCs w:val="0"/>
          <w:highlight w:val="none"/>
          <w:lang w:val="en-US" w:eastAsia="zh-CN"/>
        </w:rPr>
        <w:t>’</w:t>
      </w:r>
      <w:r>
        <w:rPr>
          <w:rFonts w:hint="eastAsia"/>
          <w:b w:val="0"/>
          <w:bCs w:val="0"/>
          <w:highlight w:val="none"/>
          <w:lang w:val="en-US" w:eastAsia="zh-CN"/>
        </w:rPr>
        <w:t>t be ignored for PA modelling, further more, 400MHz CBW will induce more power consumption in DPD processing.</w:t>
      </w:r>
    </w:p>
    <w:p w14:paraId="4D2B4404">
      <w:pPr>
        <w:rPr>
          <w:rFonts w:hint="eastAsia"/>
          <w:b/>
          <w:bCs/>
          <w:highlight w:val="none"/>
          <w:lang w:val="en-US" w:eastAsia="zh-CN"/>
        </w:rPr>
      </w:pPr>
      <w:r>
        <w:rPr>
          <w:rFonts w:hint="eastAsia"/>
          <w:b/>
          <w:bCs/>
          <w:highlight w:val="none"/>
          <w:lang w:val="en-US" w:eastAsia="zh-CN"/>
        </w:rPr>
        <w:t>Observation 2: when UE support max 400MHz CBW, the memory effect should be taken into consideration for PA modeling.</w:t>
      </w:r>
    </w:p>
    <w:p w14:paraId="00C3043E">
      <w:pPr>
        <w:rPr>
          <w:rFonts w:hint="eastAsia"/>
          <w:b w:val="0"/>
          <w:bCs w:val="0"/>
          <w:highlight w:val="none"/>
          <w:lang w:val="en-US" w:eastAsia="zh-CN"/>
        </w:rPr>
      </w:pPr>
      <w:r>
        <w:rPr>
          <w:rFonts w:hint="eastAsia"/>
          <w:b w:val="0"/>
          <w:bCs w:val="0"/>
          <w:highlight w:val="none"/>
          <w:lang w:val="en-US" w:eastAsia="zh-CN"/>
        </w:rPr>
        <w:t>The PA model will impact ACLR, MPR, A-MPR, etc. Last meeting WF suggest to list the RF impairment for MPR evaluation. Following list the assumption for 5G/LTE MPR evaluation which can be used as the baseline for further enhancements.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4"/>
        <w:gridCol w:w="3285"/>
        <w:gridCol w:w="3285"/>
      </w:tblGrid>
      <w:tr w14:paraId="11A5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52850E08">
            <w:pPr>
              <w:rPr>
                <w:rFonts w:hint="default"/>
                <w:b w:val="0"/>
                <w:bCs w:val="0"/>
                <w:highlight w:val="none"/>
                <w:vertAlign w:val="baseline"/>
                <w:lang w:val="en-US" w:eastAsia="zh-CN"/>
              </w:rPr>
            </w:pPr>
          </w:p>
        </w:tc>
        <w:tc>
          <w:tcPr>
            <w:tcW w:w="3285" w:type="dxa"/>
          </w:tcPr>
          <w:p w14:paraId="01507393">
            <w:pPr>
              <w:rPr>
                <w:rFonts w:hint="default"/>
                <w:b w:val="0"/>
                <w:bCs w:val="0"/>
                <w:highlight w:val="none"/>
                <w:vertAlign w:val="baseline"/>
                <w:lang w:val="en-US" w:eastAsia="zh-CN"/>
              </w:rPr>
            </w:pPr>
            <w:r>
              <w:rPr>
                <w:rFonts w:hint="eastAsia"/>
                <w:b w:val="0"/>
                <w:bCs w:val="0"/>
                <w:highlight w:val="none"/>
                <w:vertAlign w:val="baseline"/>
                <w:lang w:val="en-US" w:eastAsia="zh-CN"/>
              </w:rPr>
              <w:t>NR</w:t>
            </w:r>
          </w:p>
        </w:tc>
        <w:tc>
          <w:tcPr>
            <w:tcW w:w="3285" w:type="dxa"/>
          </w:tcPr>
          <w:p w14:paraId="2B267261">
            <w:pPr>
              <w:rPr>
                <w:rFonts w:hint="default"/>
                <w:b w:val="0"/>
                <w:bCs w:val="0"/>
                <w:highlight w:val="none"/>
                <w:vertAlign w:val="baseline"/>
                <w:lang w:val="en-US" w:eastAsia="zh-CN"/>
              </w:rPr>
            </w:pPr>
            <w:r>
              <w:rPr>
                <w:rFonts w:hint="eastAsia"/>
                <w:b w:val="0"/>
                <w:bCs w:val="0"/>
                <w:highlight w:val="none"/>
                <w:vertAlign w:val="baseline"/>
                <w:lang w:val="en-US" w:eastAsia="zh-CN"/>
              </w:rPr>
              <w:t>LTE</w:t>
            </w:r>
          </w:p>
        </w:tc>
      </w:tr>
      <w:tr w14:paraId="604C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70D66F71">
            <w:pPr>
              <w:rPr>
                <w:rFonts w:hint="default"/>
                <w:b w:val="0"/>
                <w:bCs w:val="0"/>
                <w:highlight w:val="none"/>
                <w:vertAlign w:val="baseline"/>
                <w:lang w:val="en-US" w:eastAsia="zh-CN"/>
              </w:rPr>
            </w:pPr>
            <w:r>
              <w:rPr>
                <w:rFonts w:hint="eastAsia"/>
                <w:b w:val="0"/>
                <w:bCs w:val="0"/>
                <w:highlight w:val="none"/>
                <w:vertAlign w:val="baseline"/>
                <w:lang w:val="en-US" w:eastAsia="zh-CN"/>
              </w:rPr>
              <w:t>IQ suppression</w:t>
            </w:r>
          </w:p>
        </w:tc>
        <w:tc>
          <w:tcPr>
            <w:tcW w:w="3285" w:type="dxa"/>
          </w:tcPr>
          <w:p w14:paraId="2803B9D1">
            <w:pPr>
              <w:rPr>
                <w:rFonts w:hint="default"/>
                <w:b w:val="0"/>
                <w:bCs w:val="0"/>
                <w:highlight w:val="none"/>
                <w:vertAlign w:val="baseline"/>
                <w:lang w:val="en-US" w:eastAsia="zh-CN"/>
              </w:rPr>
            </w:pPr>
            <w:r>
              <w:rPr>
                <w:rFonts w:hint="eastAsia"/>
                <w:b w:val="0"/>
                <w:bCs w:val="0"/>
                <w:highlight w:val="none"/>
                <w:vertAlign w:val="baseline"/>
                <w:lang w:val="en-US" w:eastAsia="zh-CN"/>
              </w:rPr>
              <w:t>28dBc</w:t>
            </w:r>
          </w:p>
        </w:tc>
        <w:tc>
          <w:tcPr>
            <w:tcW w:w="3285" w:type="dxa"/>
            <w:vAlign w:val="top"/>
          </w:tcPr>
          <w:p w14:paraId="372DA065">
            <w:pPr>
              <w:rPr>
                <w:rFonts w:hint="default"/>
                <w:b w:val="0"/>
                <w:bCs w:val="0"/>
                <w:highlight w:val="none"/>
                <w:vertAlign w:val="baseline"/>
                <w:lang w:val="en-US" w:eastAsia="zh-CN"/>
              </w:rPr>
            </w:pPr>
            <w:r>
              <w:rPr>
                <w:rFonts w:hint="eastAsia"/>
                <w:b w:val="0"/>
                <w:bCs w:val="0"/>
                <w:highlight w:val="none"/>
                <w:vertAlign w:val="baseline"/>
                <w:lang w:val="en-US" w:eastAsia="zh-CN"/>
              </w:rPr>
              <w:t>25dBc</w:t>
            </w:r>
          </w:p>
        </w:tc>
      </w:tr>
      <w:tr w14:paraId="11D3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24A5AF87">
            <w:pPr>
              <w:rPr>
                <w:rFonts w:hint="default"/>
                <w:b w:val="0"/>
                <w:bCs w:val="0"/>
                <w:highlight w:val="none"/>
                <w:vertAlign w:val="baseline"/>
                <w:lang w:val="en-US" w:eastAsia="zh-CN"/>
              </w:rPr>
            </w:pPr>
            <w:r>
              <w:rPr>
                <w:rFonts w:hint="eastAsia"/>
                <w:b w:val="0"/>
                <w:bCs w:val="0"/>
                <w:highlight w:val="none"/>
                <w:vertAlign w:val="baseline"/>
                <w:lang w:val="en-US" w:eastAsia="zh-CN"/>
              </w:rPr>
              <w:t>Carrier leakage</w:t>
            </w:r>
          </w:p>
        </w:tc>
        <w:tc>
          <w:tcPr>
            <w:tcW w:w="3285" w:type="dxa"/>
          </w:tcPr>
          <w:p w14:paraId="3CD59344">
            <w:pPr>
              <w:rPr>
                <w:rFonts w:hint="default"/>
                <w:b w:val="0"/>
                <w:bCs w:val="0"/>
                <w:highlight w:val="none"/>
                <w:vertAlign w:val="baseline"/>
                <w:lang w:val="en-US" w:eastAsia="zh-CN"/>
              </w:rPr>
            </w:pPr>
            <w:r>
              <w:rPr>
                <w:rFonts w:hint="eastAsia"/>
                <w:b w:val="0"/>
                <w:bCs w:val="0"/>
                <w:highlight w:val="none"/>
                <w:vertAlign w:val="baseline"/>
                <w:lang w:val="en-US" w:eastAsia="zh-CN"/>
              </w:rPr>
              <w:t>28dBc</w:t>
            </w:r>
          </w:p>
        </w:tc>
        <w:tc>
          <w:tcPr>
            <w:tcW w:w="3285" w:type="dxa"/>
            <w:vAlign w:val="top"/>
          </w:tcPr>
          <w:p w14:paraId="363B305F">
            <w:pPr>
              <w:rPr>
                <w:rFonts w:hint="default"/>
                <w:b w:val="0"/>
                <w:bCs w:val="0"/>
                <w:highlight w:val="none"/>
                <w:vertAlign w:val="baseline"/>
                <w:lang w:val="en-US" w:eastAsia="zh-CN"/>
              </w:rPr>
            </w:pPr>
            <w:r>
              <w:rPr>
                <w:rFonts w:hint="eastAsia"/>
                <w:b w:val="0"/>
                <w:bCs w:val="0"/>
                <w:highlight w:val="none"/>
                <w:vertAlign w:val="baseline"/>
                <w:lang w:val="en-US" w:eastAsia="zh-CN"/>
              </w:rPr>
              <w:t>25dBc</w:t>
            </w:r>
          </w:p>
        </w:tc>
      </w:tr>
      <w:tr w14:paraId="50DB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4" w:type="dxa"/>
          </w:tcPr>
          <w:p w14:paraId="419C0BF1">
            <w:pPr>
              <w:rPr>
                <w:rFonts w:hint="default"/>
                <w:b w:val="0"/>
                <w:bCs w:val="0"/>
                <w:highlight w:val="none"/>
                <w:vertAlign w:val="baseline"/>
                <w:lang w:val="en-US" w:eastAsia="zh-CN"/>
              </w:rPr>
            </w:pPr>
            <w:r>
              <w:rPr>
                <w:rFonts w:hint="eastAsia"/>
                <w:b w:val="0"/>
                <w:bCs w:val="0"/>
                <w:highlight w:val="none"/>
                <w:vertAlign w:val="baseline"/>
                <w:lang w:val="en-US" w:eastAsia="zh-CN"/>
              </w:rPr>
              <w:t>Single carrier CIM3</w:t>
            </w:r>
          </w:p>
        </w:tc>
        <w:tc>
          <w:tcPr>
            <w:tcW w:w="3285" w:type="dxa"/>
          </w:tcPr>
          <w:p w14:paraId="042804CE">
            <w:pPr>
              <w:rPr>
                <w:rFonts w:hint="default"/>
                <w:b w:val="0"/>
                <w:bCs w:val="0"/>
                <w:highlight w:val="none"/>
                <w:vertAlign w:val="baseline"/>
                <w:lang w:val="en-US" w:eastAsia="zh-CN"/>
              </w:rPr>
            </w:pPr>
            <w:r>
              <w:rPr>
                <w:rFonts w:hint="eastAsia"/>
                <w:b w:val="0"/>
                <w:bCs w:val="0"/>
                <w:highlight w:val="none"/>
                <w:vertAlign w:val="baseline"/>
                <w:lang w:val="en-US" w:eastAsia="zh-CN"/>
              </w:rPr>
              <w:t>60dBc</w:t>
            </w:r>
          </w:p>
        </w:tc>
        <w:tc>
          <w:tcPr>
            <w:tcW w:w="3285" w:type="dxa"/>
            <w:vAlign w:val="top"/>
          </w:tcPr>
          <w:p w14:paraId="1863E606">
            <w:pPr>
              <w:rPr>
                <w:rFonts w:hint="default"/>
                <w:b w:val="0"/>
                <w:bCs w:val="0"/>
                <w:highlight w:val="none"/>
                <w:vertAlign w:val="baseline"/>
                <w:lang w:val="en-US" w:eastAsia="zh-CN"/>
              </w:rPr>
            </w:pPr>
            <w:r>
              <w:rPr>
                <w:rFonts w:hint="eastAsia"/>
                <w:b w:val="0"/>
                <w:bCs w:val="0"/>
                <w:highlight w:val="none"/>
                <w:vertAlign w:val="baseline"/>
                <w:lang w:val="en-US" w:eastAsia="zh-CN"/>
              </w:rPr>
              <w:t>60dBc</w:t>
            </w:r>
          </w:p>
        </w:tc>
      </w:tr>
    </w:tbl>
    <w:p w14:paraId="1D12C090">
      <w:pPr>
        <w:rPr>
          <w:rFonts w:hint="eastAsia"/>
          <w:b w:val="0"/>
          <w:bCs w:val="0"/>
          <w:highlight w:val="none"/>
          <w:lang w:val="en-US" w:eastAsia="zh-CN"/>
        </w:rPr>
      </w:pPr>
      <w:r>
        <w:rPr>
          <w:rFonts w:hint="eastAsia"/>
          <w:b w:val="0"/>
          <w:bCs w:val="0"/>
          <w:highlight w:val="none"/>
          <w:lang w:val="en-US" w:eastAsia="zh-CN"/>
        </w:rPr>
        <w:t>Based on above enhancement, further check whether IQ suppression, carrier leakage, CIM3 can be further enhanced, e.g. enhanced by 3dBc.</w:t>
      </w:r>
    </w:p>
    <w:p w14:paraId="5ECA045E">
      <w:pPr>
        <w:rPr>
          <w:rFonts w:hint="default"/>
          <w:b/>
          <w:bCs/>
          <w:highlight w:val="none"/>
          <w:lang w:val="en-US" w:eastAsia="zh-CN"/>
        </w:rPr>
      </w:pPr>
      <w:r>
        <w:rPr>
          <w:rFonts w:hint="eastAsia"/>
          <w:b/>
          <w:bCs/>
          <w:highlight w:val="none"/>
          <w:lang w:val="en-US" w:eastAsia="zh-CN"/>
        </w:rPr>
        <w:t>Proposal 1: further check whether the IQ suppression and carrier leakage can be enhanced from 28dBc.</w:t>
      </w:r>
    </w:p>
    <w:p w14:paraId="6F165A40">
      <w:pPr>
        <w:pStyle w:val="3"/>
        <w:numPr>
          <w:ilvl w:val="1"/>
          <w:numId w:val="1"/>
        </w:numPr>
        <w:bidi w:val="0"/>
        <w:ind w:left="575" w:leftChars="0" w:hanging="575" w:firstLineChars="0"/>
        <w:rPr>
          <w:rFonts w:hint="eastAsia"/>
          <w:highlight w:val="none"/>
          <w:lang w:val="en-US" w:eastAsia="zh-CN"/>
        </w:rPr>
      </w:pPr>
      <w:r>
        <w:rPr>
          <w:rFonts w:hint="eastAsia"/>
          <w:highlight w:val="none"/>
          <w:lang w:val="en-US" w:eastAsia="zh-CN"/>
        </w:rPr>
        <w:t>Waveform</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14A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BFB07C8">
            <w:pPr>
              <w:pStyle w:val="25"/>
              <w:numPr>
                <w:ilvl w:val="0"/>
                <w:numId w:val="2"/>
              </w:numPr>
              <w:overflowPunct/>
              <w:autoSpaceDE/>
              <w:autoSpaceDN/>
              <w:adjustRightInd/>
              <w:spacing w:after="120"/>
              <w:ind w:left="720" w:firstLineChars="0"/>
              <w:textAlignment w:val="auto"/>
              <w:rPr>
                <w:rFonts w:eastAsia="宋体"/>
                <w:szCs w:val="24"/>
                <w:highlight w:val="none"/>
                <w:lang w:eastAsia="zh-CN"/>
              </w:rPr>
            </w:pPr>
            <w:r>
              <w:rPr>
                <w:rFonts w:eastAsia="宋体"/>
                <w:szCs w:val="24"/>
                <w:highlight w:val="none"/>
                <w:lang w:eastAsia="zh-CN"/>
              </w:rPr>
              <w:t>Agreement</w:t>
            </w:r>
          </w:p>
          <w:p w14:paraId="68666DFA">
            <w:pPr>
              <w:pStyle w:val="25"/>
              <w:numPr>
                <w:ilvl w:val="1"/>
                <w:numId w:val="2"/>
              </w:numPr>
              <w:spacing w:after="120"/>
              <w:ind w:firstLineChars="0"/>
              <w:jc w:val="both"/>
              <w:rPr>
                <w:rFonts w:eastAsia="宋体"/>
                <w:szCs w:val="24"/>
                <w:highlight w:val="none"/>
                <w:lang w:eastAsia="zh-CN"/>
              </w:rPr>
            </w:pPr>
            <w:r>
              <w:rPr>
                <w:rFonts w:hint="eastAsia" w:eastAsia="宋体"/>
                <w:szCs w:val="24"/>
                <w:highlight w:val="none"/>
                <w:lang w:eastAsia="zh-CN"/>
              </w:rPr>
              <w:t>T</w:t>
            </w:r>
            <w:r>
              <w:rPr>
                <w:rFonts w:eastAsia="宋体"/>
                <w:szCs w:val="24"/>
                <w:highlight w:val="none"/>
                <w:lang w:eastAsia="zh-CN"/>
              </w:rPr>
              <w:t>he primary purpose of RAN4 study on waveform is to evaluate candidate waveforms and potential PAPR reduction techniques based on agreements and inputs from RAN1</w:t>
            </w:r>
          </w:p>
          <w:p w14:paraId="3C96066F">
            <w:pPr>
              <w:pStyle w:val="25"/>
              <w:numPr>
                <w:ilvl w:val="1"/>
                <w:numId w:val="2"/>
              </w:numPr>
              <w:spacing w:after="120"/>
              <w:ind w:firstLineChars="0"/>
              <w:jc w:val="both"/>
              <w:rPr>
                <w:szCs w:val="24"/>
                <w:highlight w:val="none"/>
                <w:lang w:eastAsia="zh-CN"/>
              </w:rPr>
            </w:pPr>
            <w:r>
              <w:rPr>
                <w:rFonts w:eastAsia="宋体"/>
                <w:szCs w:val="24"/>
                <w:highlight w:val="none"/>
                <w:lang w:eastAsia="zh-CN"/>
              </w:rPr>
              <w:t xml:space="preserve">To establish the foundational evaluation framework in RAN4 firstly, and </w:t>
            </w:r>
            <w:r>
              <w:rPr>
                <w:szCs w:val="24"/>
                <w:highlight w:val="none"/>
                <w:lang w:eastAsia="zh-CN"/>
              </w:rPr>
              <w:t>RAN4 waveform study should focus on the following aspects</w:t>
            </w:r>
          </w:p>
          <w:p w14:paraId="62819867">
            <w:pPr>
              <w:pStyle w:val="25"/>
              <w:numPr>
                <w:ilvl w:val="2"/>
                <w:numId w:val="2"/>
              </w:numPr>
              <w:spacing w:after="120"/>
              <w:ind w:firstLineChars="0"/>
              <w:jc w:val="both"/>
              <w:rPr>
                <w:szCs w:val="24"/>
                <w:highlight w:val="none"/>
                <w:lang w:eastAsia="zh-CN"/>
              </w:rPr>
            </w:pPr>
            <w:r>
              <w:rPr>
                <w:szCs w:val="24"/>
                <w:highlight w:val="none"/>
                <w:lang w:eastAsia="zh-CN"/>
              </w:rPr>
              <w:t>Tx assumption including PA model</w:t>
            </w:r>
          </w:p>
          <w:p w14:paraId="20C09D95">
            <w:pPr>
              <w:pStyle w:val="25"/>
              <w:numPr>
                <w:ilvl w:val="2"/>
                <w:numId w:val="2"/>
              </w:numPr>
              <w:spacing w:after="120"/>
              <w:ind w:firstLineChars="0"/>
              <w:jc w:val="both"/>
              <w:rPr>
                <w:szCs w:val="24"/>
                <w:highlight w:val="none"/>
                <w:lang w:eastAsia="zh-CN"/>
              </w:rPr>
            </w:pPr>
            <w:r>
              <w:rPr>
                <w:szCs w:val="24"/>
                <w:highlight w:val="none"/>
                <w:lang w:eastAsia="zh-CN"/>
              </w:rPr>
              <w:t>Related RF requirements which should be taken into consideration</w:t>
            </w:r>
          </w:p>
          <w:p w14:paraId="186A21C4">
            <w:pPr>
              <w:pStyle w:val="25"/>
              <w:numPr>
                <w:ilvl w:val="2"/>
                <w:numId w:val="2"/>
              </w:numPr>
              <w:spacing w:after="120"/>
              <w:ind w:firstLineChars="0"/>
              <w:jc w:val="both"/>
              <w:rPr>
                <w:szCs w:val="24"/>
                <w:highlight w:val="none"/>
                <w:lang w:eastAsia="zh-CN"/>
              </w:rPr>
            </w:pPr>
            <w:r>
              <w:rPr>
                <w:szCs w:val="24"/>
                <w:highlight w:val="none"/>
                <w:lang w:eastAsia="zh-CN"/>
              </w:rPr>
              <w:t>Both UL and DL are considered</w:t>
            </w:r>
          </w:p>
          <w:p w14:paraId="3A9E1E5E">
            <w:pPr>
              <w:pStyle w:val="25"/>
              <w:numPr>
                <w:ilvl w:val="2"/>
                <w:numId w:val="2"/>
              </w:numPr>
              <w:spacing w:after="120"/>
              <w:ind w:firstLineChars="0"/>
              <w:jc w:val="both"/>
              <w:rPr>
                <w:szCs w:val="24"/>
                <w:highlight w:val="none"/>
                <w:lang w:eastAsia="zh-CN"/>
              </w:rPr>
            </w:pPr>
            <w:r>
              <w:rPr>
                <w:szCs w:val="24"/>
                <w:highlight w:val="none"/>
                <w:lang w:eastAsia="zh-CN"/>
              </w:rPr>
              <w:t>Take the candidate waveforms identified/discussed in RAN1 as the baseline</w:t>
            </w:r>
          </w:p>
          <w:p w14:paraId="5EFFBE89">
            <w:pPr>
              <w:pStyle w:val="25"/>
              <w:numPr>
                <w:ilvl w:val="2"/>
                <w:numId w:val="2"/>
              </w:numPr>
              <w:spacing w:after="120"/>
              <w:ind w:firstLineChars="0"/>
              <w:jc w:val="both"/>
              <w:rPr>
                <w:szCs w:val="24"/>
                <w:highlight w:val="none"/>
                <w:lang w:eastAsia="zh-CN"/>
              </w:rPr>
            </w:pPr>
            <w:r>
              <w:rPr>
                <w:szCs w:val="24"/>
                <w:highlight w:val="none"/>
                <w:lang w:eastAsia="zh-CN"/>
              </w:rPr>
              <w:t>Identify the evaluation metric, e.g. net gain</w:t>
            </w:r>
          </w:p>
          <w:p w14:paraId="143D6510">
            <w:pPr>
              <w:pStyle w:val="25"/>
              <w:numPr>
                <w:ilvl w:val="2"/>
                <w:numId w:val="2"/>
              </w:numPr>
              <w:spacing w:after="120"/>
              <w:ind w:firstLineChars="0"/>
              <w:jc w:val="both"/>
              <w:rPr>
                <w:szCs w:val="24"/>
                <w:highlight w:val="none"/>
                <w:lang w:eastAsia="zh-CN"/>
              </w:rPr>
            </w:pPr>
            <w:r>
              <w:rPr>
                <w:szCs w:val="24"/>
                <w:highlight w:val="none"/>
                <w:lang w:eastAsia="zh-CN"/>
              </w:rPr>
              <w:t>Implementation constraints</w:t>
            </w:r>
          </w:p>
          <w:p w14:paraId="362443B5">
            <w:pPr>
              <w:pStyle w:val="25"/>
              <w:numPr>
                <w:ilvl w:val="1"/>
                <w:numId w:val="2"/>
              </w:numPr>
              <w:spacing w:after="120"/>
              <w:ind w:firstLineChars="0"/>
              <w:jc w:val="both"/>
              <w:rPr>
                <w:rFonts w:eastAsia="宋体"/>
                <w:szCs w:val="24"/>
                <w:highlight w:val="none"/>
                <w:lang w:eastAsia="zh-CN"/>
              </w:rPr>
            </w:pPr>
            <w:r>
              <w:rPr>
                <w:rFonts w:eastAsia="宋体"/>
                <w:szCs w:val="24"/>
                <w:highlight w:val="none"/>
                <w:lang w:eastAsia="zh-CN"/>
              </w:rPr>
              <w:t>Model and evaluate the RF performance of different waveform candidates and PAPR reduction techniques pending on RAN1 inputs</w:t>
            </w:r>
          </w:p>
          <w:p w14:paraId="2846589D">
            <w:pPr>
              <w:pStyle w:val="25"/>
              <w:numPr>
                <w:ilvl w:val="2"/>
                <w:numId w:val="2"/>
              </w:numPr>
              <w:spacing w:after="120"/>
              <w:ind w:firstLineChars="0"/>
              <w:jc w:val="both"/>
              <w:rPr>
                <w:rFonts w:eastAsia="宋体"/>
                <w:szCs w:val="24"/>
                <w:highlight w:val="none"/>
                <w:lang w:eastAsia="zh-CN"/>
              </w:rPr>
            </w:pPr>
            <w:r>
              <w:rPr>
                <w:rFonts w:eastAsia="宋体"/>
                <w:szCs w:val="24"/>
                <w:highlight w:val="none"/>
                <w:lang w:eastAsia="zh-CN"/>
              </w:rPr>
              <w:t>Evaluation cases could be selected step-by-step, based on RAN1 progress</w:t>
            </w:r>
          </w:p>
          <w:p w14:paraId="07054E52">
            <w:pPr>
              <w:pStyle w:val="25"/>
              <w:numPr>
                <w:ilvl w:val="2"/>
                <w:numId w:val="2"/>
              </w:numPr>
              <w:overflowPunct/>
              <w:autoSpaceDE/>
              <w:autoSpaceDN/>
              <w:adjustRightInd/>
              <w:spacing w:after="120"/>
              <w:ind w:firstLineChars="0"/>
              <w:jc w:val="both"/>
              <w:textAlignment w:val="auto"/>
              <w:rPr>
                <w:rFonts w:hint="eastAsia" w:eastAsiaTheme="minorEastAsia"/>
                <w:highlight w:val="none"/>
                <w:lang w:val="en-US" w:eastAsia="zh-CN"/>
              </w:rPr>
            </w:pPr>
            <w:r>
              <w:rPr>
                <w:rFonts w:eastAsia="宋体"/>
                <w:szCs w:val="24"/>
                <w:highlight w:val="none"/>
                <w:lang w:eastAsia="zh-CN"/>
              </w:rPr>
              <w:t>Whether to investigate RF impacts of DL DFT-s-OFDM pending on RAN1 agreement</w:t>
            </w:r>
          </w:p>
        </w:tc>
      </w:tr>
      <w:tr w14:paraId="488F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9F1AA43">
            <w:pPr>
              <w:rPr>
                <w:rFonts w:ascii="Times New Roman" w:hAnsi="Times New Roman" w:eastAsiaTheme="minorEastAsia"/>
                <w:highlight w:val="none"/>
                <w:lang w:eastAsia="zh-CN"/>
              </w:rPr>
            </w:pPr>
            <w:r>
              <w:rPr>
                <w:rFonts w:hint="eastAsia" w:ascii="Times New Roman" w:hAnsi="Times New Roman" w:eastAsiaTheme="minorEastAsia"/>
                <w:highlight w:val="none"/>
                <w:lang w:eastAsia="zh-CN"/>
              </w:rPr>
              <w:t>Agreement</w:t>
            </w:r>
          </w:p>
          <w:p w14:paraId="3E5EEDAE">
            <w:pPr>
              <w:autoSpaceDE w:val="0"/>
              <w:autoSpaceDN w:val="0"/>
              <w:adjustRightInd w:val="0"/>
              <w:snapToGrid w:val="0"/>
              <w:spacing w:after="120" w:line="259" w:lineRule="auto"/>
              <w:jc w:val="both"/>
              <w:rPr>
                <w:rFonts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 xml:space="preserve">Draft LS R1-2508068 is endorsed with </w:t>
            </w:r>
            <w:r>
              <w:rPr>
                <w:rFonts w:ascii="Times New Roman" w:hAnsi="Times New Roman" w:eastAsiaTheme="minorEastAsia"/>
                <w:highlight w:val="none"/>
                <w:lang w:val="en-US" w:eastAsia="zh-CN"/>
              </w:rPr>
              <w:t>following</w:t>
            </w:r>
            <w:r>
              <w:rPr>
                <w:rFonts w:hint="eastAsia" w:ascii="Times New Roman" w:hAnsi="Times New Roman" w:eastAsiaTheme="minorEastAsia"/>
                <w:highlight w:val="none"/>
                <w:lang w:val="en-US" w:eastAsia="zh-CN"/>
              </w:rPr>
              <w:t xml:space="preserve"> revision:</w:t>
            </w:r>
          </w:p>
          <w:p w14:paraId="07A41D26">
            <w:pPr>
              <w:pStyle w:val="25"/>
              <w:numPr>
                <w:ilvl w:val="0"/>
                <w:numId w:val="3"/>
              </w:numPr>
              <w:autoSpaceDE w:val="0"/>
              <w:autoSpaceDN w:val="0"/>
              <w:adjustRightInd w:val="0"/>
              <w:snapToGrid w:val="0"/>
              <w:spacing w:after="120" w:line="259" w:lineRule="auto"/>
              <w:ind w:leftChars="0"/>
              <w:jc w:val="both"/>
              <w:rPr>
                <w:rFonts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 xml:space="preserve">removing </w:t>
            </w:r>
            <w:r>
              <w:rPr>
                <w:rFonts w:ascii="Times New Roman" w:hAnsi="Times New Roman" w:eastAsia="Times New Roman"/>
                <w:highlight w:val="none"/>
                <w:lang w:eastAsia="en-US"/>
              </w:rPr>
              <w:t>“</w:t>
            </w:r>
            <w:r>
              <w:rPr>
                <w:rFonts w:ascii="Times New Roman" w:hAnsi="Times New Roman" w:eastAsia="Times New Roman"/>
                <w:highlight w:val="none"/>
              </w:rPr>
              <w:t>Additionally, if time permits, any feedback for CP-OFDM PAPR reduction/MPR values achievable by implementation is also appreciated.</w:t>
            </w:r>
            <w:r>
              <w:rPr>
                <w:rFonts w:ascii="Times New Roman" w:hAnsi="Times New Roman" w:eastAsiaTheme="minorEastAsia"/>
                <w:highlight w:val="none"/>
                <w:lang w:eastAsia="zh-CN"/>
              </w:rPr>
              <w:t>”</w:t>
            </w:r>
          </w:p>
          <w:p w14:paraId="6E2C9827">
            <w:pPr>
              <w:rPr>
                <w:rFonts w:ascii="Times New Roman" w:hAnsi="Times New Roman" w:eastAsiaTheme="minorEastAsia"/>
                <w:highlight w:val="none"/>
                <w:lang w:eastAsia="zh-CN"/>
              </w:rPr>
            </w:pPr>
            <w:r>
              <w:rPr>
                <w:rFonts w:hint="eastAsia" w:ascii="Times New Roman" w:hAnsi="Times New Roman" w:eastAsiaTheme="minorEastAsia"/>
                <w:highlight w:val="none"/>
                <w:lang w:eastAsia="zh-CN"/>
              </w:rPr>
              <w:t>Agreement</w:t>
            </w:r>
          </w:p>
          <w:p w14:paraId="3FD5F2B3">
            <w:pPr>
              <w:autoSpaceDE w:val="0"/>
              <w:autoSpaceDN w:val="0"/>
              <w:adjustRightInd w:val="0"/>
              <w:snapToGrid w:val="0"/>
              <w:spacing w:after="120" w:line="259" w:lineRule="auto"/>
              <w:jc w:val="both"/>
              <w:rPr>
                <w:rFonts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Final LS R1-2508069 is endorsed.</w:t>
            </w:r>
          </w:p>
          <w:p w14:paraId="510E6CCD">
            <w:pPr>
              <w:autoSpaceDE w:val="0"/>
              <w:autoSpaceDN w:val="0"/>
              <w:adjustRightInd w:val="0"/>
              <w:snapToGrid w:val="0"/>
              <w:spacing w:after="120" w:line="259" w:lineRule="auto"/>
              <w:jc w:val="both"/>
              <w:rPr>
                <w:rFonts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Agreement</w:t>
            </w:r>
          </w:p>
          <w:p w14:paraId="3DB14956">
            <w:pPr>
              <w:pStyle w:val="25"/>
              <w:numPr>
                <w:ilvl w:val="0"/>
                <w:numId w:val="4"/>
              </w:numPr>
              <w:spacing w:after="180"/>
              <w:ind w:leftChars="0"/>
              <w:contextualSpacing/>
              <w:rPr>
                <w:b/>
                <w:bCs/>
                <w:highlight w:val="none"/>
              </w:rPr>
            </w:pPr>
            <w:r>
              <w:rPr>
                <w:highlight w:val="none"/>
              </w:rPr>
              <w:t>For uplink low-PAPR proposals</w:t>
            </w:r>
            <w:r>
              <w:rPr>
                <w:rFonts w:hint="eastAsia" w:eastAsiaTheme="minorEastAsia"/>
                <w:highlight w:val="none"/>
                <w:lang w:eastAsia="zh-CN"/>
              </w:rPr>
              <w:t>,</w:t>
            </w:r>
            <w:r>
              <w:rPr>
                <w:highlight w:val="none"/>
              </w:rPr>
              <w:t xml:space="preserve"> the </w:t>
            </w:r>
            <w:r>
              <w:rPr>
                <w:rFonts w:hint="eastAsia" w:eastAsiaTheme="minorEastAsia"/>
                <w:highlight w:val="none"/>
                <w:lang w:eastAsia="zh-CN"/>
              </w:rPr>
              <w:t xml:space="preserve">link level </w:t>
            </w:r>
            <w:r>
              <w:rPr>
                <w:highlight w:val="none"/>
              </w:rPr>
              <w:t>performance evaluation criterion is Net Gain</w:t>
            </w:r>
            <w:r>
              <w:rPr>
                <w:rFonts w:hint="eastAsia" w:eastAsiaTheme="minorEastAsia"/>
                <w:highlight w:val="none"/>
                <w:lang w:eastAsia="zh-CN"/>
              </w:rPr>
              <w:t xml:space="preserve"> assuming same </w:t>
            </w:r>
            <w:r>
              <w:rPr>
                <w:rFonts w:eastAsiaTheme="minorEastAsia"/>
                <w:highlight w:val="none"/>
                <w:lang w:eastAsia="zh-CN"/>
              </w:rPr>
              <w:t>spectrum</w:t>
            </w:r>
            <w:r>
              <w:rPr>
                <w:rFonts w:hint="eastAsia" w:eastAsiaTheme="minorEastAsia"/>
                <w:highlight w:val="none"/>
                <w:lang w:eastAsia="zh-CN"/>
              </w:rPr>
              <w:t xml:space="preserve"> efficiency as the reference </w:t>
            </w:r>
          </w:p>
          <w:p w14:paraId="55574407">
            <w:pPr>
              <w:pStyle w:val="25"/>
              <w:numPr>
                <w:ilvl w:val="1"/>
                <w:numId w:val="4"/>
              </w:numPr>
              <w:spacing w:after="180"/>
              <w:ind w:leftChars="0"/>
              <w:contextualSpacing/>
              <w:rPr>
                <w:b/>
                <w:bCs/>
                <w:highlight w:val="none"/>
              </w:rPr>
            </w:pPr>
            <w:r>
              <w:rPr>
                <w:highlight w:val="none"/>
              </w:rPr>
              <w:t>Net Gain [dB] = Tx power gain</w:t>
            </w:r>
            <w:r>
              <w:rPr>
                <w:rFonts w:hint="eastAsia" w:eastAsiaTheme="minorEastAsia"/>
                <w:highlight w:val="none"/>
                <w:lang w:eastAsia="zh-CN"/>
              </w:rPr>
              <w:t xml:space="preserve"> relative to the reference</w:t>
            </w:r>
            <w:r>
              <w:rPr>
                <w:highlight w:val="none"/>
              </w:rPr>
              <w:t xml:space="preserve"> – </w:t>
            </w:r>
            <w:r>
              <w:rPr>
                <w:rFonts w:hint="eastAsia" w:eastAsiaTheme="minorEastAsia"/>
                <w:highlight w:val="none"/>
                <w:lang w:eastAsia="zh-CN"/>
              </w:rPr>
              <w:t xml:space="preserve">SNR </w:t>
            </w:r>
            <w:r>
              <w:rPr>
                <w:rFonts w:eastAsiaTheme="minorEastAsia"/>
                <w:highlight w:val="none"/>
                <w:lang w:eastAsia="zh-CN"/>
              </w:rPr>
              <w:t>degradation</w:t>
            </w:r>
            <w:r>
              <w:rPr>
                <w:highlight w:val="none"/>
              </w:rPr>
              <w:t xml:space="preserve"> relative to the reference @10% BLER</w:t>
            </w:r>
          </w:p>
          <w:p w14:paraId="5E82A3DE">
            <w:pPr>
              <w:pStyle w:val="25"/>
              <w:numPr>
                <w:ilvl w:val="2"/>
                <w:numId w:val="4"/>
              </w:numPr>
              <w:spacing w:after="180"/>
              <w:ind w:leftChars="0"/>
              <w:contextualSpacing/>
              <w:rPr>
                <w:b/>
                <w:bCs/>
                <w:highlight w:val="none"/>
              </w:rPr>
            </w:pPr>
            <w:r>
              <w:rPr>
                <w:highlight w:val="none"/>
              </w:rPr>
              <w:t>A realistic PA model should be used</w:t>
            </w:r>
          </w:p>
          <w:p w14:paraId="54D56931">
            <w:pPr>
              <w:pStyle w:val="25"/>
              <w:numPr>
                <w:ilvl w:val="2"/>
                <w:numId w:val="4"/>
              </w:numPr>
              <w:spacing w:after="180"/>
              <w:ind w:leftChars="0"/>
              <w:contextualSpacing/>
              <w:rPr>
                <w:b/>
                <w:bCs/>
                <w:highlight w:val="none"/>
              </w:rPr>
            </w:pPr>
            <w:r>
              <w:rPr>
                <w:highlight w:val="none"/>
              </w:rPr>
              <w:t xml:space="preserve">When calculating the Tx power gain, the RAN4 metrics on the Tx power should be taken into account. </w:t>
            </w:r>
          </w:p>
          <w:p w14:paraId="1A316C12">
            <w:pPr>
              <w:pStyle w:val="25"/>
              <w:numPr>
                <w:ilvl w:val="2"/>
                <w:numId w:val="4"/>
              </w:numPr>
              <w:spacing w:after="180"/>
              <w:ind w:leftChars="0"/>
              <w:contextualSpacing/>
              <w:rPr>
                <w:b/>
                <w:bCs/>
                <w:highlight w:val="none"/>
              </w:rPr>
            </w:pPr>
            <w:r>
              <w:rPr>
                <w:highlight w:val="none"/>
              </w:rPr>
              <w:t>For SNR degradation, fading channel and non-ideal channel estimation, including DMRS configuration, and equalization is encouraged.</w:t>
            </w:r>
          </w:p>
          <w:p w14:paraId="5E8EF45E">
            <w:pPr>
              <w:pStyle w:val="25"/>
              <w:numPr>
                <w:ilvl w:val="2"/>
                <w:numId w:val="4"/>
              </w:numPr>
              <w:spacing w:after="180"/>
              <w:ind w:leftChars="0"/>
              <w:contextualSpacing/>
              <w:rPr>
                <w:b/>
                <w:bCs/>
                <w:highlight w:val="none"/>
              </w:rPr>
            </w:pPr>
            <w:r>
              <w:rPr>
                <w:rFonts w:hint="eastAsia" w:eastAsiaTheme="minorEastAsia"/>
                <w:highlight w:val="none"/>
                <w:lang w:eastAsia="zh-CN"/>
              </w:rPr>
              <w:t xml:space="preserve">FFS: </w:t>
            </w:r>
            <w:r>
              <w:rPr>
                <w:rFonts w:eastAsiaTheme="minorEastAsia"/>
                <w:highlight w:val="none"/>
                <w:lang w:eastAsia="zh-CN"/>
              </w:rPr>
              <w:t>Other</w:t>
            </w:r>
            <w:r>
              <w:rPr>
                <w:rFonts w:hint="eastAsia" w:eastAsiaTheme="minorEastAsia"/>
                <w:highlight w:val="none"/>
                <w:lang w:eastAsia="zh-CN"/>
              </w:rPr>
              <w:t xml:space="preserve"> e</w:t>
            </w:r>
            <w:r>
              <w:rPr>
                <w:highlight w:val="none"/>
              </w:rPr>
              <w:t>valuation metrics</w:t>
            </w:r>
          </w:p>
          <w:p w14:paraId="0531B32A">
            <w:pPr>
              <w:pStyle w:val="25"/>
              <w:numPr>
                <w:ilvl w:val="2"/>
                <w:numId w:val="4"/>
              </w:numPr>
              <w:spacing w:after="180"/>
              <w:ind w:leftChars="0"/>
              <w:contextualSpacing/>
              <w:rPr>
                <w:b/>
                <w:bCs/>
                <w:highlight w:val="none"/>
              </w:rPr>
            </w:pPr>
            <w:r>
              <w:rPr>
                <w:rFonts w:hint="eastAsia" w:eastAsiaTheme="minorEastAsia"/>
                <w:highlight w:val="none"/>
                <w:lang w:eastAsia="zh-CN"/>
              </w:rPr>
              <w:t>Note: Companies to report how to calculate the Tx power gain,</w:t>
            </w:r>
            <w:r>
              <w:rPr>
                <w:highlight w:val="none"/>
              </w:rPr>
              <w:t xml:space="preserve"> modulation and coding</w:t>
            </w:r>
          </w:p>
          <w:p w14:paraId="4645AA2C">
            <w:pPr>
              <w:autoSpaceDE w:val="0"/>
              <w:autoSpaceDN w:val="0"/>
              <w:adjustRightInd w:val="0"/>
              <w:snapToGrid w:val="0"/>
              <w:spacing w:after="120" w:line="259" w:lineRule="auto"/>
              <w:jc w:val="both"/>
              <w:rPr>
                <w:rFonts w:ascii="Times New Roman" w:hAnsi="Times New Roman" w:eastAsiaTheme="minorEastAsia"/>
                <w:highlight w:val="none"/>
                <w:lang w:eastAsia="zh-CN"/>
              </w:rPr>
            </w:pPr>
            <w:r>
              <w:rPr>
                <w:rFonts w:hint="eastAsia" w:ascii="Times New Roman" w:hAnsi="Times New Roman" w:eastAsiaTheme="minorEastAsia"/>
                <w:highlight w:val="none"/>
                <w:lang w:eastAsia="zh-CN"/>
              </w:rPr>
              <w:t>Agreement</w:t>
            </w:r>
          </w:p>
          <w:p w14:paraId="5986DB69">
            <w:pPr>
              <w:pStyle w:val="25"/>
              <w:numPr>
                <w:ilvl w:val="0"/>
                <w:numId w:val="5"/>
              </w:numPr>
              <w:spacing w:after="180"/>
              <w:ind w:leftChars="0"/>
              <w:contextualSpacing/>
              <w:rPr>
                <w:rFonts w:hint="eastAsia" w:eastAsiaTheme="minorEastAsia"/>
                <w:b w:val="0"/>
                <w:bCs/>
                <w:highlight w:val="none"/>
                <w:vertAlign w:val="baseline"/>
                <w:lang w:val="en-US" w:eastAsia="zh-CN"/>
              </w:rPr>
            </w:pPr>
            <w:r>
              <w:rPr>
                <w:rFonts w:hint="eastAsia" w:eastAsiaTheme="minorEastAsia"/>
                <w:highlight w:val="none"/>
                <w:lang w:val="en-US" w:eastAsia="zh-CN"/>
              </w:rPr>
              <w:t xml:space="preserve">Study the evaluation method for evaluating </w:t>
            </w:r>
            <w:r>
              <w:rPr>
                <w:highlight w:val="none"/>
                <w:lang w:val="en-US"/>
              </w:rPr>
              <w:t>DFT-s-OFDM</w:t>
            </w:r>
            <w:r>
              <w:rPr>
                <w:rFonts w:hint="eastAsia" w:eastAsiaTheme="minorEastAsia"/>
                <w:highlight w:val="none"/>
                <w:lang w:val="en-US" w:eastAsia="zh-CN"/>
              </w:rPr>
              <w:t xml:space="preserve"> for UL</w:t>
            </w:r>
            <w:r>
              <w:rPr>
                <w:highlight w:val="none"/>
                <w:lang w:val="en-US"/>
              </w:rPr>
              <w:t xml:space="preserve"> with </w:t>
            </w:r>
            <w:r>
              <w:rPr>
                <w:rFonts w:hint="eastAsia" w:eastAsiaTheme="minorEastAsia"/>
                <w:highlight w:val="none"/>
                <w:lang w:val="en-US" w:eastAsia="zh-CN"/>
              </w:rPr>
              <w:t>number of layers</w:t>
            </w:r>
            <w:r>
              <w:rPr>
                <w:highlight w:val="none"/>
                <w:lang w:val="en-US"/>
              </w:rPr>
              <w:t xml:space="preserve"> &gt; 1</w:t>
            </w:r>
            <w:r>
              <w:rPr>
                <w:rFonts w:hint="eastAsia" w:eastAsiaTheme="minorEastAsia"/>
                <w:highlight w:val="none"/>
                <w:lang w:val="en-US" w:eastAsia="zh-CN"/>
              </w:rPr>
              <w:t>.</w:t>
            </w:r>
          </w:p>
        </w:tc>
      </w:tr>
    </w:tbl>
    <w:p w14:paraId="3CB906D0">
      <w:pPr>
        <w:widowControl/>
        <w:spacing w:before="0" w:after="120" w:afterLines="50" w:line="240" w:lineRule="auto"/>
        <w:ind w:firstLine="0" w:firstLineChars="0"/>
        <w:jc w:val="both"/>
        <w:rPr>
          <w:rFonts w:hint="eastAsia"/>
          <w:highlight w:val="none"/>
          <w:lang w:val="en-US" w:eastAsia="zh-CN"/>
        </w:rPr>
      </w:pPr>
    </w:p>
    <w:p w14:paraId="401011C8">
      <w:pPr>
        <w:widowControl/>
        <w:spacing w:before="0" w:after="120" w:afterLines="50" w:line="240" w:lineRule="auto"/>
        <w:ind w:firstLine="0" w:firstLineChars="0"/>
        <w:jc w:val="both"/>
        <w:rPr>
          <w:rFonts w:hint="default" w:eastAsia="宋体"/>
          <w:kern w:val="0"/>
          <w:sz w:val="20"/>
          <w:szCs w:val="20"/>
          <w:highlight w:val="none"/>
          <w:lang w:val="en-US" w:eastAsia="zh-CN"/>
        </w:rPr>
      </w:pPr>
      <w:r>
        <w:rPr>
          <w:rFonts w:hint="eastAsia"/>
          <w:highlight w:val="none"/>
          <w:lang w:val="en-US" w:eastAsia="zh-CN"/>
        </w:rPr>
        <w:t xml:space="preserve">RAN1 has approved to use NR waveform design as the baseline for the 6GR study. Besides, the PAPR reduction design is proposed in RAN1 with benefit of </w:t>
      </w:r>
      <w:r>
        <w:rPr>
          <w:rFonts w:hint="eastAsia" w:eastAsia="宋体"/>
          <w:kern w:val="0"/>
          <w:sz w:val="20"/>
          <w:szCs w:val="20"/>
          <w:highlight w:val="none"/>
          <w:lang w:val="en-US" w:eastAsia="zh-CN"/>
        </w:rPr>
        <w:t xml:space="preserve">RF front-end simplification of both BS and UE in many services. Better PAPR performance will contribute to better ACLR, leading to less MPR and better UL coverage performance. On the other side, the PAPR reduction design will have potential impact on signal quality (e.g. degraded EVM performance) and implementation complexity of both transmitter and receiver. </w:t>
      </w:r>
    </w:p>
    <w:p w14:paraId="233F03ED">
      <w:pPr>
        <w:numPr>
          <w:ilvl w:val="0"/>
          <w:numId w:val="0"/>
        </w:numPr>
        <w:spacing w:before="0" w:after="0"/>
        <w:ind w:leftChars="0"/>
        <w:jc w:val="both"/>
        <w:rPr>
          <w:rFonts w:ascii="Times" w:hAnsi="Times" w:eastAsia="Batang" w:cs="Times New Roman"/>
          <w:b/>
          <w:bCs/>
          <w:szCs w:val="24"/>
          <w:highlight w:val="none"/>
          <w:lang w:val="en-GB" w:eastAsia="zh-CN" w:bidi="ar-SA"/>
        </w:rPr>
      </w:pPr>
      <w:r>
        <w:rPr>
          <w:rFonts w:hint="eastAsia" w:ascii="Times" w:hAnsi="Times" w:eastAsia="Batang" w:cs="Times New Roman"/>
          <w:b/>
          <w:bCs/>
          <w:szCs w:val="24"/>
          <w:highlight w:val="none"/>
          <w:lang w:val="en-US" w:eastAsia="zh-CN" w:bidi="ar-SA"/>
        </w:rPr>
        <w:t>Proposal 2： Related RF requirements for lower PAPR evaluation include ACLR, MPR and EVM requirements</w:t>
      </w:r>
    </w:p>
    <w:p w14:paraId="34C93784">
      <w:pPr>
        <w:numPr>
          <w:ilvl w:val="0"/>
          <w:numId w:val="0"/>
        </w:numPr>
        <w:spacing w:before="0" w:after="240"/>
        <w:jc w:val="both"/>
        <w:rPr>
          <w:rFonts w:hint="eastAsia" w:ascii="Times" w:hAnsi="Times" w:eastAsia="等线" w:cs="Times New Roman"/>
          <w:b w:val="0"/>
          <w:bCs w:val="0"/>
          <w:szCs w:val="24"/>
          <w:highlight w:val="none"/>
          <w:lang w:val="en-GB" w:eastAsia="zh-CN" w:bidi="ar-SA"/>
        </w:rPr>
      </w:pPr>
      <w:r>
        <w:rPr>
          <w:rFonts w:hint="eastAsia" w:ascii="Times" w:hAnsi="Times" w:eastAsia="等线" w:cs="Times New Roman"/>
          <w:b w:val="0"/>
          <w:bCs w:val="0"/>
          <w:szCs w:val="24"/>
          <w:highlight w:val="none"/>
          <w:lang w:val="en-US" w:eastAsia="zh-CN" w:bidi="ar-SA"/>
        </w:rPr>
        <w:t>In previous coverage enhancement evaluation, RAN4 use net gain as performance metric. Besides, RAN1 also approved to use net gain for low-PAPR evaluation in last meeting. It</w:t>
      </w:r>
      <w:r>
        <w:rPr>
          <w:rFonts w:hint="default" w:ascii="Times" w:hAnsi="Times" w:eastAsia="等线" w:cs="Times New Roman"/>
          <w:b w:val="0"/>
          <w:bCs w:val="0"/>
          <w:szCs w:val="24"/>
          <w:highlight w:val="none"/>
          <w:lang w:val="en-US" w:eastAsia="zh-CN" w:bidi="ar-SA"/>
        </w:rPr>
        <w:t>’</w:t>
      </w:r>
      <w:r>
        <w:rPr>
          <w:rFonts w:hint="eastAsia" w:ascii="Times" w:hAnsi="Times" w:eastAsia="等线" w:cs="Times New Roman"/>
          <w:b w:val="0"/>
          <w:bCs w:val="0"/>
          <w:szCs w:val="24"/>
          <w:highlight w:val="none"/>
          <w:lang w:val="en-US" w:eastAsia="zh-CN" w:bidi="ar-SA"/>
        </w:rPr>
        <w:t>s suggested to use this net gain as performance metric for low-PAPR evaluation</w:t>
      </w:r>
      <w:r>
        <w:rPr>
          <w:rFonts w:hint="eastAsia" w:ascii="Times" w:hAnsi="Times" w:eastAsia="等线" w:cs="Times New Roman"/>
          <w:b w:val="0"/>
          <w:bCs w:val="0"/>
          <w:szCs w:val="24"/>
          <w:highlight w:val="none"/>
          <w:lang w:val="en-GB" w:eastAsia="zh-CN" w:bidi="ar-SA"/>
        </w:rPr>
        <w:t>.</w:t>
      </w:r>
    </w:p>
    <w:p w14:paraId="7C2C4487">
      <w:pPr>
        <w:numPr>
          <w:ilvl w:val="0"/>
          <w:numId w:val="0"/>
        </w:numPr>
        <w:spacing w:before="0" w:after="0"/>
        <w:ind w:leftChars="0"/>
        <w:jc w:val="both"/>
        <w:rPr>
          <w:rFonts w:ascii="Times" w:hAnsi="Times" w:eastAsia="Batang" w:cs="Times New Roman"/>
          <w:b/>
          <w:bCs/>
          <w:szCs w:val="24"/>
          <w:highlight w:val="none"/>
          <w:lang w:val="en-GB" w:eastAsia="zh-CN" w:bidi="ar-SA"/>
        </w:rPr>
      </w:pPr>
      <w:r>
        <w:rPr>
          <w:rFonts w:hint="eastAsia" w:ascii="Times" w:hAnsi="Times" w:eastAsia="Batang" w:cs="Times New Roman"/>
          <w:b/>
          <w:bCs/>
          <w:szCs w:val="24"/>
          <w:highlight w:val="none"/>
          <w:lang w:val="en-US" w:eastAsia="zh-CN" w:bidi="ar-SA"/>
        </w:rPr>
        <w:t>Proposal 3：</w:t>
      </w:r>
      <w:r>
        <w:rPr>
          <w:rFonts w:hint="eastAsia" w:ascii="Times" w:hAnsi="Times" w:eastAsia="Batang" w:cs="Times New Roman"/>
          <w:b/>
          <w:bCs/>
          <w:szCs w:val="24"/>
          <w:highlight w:val="none"/>
          <w:lang w:val="en-GB" w:eastAsia="zh-CN" w:bidi="ar-SA"/>
        </w:rPr>
        <w:t>It’s suggested to use this net gain as performance metric for low-PAPR evaluation.</w:t>
      </w:r>
    </w:p>
    <w:p w14:paraId="131B0BA8">
      <w:pPr>
        <w:pStyle w:val="25"/>
        <w:numPr>
          <w:ilvl w:val="0"/>
          <w:numId w:val="0"/>
        </w:numPr>
        <w:spacing w:after="180"/>
        <w:contextualSpacing/>
        <w:rPr>
          <w:b/>
          <w:bCs/>
          <w:highlight w:val="none"/>
        </w:rPr>
      </w:pPr>
      <w:r>
        <w:rPr>
          <w:highlight w:val="none"/>
        </w:rPr>
        <w:t>Net Gain [dB] = Tx power gain</w:t>
      </w:r>
      <w:r>
        <w:rPr>
          <w:rFonts w:hint="eastAsia" w:eastAsiaTheme="minorEastAsia"/>
          <w:highlight w:val="none"/>
          <w:lang w:eastAsia="zh-CN"/>
        </w:rPr>
        <w:t xml:space="preserve"> relative to the reference</w:t>
      </w:r>
      <w:r>
        <w:rPr>
          <w:highlight w:val="none"/>
        </w:rPr>
        <w:t xml:space="preserve"> – </w:t>
      </w:r>
      <w:r>
        <w:rPr>
          <w:rFonts w:hint="eastAsia" w:eastAsiaTheme="minorEastAsia"/>
          <w:highlight w:val="none"/>
          <w:lang w:eastAsia="zh-CN"/>
        </w:rPr>
        <w:t xml:space="preserve">SNR </w:t>
      </w:r>
      <w:r>
        <w:rPr>
          <w:rFonts w:eastAsiaTheme="minorEastAsia"/>
          <w:highlight w:val="none"/>
          <w:lang w:eastAsia="zh-CN"/>
        </w:rPr>
        <w:t>degradation</w:t>
      </w:r>
      <w:r>
        <w:rPr>
          <w:highlight w:val="none"/>
        </w:rPr>
        <w:t xml:space="preserve"> relative to the reference @10% BLER</w:t>
      </w:r>
    </w:p>
    <w:bookmarkEnd w:id="11"/>
    <w:p w14:paraId="1CF59D43">
      <w:pPr>
        <w:pStyle w:val="2"/>
        <w:rPr>
          <w:rFonts w:eastAsia="宋体"/>
          <w:highlight w:val="none"/>
          <w:lang w:eastAsia="zh-CN"/>
        </w:rPr>
      </w:pPr>
      <w:r>
        <w:rPr>
          <w:rFonts w:hint="eastAsia" w:eastAsia="宋体"/>
          <w:highlight w:val="none"/>
          <w:lang w:eastAsia="zh-CN"/>
        </w:rPr>
        <w:t>Conclusion</w:t>
      </w:r>
    </w:p>
    <w:p w14:paraId="2D368AE8">
      <w:pPr>
        <w:rPr>
          <w:rFonts w:eastAsia="宋体"/>
          <w:sz w:val="22"/>
          <w:szCs w:val="22"/>
          <w:highlight w:val="none"/>
          <w:lang w:eastAsia="zh-CN"/>
        </w:rPr>
      </w:pPr>
      <w:r>
        <w:rPr>
          <w:rFonts w:eastAsia="宋体"/>
          <w:sz w:val="22"/>
          <w:szCs w:val="22"/>
          <w:highlight w:val="none"/>
          <w:lang w:eastAsia="zh-CN"/>
        </w:rPr>
        <w:t>This contribution makes the following observations and proposals.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5"/>
        <w:gridCol w:w="4184"/>
        <w:gridCol w:w="3285"/>
      </w:tblGrid>
      <w:tr w14:paraId="7A0F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tcPr>
          <w:p w14:paraId="74CD7C05">
            <w:pPr>
              <w:rPr>
                <w:rFonts w:hint="default"/>
                <w:highlight w:val="none"/>
                <w:vertAlign w:val="baseline"/>
                <w:lang w:val="en-US" w:eastAsia="zh-CN"/>
              </w:rPr>
            </w:pPr>
            <w:r>
              <w:rPr>
                <w:rFonts w:hint="eastAsia"/>
                <w:highlight w:val="none"/>
                <w:vertAlign w:val="baseline"/>
                <w:lang w:val="en-US" w:eastAsia="zh-CN"/>
              </w:rPr>
              <w:t>target</w:t>
            </w:r>
          </w:p>
        </w:tc>
        <w:tc>
          <w:tcPr>
            <w:tcW w:w="4184" w:type="dxa"/>
          </w:tcPr>
          <w:p w14:paraId="49FEDA97">
            <w:pPr>
              <w:rPr>
                <w:rFonts w:hint="default"/>
                <w:highlight w:val="none"/>
                <w:vertAlign w:val="baseline"/>
                <w:lang w:val="en-US" w:eastAsia="zh-CN"/>
              </w:rPr>
            </w:pPr>
            <w:r>
              <w:rPr>
                <w:rFonts w:hint="eastAsia"/>
                <w:highlight w:val="none"/>
                <w:vertAlign w:val="baseline"/>
                <w:lang w:val="en-US" w:eastAsia="zh-CN"/>
              </w:rPr>
              <w:t>technology</w:t>
            </w:r>
          </w:p>
        </w:tc>
        <w:tc>
          <w:tcPr>
            <w:tcW w:w="3285" w:type="dxa"/>
          </w:tcPr>
          <w:p w14:paraId="30A9007E">
            <w:pPr>
              <w:rPr>
                <w:rFonts w:hint="default"/>
                <w:highlight w:val="none"/>
                <w:vertAlign w:val="baseline"/>
                <w:lang w:val="en-US" w:eastAsia="zh-CN"/>
              </w:rPr>
            </w:pPr>
            <w:r>
              <w:rPr>
                <w:rFonts w:hint="eastAsia"/>
                <w:highlight w:val="none"/>
                <w:vertAlign w:val="baseline"/>
                <w:lang w:val="en-US" w:eastAsia="zh-CN"/>
              </w:rPr>
              <w:t>drawbacks</w:t>
            </w:r>
          </w:p>
        </w:tc>
      </w:tr>
      <w:tr w14:paraId="46C2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restart"/>
            <w:vAlign w:val="center"/>
          </w:tcPr>
          <w:p w14:paraId="5583C7E9">
            <w:pPr>
              <w:jc w:val="left"/>
              <w:rPr>
                <w:rFonts w:hint="default"/>
                <w:highlight w:val="none"/>
                <w:vertAlign w:val="baseline"/>
                <w:lang w:val="en-US" w:eastAsia="zh-CN"/>
              </w:rPr>
            </w:pPr>
            <w:r>
              <w:rPr>
                <w:rFonts w:hint="eastAsia"/>
                <w:highlight w:val="none"/>
                <w:vertAlign w:val="baseline"/>
                <w:lang w:val="en-US" w:eastAsia="zh-CN"/>
              </w:rPr>
              <w:t>High PAE</w:t>
            </w:r>
          </w:p>
        </w:tc>
        <w:tc>
          <w:tcPr>
            <w:tcW w:w="4184" w:type="dxa"/>
          </w:tcPr>
          <w:p w14:paraId="3B153027">
            <w:pPr>
              <w:rPr>
                <w:rFonts w:hint="default"/>
                <w:highlight w:val="none"/>
                <w:vertAlign w:val="baseline"/>
                <w:lang w:val="en-US" w:eastAsia="zh-CN"/>
              </w:rPr>
            </w:pPr>
            <w:r>
              <w:rPr>
                <w:rFonts w:hint="eastAsia"/>
                <w:highlight w:val="none"/>
                <w:vertAlign w:val="baseline"/>
                <w:lang w:val="en-US" w:eastAsia="zh-CN"/>
              </w:rPr>
              <w:t>Higher Vcc supply</w:t>
            </w:r>
          </w:p>
        </w:tc>
        <w:tc>
          <w:tcPr>
            <w:tcW w:w="3285" w:type="dxa"/>
          </w:tcPr>
          <w:p w14:paraId="02F15321">
            <w:pPr>
              <w:rPr>
                <w:rFonts w:hint="eastAsia"/>
                <w:highlight w:val="none"/>
                <w:vertAlign w:val="baseline"/>
                <w:lang w:val="en-US" w:eastAsia="zh-CN"/>
              </w:rPr>
            </w:pPr>
            <w:r>
              <w:rPr>
                <w:rFonts w:hint="eastAsia"/>
                <w:highlight w:val="none"/>
                <w:vertAlign w:val="baseline"/>
                <w:lang w:val="en-US" w:eastAsia="zh-CN"/>
              </w:rPr>
              <w:t>Need DC-DC boost</w:t>
            </w:r>
          </w:p>
          <w:p w14:paraId="14E78855">
            <w:pPr>
              <w:rPr>
                <w:rFonts w:hint="default"/>
                <w:highlight w:val="none"/>
                <w:vertAlign w:val="baseline"/>
                <w:lang w:val="en-US" w:eastAsia="zh-CN"/>
              </w:rPr>
            </w:pPr>
            <w:r>
              <w:rPr>
                <w:rFonts w:hint="eastAsia"/>
                <w:highlight w:val="none"/>
                <w:vertAlign w:val="baseline"/>
                <w:lang w:val="en-US" w:eastAsia="zh-CN"/>
              </w:rPr>
              <w:t>The most effective solution based on a comprehensive comparison</w:t>
            </w:r>
          </w:p>
        </w:tc>
      </w:tr>
      <w:tr w14:paraId="4835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659BF29B">
            <w:pPr>
              <w:rPr>
                <w:rFonts w:hint="default"/>
                <w:highlight w:val="none"/>
                <w:vertAlign w:val="baseline"/>
                <w:lang w:val="en-US" w:eastAsia="zh-CN"/>
              </w:rPr>
            </w:pPr>
          </w:p>
        </w:tc>
        <w:tc>
          <w:tcPr>
            <w:tcW w:w="4184" w:type="dxa"/>
          </w:tcPr>
          <w:p w14:paraId="22BDCFC3">
            <w:pPr>
              <w:rPr>
                <w:rFonts w:hint="default"/>
                <w:highlight w:val="none"/>
                <w:vertAlign w:val="baseline"/>
                <w:lang w:val="en-US" w:eastAsia="zh-CN"/>
              </w:rPr>
            </w:pPr>
            <w:r>
              <w:rPr>
                <w:rFonts w:hint="eastAsia"/>
                <w:highlight w:val="none"/>
                <w:vertAlign w:val="baseline"/>
                <w:lang w:val="en-US" w:eastAsia="zh-CN"/>
              </w:rPr>
              <w:t xml:space="preserve">ET PA </w:t>
            </w:r>
          </w:p>
        </w:tc>
        <w:tc>
          <w:tcPr>
            <w:tcW w:w="3285" w:type="dxa"/>
          </w:tcPr>
          <w:p w14:paraId="2EF9BA2F">
            <w:pPr>
              <w:rPr>
                <w:rFonts w:hint="eastAsia"/>
                <w:highlight w:val="none"/>
                <w:vertAlign w:val="baseline"/>
                <w:lang w:val="en-US" w:eastAsia="zh-CN"/>
              </w:rPr>
            </w:pPr>
            <w:r>
              <w:rPr>
                <w:rFonts w:hint="eastAsia"/>
                <w:highlight w:val="none"/>
                <w:vertAlign w:val="baseline"/>
                <w:lang w:val="en-US" w:eastAsia="zh-CN"/>
              </w:rPr>
              <w:t>ET PA needs high efficiency ET modulator</w:t>
            </w:r>
          </w:p>
          <w:p w14:paraId="44710455">
            <w:pPr>
              <w:rPr>
                <w:rFonts w:hint="default"/>
                <w:highlight w:val="none"/>
                <w:vertAlign w:val="baseline"/>
                <w:lang w:val="en-US" w:eastAsia="zh-CN"/>
              </w:rPr>
            </w:pPr>
            <w:r>
              <w:rPr>
                <w:rFonts w:hint="eastAsia"/>
                <w:highlight w:val="none"/>
                <w:vertAlign w:val="baseline"/>
                <w:lang w:val="en-US" w:eastAsia="zh-CN"/>
              </w:rPr>
              <w:t>ET PA can</w:t>
            </w:r>
            <w:r>
              <w:rPr>
                <w:rFonts w:hint="default"/>
                <w:highlight w:val="none"/>
                <w:vertAlign w:val="baseline"/>
                <w:lang w:val="en-US" w:eastAsia="zh-CN"/>
              </w:rPr>
              <w:t>’</w:t>
            </w:r>
            <w:r>
              <w:rPr>
                <w:rFonts w:hint="eastAsia"/>
                <w:highlight w:val="none"/>
                <w:vertAlign w:val="baseline"/>
                <w:lang w:val="en-US" w:eastAsia="zh-CN"/>
              </w:rPr>
              <w:t>t support larger than 100MHz</w:t>
            </w:r>
          </w:p>
        </w:tc>
      </w:tr>
      <w:tr w14:paraId="2370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7DF0F523">
            <w:pPr>
              <w:rPr>
                <w:rFonts w:hint="default"/>
                <w:highlight w:val="none"/>
                <w:vertAlign w:val="baseline"/>
                <w:lang w:val="en-US" w:eastAsia="zh-CN"/>
              </w:rPr>
            </w:pPr>
          </w:p>
        </w:tc>
        <w:tc>
          <w:tcPr>
            <w:tcW w:w="4184" w:type="dxa"/>
          </w:tcPr>
          <w:p w14:paraId="23303CE9">
            <w:pPr>
              <w:rPr>
                <w:rFonts w:hint="default"/>
                <w:highlight w:val="none"/>
                <w:vertAlign w:val="baseline"/>
                <w:lang w:val="en-US" w:eastAsia="zh-CN"/>
              </w:rPr>
            </w:pPr>
            <w:r>
              <w:rPr>
                <w:rFonts w:hint="eastAsia"/>
                <w:highlight w:val="none"/>
                <w:vertAlign w:val="baseline"/>
                <w:lang w:val="en-US" w:eastAsia="zh-CN"/>
              </w:rPr>
              <w:t>High accuracy APT PA</w:t>
            </w:r>
          </w:p>
        </w:tc>
        <w:tc>
          <w:tcPr>
            <w:tcW w:w="3285" w:type="dxa"/>
          </w:tcPr>
          <w:p w14:paraId="3A736E48">
            <w:pPr>
              <w:rPr>
                <w:rFonts w:hint="default"/>
                <w:highlight w:val="none"/>
                <w:vertAlign w:val="baseline"/>
                <w:lang w:val="en-US" w:eastAsia="zh-CN"/>
              </w:rPr>
            </w:pPr>
            <w:r>
              <w:rPr>
                <w:rFonts w:hint="eastAsia"/>
                <w:highlight w:val="none"/>
                <w:vertAlign w:val="baseline"/>
                <w:lang w:val="en-US" w:eastAsia="zh-CN"/>
              </w:rPr>
              <w:t>Further study how to model it with PA modeling.</w:t>
            </w:r>
          </w:p>
        </w:tc>
      </w:tr>
      <w:tr w14:paraId="54C6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6C4D6CD4">
            <w:pPr>
              <w:rPr>
                <w:rFonts w:hint="default"/>
                <w:highlight w:val="none"/>
                <w:vertAlign w:val="baseline"/>
                <w:lang w:val="en-US" w:eastAsia="zh-CN"/>
              </w:rPr>
            </w:pPr>
          </w:p>
        </w:tc>
        <w:tc>
          <w:tcPr>
            <w:tcW w:w="4184" w:type="dxa"/>
          </w:tcPr>
          <w:p w14:paraId="7735A0D5">
            <w:pPr>
              <w:rPr>
                <w:rFonts w:hint="default"/>
                <w:highlight w:val="none"/>
                <w:vertAlign w:val="baseline"/>
                <w:lang w:val="en-US" w:eastAsia="zh-CN"/>
              </w:rPr>
            </w:pPr>
            <w:r>
              <w:rPr>
                <w:rFonts w:hint="eastAsia"/>
                <w:highlight w:val="none"/>
                <w:vertAlign w:val="baseline"/>
                <w:lang w:val="en-US" w:eastAsia="zh-CN"/>
              </w:rPr>
              <w:t>Increase PA load-line</w:t>
            </w:r>
          </w:p>
        </w:tc>
        <w:tc>
          <w:tcPr>
            <w:tcW w:w="3285" w:type="dxa"/>
          </w:tcPr>
          <w:p w14:paraId="60CC4F4F">
            <w:pPr>
              <w:rPr>
                <w:rFonts w:hint="default"/>
                <w:highlight w:val="none"/>
                <w:vertAlign w:val="baseline"/>
                <w:lang w:val="en-US" w:eastAsia="zh-CN"/>
              </w:rPr>
            </w:pPr>
            <w:r>
              <w:rPr>
                <w:rFonts w:hint="eastAsia"/>
                <w:highlight w:val="none"/>
                <w:vertAlign w:val="baseline"/>
                <w:lang w:val="en-US" w:eastAsia="zh-CN"/>
              </w:rPr>
              <w:t>Needs increase Vcc for higher output power but the enhancement is limited</w:t>
            </w:r>
          </w:p>
        </w:tc>
      </w:tr>
      <w:tr w14:paraId="110B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vMerge w:val="continue"/>
          </w:tcPr>
          <w:p w14:paraId="29DE36BF">
            <w:pPr>
              <w:rPr>
                <w:rFonts w:hint="default"/>
                <w:highlight w:val="none"/>
                <w:vertAlign w:val="baseline"/>
                <w:lang w:val="en-US" w:eastAsia="zh-CN"/>
              </w:rPr>
            </w:pPr>
          </w:p>
        </w:tc>
        <w:tc>
          <w:tcPr>
            <w:tcW w:w="4184" w:type="dxa"/>
          </w:tcPr>
          <w:p w14:paraId="176B82DE">
            <w:pPr>
              <w:rPr>
                <w:rFonts w:hint="default"/>
                <w:highlight w:val="none"/>
                <w:vertAlign w:val="baseline"/>
                <w:lang w:val="en-US" w:eastAsia="zh-CN"/>
              </w:rPr>
            </w:pPr>
            <w:r>
              <w:rPr>
                <w:rFonts w:hint="eastAsia"/>
                <w:highlight w:val="none"/>
                <w:vertAlign w:val="baseline"/>
                <w:lang w:val="en-US" w:eastAsia="zh-CN"/>
              </w:rPr>
              <w:t>Push-Pull or Doherty PA</w:t>
            </w:r>
          </w:p>
        </w:tc>
        <w:tc>
          <w:tcPr>
            <w:tcW w:w="3285" w:type="dxa"/>
          </w:tcPr>
          <w:p w14:paraId="720E2A5E">
            <w:pPr>
              <w:rPr>
                <w:rFonts w:hint="default"/>
                <w:highlight w:val="none"/>
                <w:vertAlign w:val="baseline"/>
                <w:lang w:val="en-US" w:eastAsia="zh-CN"/>
              </w:rPr>
            </w:pPr>
            <w:r>
              <w:rPr>
                <w:rFonts w:hint="eastAsia"/>
                <w:highlight w:val="none"/>
                <w:vertAlign w:val="baseline"/>
                <w:lang w:val="en-US" w:eastAsia="zh-CN"/>
              </w:rPr>
              <w:t>Induce linearity issues, no use for current &lt;6GHz UE</w:t>
            </w:r>
          </w:p>
        </w:tc>
      </w:tr>
      <w:tr w14:paraId="04BC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tcPr>
          <w:p w14:paraId="7ADA2F62">
            <w:pPr>
              <w:rPr>
                <w:rFonts w:hint="default"/>
                <w:highlight w:val="none"/>
                <w:vertAlign w:val="baseline"/>
                <w:lang w:val="en-US" w:eastAsia="zh-CN"/>
              </w:rPr>
            </w:pPr>
            <w:r>
              <w:rPr>
                <w:rFonts w:hint="eastAsia"/>
                <w:highlight w:val="none"/>
                <w:vertAlign w:val="baseline"/>
                <w:lang w:val="en-US" w:eastAsia="zh-CN"/>
              </w:rPr>
              <w:t>High linearity</w:t>
            </w:r>
          </w:p>
        </w:tc>
        <w:tc>
          <w:tcPr>
            <w:tcW w:w="4184" w:type="dxa"/>
          </w:tcPr>
          <w:p w14:paraId="7E861914">
            <w:pPr>
              <w:rPr>
                <w:rFonts w:hint="default"/>
                <w:highlight w:val="none"/>
                <w:vertAlign w:val="baseline"/>
                <w:lang w:val="en-US" w:eastAsia="zh-CN"/>
              </w:rPr>
            </w:pPr>
            <w:r>
              <w:rPr>
                <w:rFonts w:hint="eastAsia"/>
                <w:highlight w:val="none"/>
                <w:vertAlign w:val="baseline"/>
                <w:lang w:val="en-US" w:eastAsia="zh-CN"/>
              </w:rPr>
              <w:t>DPD</w:t>
            </w:r>
          </w:p>
        </w:tc>
        <w:tc>
          <w:tcPr>
            <w:tcW w:w="3285" w:type="dxa"/>
          </w:tcPr>
          <w:p w14:paraId="55367DE7">
            <w:pPr>
              <w:rPr>
                <w:rFonts w:hint="default"/>
                <w:highlight w:val="none"/>
                <w:vertAlign w:val="baseline"/>
                <w:lang w:val="en-US" w:eastAsia="zh-CN"/>
              </w:rPr>
            </w:pPr>
            <w:r>
              <w:rPr>
                <w:rFonts w:hint="eastAsia"/>
                <w:highlight w:val="none"/>
                <w:vertAlign w:val="baseline"/>
                <w:lang w:val="en-US" w:eastAsia="zh-CN"/>
              </w:rPr>
              <w:t>Adapt the separate Rx chain and DPD algorithm</w:t>
            </w:r>
          </w:p>
        </w:tc>
      </w:tr>
    </w:tbl>
    <w:p w14:paraId="54CA3E86">
      <w:pPr>
        <w:rPr>
          <w:rFonts w:hint="eastAsia"/>
          <w:b/>
          <w:bCs/>
          <w:highlight w:val="none"/>
          <w:lang w:val="en-US" w:eastAsia="zh-CN"/>
        </w:rPr>
      </w:pPr>
    </w:p>
    <w:p w14:paraId="5173CF83">
      <w:pPr>
        <w:rPr>
          <w:rFonts w:hint="default"/>
          <w:b/>
          <w:bCs/>
          <w:highlight w:val="none"/>
          <w:lang w:val="en-US" w:eastAsia="zh-CN"/>
        </w:rPr>
      </w:pPr>
      <w:r>
        <w:rPr>
          <w:rFonts w:hint="eastAsia"/>
          <w:b/>
          <w:bCs/>
          <w:highlight w:val="none"/>
          <w:lang w:val="en-US" w:eastAsia="zh-CN"/>
        </w:rPr>
        <w:t>Observation 1: above list the candidate solutions to enhanced PA PAE and linearity performance with corresponding drawbacks, among which, higher Vcc supply seems like the most effective solutions.</w:t>
      </w:r>
    </w:p>
    <w:p w14:paraId="615B0F6D">
      <w:pPr>
        <w:rPr>
          <w:rFonts w:hint="eastAsia"/>
          <w:b/>
          <w:bCs/>
          <w:highlight w:val="none"/>
          <w:lang w:val="en-US" w:eastAsia="zh-CN"/>
        </w:rPr>
      </w:pPr>
      <w:r>
        <w:rPr>
          <w:rFonts w:hint="eastAsia"/>
          <w:b/>
          <w:bCs/>
          <w:highlight w:val="none"/>
          <w:lang w:val="en-US" w:eastAsia="zh-CN"/>
        </w:rPr>
        <w:t>Observation 2: when UE support max 400MHz CBW, the memory effect should be taken into consideration for PA modeling.</w:t>
      </w:r>
    </w:p>
    <w:p w14:paraId="7BA30EA2">
      <w:pPr>
        <w:rPr>
          <w:rFonts w:hint="default"/>
          <w:b/>
          <w:bCs/>
          <w:highlight w:val="none"/>
          <w:lang w:val="en-US" w:eastAsia="zh-CN"/>
        </w:rPr>
      </w:pPr>
      <w:r>
        <w:rPr>
          <w:rFonts w:hint="eastAsia"/>
          <w:b/>
          <w:bCs/>
          <w:highlight w:val="none"/>
          <w:lang w:val="en-US" w:eastAsia="zh-CN"/>
        </w:rPr>
        <w:t>Proposal 1: further check whether the IQ suppression and carrier leakage can be enhanced from 28dBc</w:t>
      </w:r>
    </w:p>
    <w:p w14:paraId="3A13079C">
      <w:pPr>
        <w:numPr>
          <w:ilvl w:val="0"/>
          <w:numId w:val="0"/>
        </w:numPr>
        <w:spacing w:before="0" w:after="0"/>
        <w:ind w:leftChars="0"/>
        <w:jc w:val="both"/>
        <w:rPr>
          <w:rFonts w:ascii="Times" w:hAnsi="Times" w:eastAsia="Batang" w:cs="Times New Roman"/>
          <w:b/>
          <w:bCs/>
          <w:szCs w:val="24"/>
          <w:highlight w:val="none"/>
          <w:lang w:val="en-GB" w:eastAsia="zh-CN" w:bidi="ar-SA"/>
        </w:rPr>
      </w:pPr>
      <w:r>
        <w:rPr>
          <w:rFonts w:hint="eastAsia" w:ascii="Times" w:hAnsi="Times" w:eastAsia="Batang" w:cs="Times New Roman"/>
          <w:b/>
          <w:bCs/>
          <w:szCs w:val="24"/>
          <w:highlight w:val="none"/>
          <w:lang w:val="en-US" w:eastAsia="zh-CN" w:bidi="ar-SA"/>
        </w:rPr>
        <w:t>Proposal 2： Related RF requirements for lower PAPR evaluation include ACLR, MPR and EVM requirements</w:t>
      </w:r>
    </w:p>
    <w:p w14:paraId="59EB3AA4">
      <w:pPr>
        <w:numPr>
          <w:ilvl w:val="0"/>
          <w:numId w:val="0"/>
        </w:numPr>
        <w:spacing w:before="0" w:after="0"/>
        <w:ind w:leftChars="0"/>
        <w:jc w:val="both"/>
        <w:rPr>
          <w:rFonts w:ascii="Times" w:hAnsi="Times" w:eastAsia="Batang" w:cs="Times New Roman"/>
          <w:b/>
          <w:bCs/>
          <w:szCs w:val="24"/>
          <w:highlight w:val="none"/>
          <w:lang w:val="en-GB" w:eastAsia="zh-CN" w:bidi="ar-SA"/>
        </w:rPr>
      </w:pPr>
      <w:r>
        <w:rPr>
          <w:rFonts w:hint="eastAsia" w:ascii="Times" w:hAnsi="Times" w:eastAsia="Batang" w:cs="Times New Roman"/>
          <w:b/>
          <w:bCs/>
          <w:szCs w:val="24"/>
          <w:highlight w:val="none"/>
          <w:lang w:val="en-US" w:eastAsia="zh-CN" w:bidi="ar-SA"/>
        </w:rPr>
        <w:t>Proposal 3：</w:t>
      </w:r>
      <w:r>
        <w:rPr>
          <w:rFonts w:hint="eastAsia" w:ascii="Times" w:hAnsi="Times" w:eastAsia="Batang" w:cs="Times New Roman"/>
          <w:b/>
          <w:bCs/>
          <w:szCs w:val="24"/>
          <w:highlight w:val="none"/>
          <w:lang w:val="en-GB" w:eastAsia="zh-CN" w:bidi="ar-SA"/>
        </w:rPr>
        <w:t>It’s suggested to use this net gain as performance metric for low-PAPR evaluation.</w:t>
      </w:r>
    </w:p>
    <w:p w14:paraId="0E8CE251">
      <w:pPr>
        <w:pStyle w:val="25"/>
        <w:numPr>
          <w:ilvl w:val="0"/>
          <w:numId w:val="0"/>
        </w:numPr>
        <w:spacing w:after="180"/>
        <w:contextualSpacing/>
        <w:rPr>
          <w:rFonts w:hint="eastAsia" w:eastAsia="宋体"/>
          <w:b/>
          <w:bCs/>
          <w:highlight w:val="none"/>
          <w:lang w:val="en-US" w:eastAsia="zh-CN"/>
        </w:rPr>
      </w:pPr>
      <w:r>
        <w:rPr>
          <w:highlight w:val="none"/>
        </w:rPr>
        <w:t>Net Gain [dB] = Tx power gain</w:t>
      </w:r>
      <w:r>
        <w:rPr>
          <w:rFonts w:hint="eastAsia" w:eastAsiaTheme="minorEastAsia"/>
          <w:highlight w:val="none"/>
          <w:lang w:eastAsia="zh-CN"/>
        </w:rPr>
        <w:t xml:space="preserve"> relative to the reference</w:t>
      </w:r>
      <w:r>
        <w:rPr>
          <w:highlight w:val="none"/>
        </w:rPr>
        <w:t xml:space="preserve"> – </w:t>
      </w:r>
      <w:r>
        <w:rPr>
          <w:rFonts w:hint="eastAsia" w:eastAsiaTheme="minorEastAsia"/>
          <w:highlight w:val="none"/>
          <w:lang w:eastAsia="zh-CN"/>
        </w:rPr>
        <w:t xml:space="preserve">SNR </w:t>
      </w:r>
      <w:r>
        <w:rPr>
          <w:rFonts w:eastAsiaTheme="minorEastAsia"/>
          <w:highlight w:val="none"/>
          <w:lang w:eastAsia="zh-CN"/>
        </w:rPr>
        <w:t>degradation</w:t>
      </w:r>
      <w:r>
        <w:rPr>
          <w:highlight w:val="none"/>
        </w:rPr>
        <w:t xml:space="preserve"> relative to the reference @10% BLER</w:t>
      </w:r>
    </w:p>
    <w:p w14:paraId="5EEE4E53">
      <w:pPr>
        <w:pStyle w:val="2"/>
        <w:ind w:left="0" w:firstLine="0"/>
        <w:rPr>
          <w:highlight w:val="none"/>
        </w:rPr>
      </w:pPr>
      <w:r>
        <w:rPr>
          <w:highlight w:val="none"/>
        </w:rPr>
        <w:t>References</w:t>
      </w:r>
    </w:p>
    <w:bookmarkEnd w:id="3"/>
    <w:bookmarkEnd w:id="4"/>
    <w:bookmarkEnd w:id="5"/>
    <w:p w14:paraId="3A3CD9C8">
      <w:pPr>
        <w:pStyle w:val="49"/>
        <w:numPr>
          <w:ilvl w:val="0"/>
          <w:numId w:val="6"/>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RP-251881, New SID: Study on 6G Radio, NTT DOCOMO</w:t>
      </w:r>
    </w:p>
    <w:p w14:paraId="6914961F">
      <w:pPr>
        <w:pStyle w:val="49"/>
        <w:numPr>
          <w:ilvl w:val="0"/>
          <w:numId w:val="6"/>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R4-2514641, WF on system parameter, HW</w:t>
      </w:r>
    </w:p>
    <w:p w14:paraId="7DB0DB6B">
      <w:pPr>
        <w:pStyle w:val="49"/>
        <w:numPr>
          <w:ilvl w:val="0"/>
          <w:numId w:val="6"/>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R4-2514643, LS on 6G parameter, HW</w:t>
      </w:r>
    </w:p>
    <w:p w14:paraId="32FA68F5">
      <w:pPr>
        <w:pStyle w:val="49"/>
        <w:numPr>
          <w:ilvl w:val="0"/>
          <w:numId w:val="6"/>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R1-2508069, LS on PA models in 6GR waveform evaluations, HW</w:t>
      </w:r>
    </w:p>
    <w:p w14:paraId="5021D1EB">
      <w:pPr>
        <w:pStyle w:val="49"/>
        <w:numPr>
          <w:ilvl w:val="0"/>
          <w:numId w:val="0"/>
        </w:numPr>
        <w:ind w:leftChars="0"/>
        <w:rPr>
          <w:rFonts w:hint="eastAsia" w:eastAsia="Malgun Gothic"/>
          <w:sz w:val="20"/>
          <w:szCs w:val="20"/>
          <w:highlight w:val="none"/>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0C3F0ECE"/>
    <w:multiLevelType w:val="multilevel"/>
    <w:tmpl w:val="0C3F0EC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3FE91D8F"/>
    <w:multiLevelType w:val="multilevel"/>
    <w:tmpl w:val="3FE91D8F"/>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4">
    <w:nsid w:val="4AD91956"/>
    <w:multiLevelType w:val="multilevel"/>
    <w:tmpl w:val="4AD919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440" w:hanging="440"/>
      </w:pPr>
      <w:rPr>
        <w:rFonts w:hint="default" w:ascii="Symbol" w:hAnsi="Symbo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0"/>
  </w:num>
  <w:num w:numId="2">
    <w:abstractNumId w:val="5"/>
  </w:num>
  <w:num w:numId="3">
    <w:abstractNumId w:val="2"/>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F96EC8"/>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0944D1"/>
    <w:rsid w:val="062C0CFF"/>
    <w:rsid w:val="06DA35FE"/>
    <w:rsid w:val="07AF6AAA"/>
    <w:rsid w:val="07B870C2"/>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D71E42"/>
    <w:rsid w:val="0DF453A6"/>
    <w:rsid w:val="0E4449F4"/>
    <w:rsid w:val="0F131023"/>
    <w:rsid w:val="0F2862EC"/>
    <w:rsid w:val="0F372FF9"/>
    <w:rsid w:val="0F673852"/>
    <w:rsid w:val="0FC21BD9"/>
    <w:rsid w:val="0FC264EA"/>
    <w:rsid w:val="0FEA5EE3"/>
    <w:rsid w:val="0FF468C5"/>
    <w:rsid w:val="101F0E02"/>
    <w:rsid w:val="10487BBA"/>
    <w:rsid w:val="104D01F0"/>
    <w:rsid w:val="10AA0E51"/>
    <w:rsid w:val="10F320DF"/>
    <w:rsid w:val="11036AF6"/>
    <w:rsid w:val="115C61ED"/>
    <w:rsid w:val="118A0054"/>
    <w:rsid w:val="118C0FD9"/>
    <w:rsid w:val="12E3738C"/>
    <w:rsid w:val="13E41255"/>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46226"/>
    <w:rsid w:val="16864F84"/>
    <w:rsid w:val="17193D80"/>
    <w:rsid w:val="1720040C"/>
    <w:rsid w:val="17217381"/>
    <w:rsid w:val="17A440D7"/>
    <w:rsid w:val="17B3553E"/>
    <w:rsid w:val="17F06755"/>
    <w:rsid w:val="181C2A9C"/>
    <w:rsid w:val="182A67AD"/>
    <w:rsid w:val="18B25493"/>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65127F"/>
    <w:rsid w:val="1B996E3D"/>
    <w:rsid w:val="1BB52303"/>
    <w:rsid w:val="1BB81089"/>
    <w:rsid w:val="1C7C56D8"/>
    <w:rsid w:val="1C8B6E63"/>
    <w:rsid w:val="1CC1153B"/>
    <w:rsid w:val="1CCB2BC8"/>
    <w:rsid w:val="1CFC16A6"/>
    <w:rsid w:val="1CFF359F"/>
    <w:rsid w:val="1D0B4E33"/>
    <w:rsid w:val="1D7404DD"/>
    <w:rsid w:val="1E0408DC"/>
    <w:rsid w:val="1E746983"/>
    <w:rsid w:val="1E7D5094"/>
    <w:rsid w:val="1F1330A4"/>
    <w:rsid w:val="1F211421"/>
    <w:rsid w:val="1F3F164B"/>
    <w:rsid w:val="1F5E4382"/>
    <w:rsid w:val="1FE80822"/>
    <w:rsid w:val="204C400B"/>
    <w:rsid w:val="21186BD7"/>
    <w:rsid w:val="21B535DD"/>
    <w:rsid w:val="21D346CC"/>
    <w:rsid w:val="232C6642"/>
    <w:rsid w:val="233D19B4"/>
    <w:rsid w:val="23537507"/>
    <w:rsid w:val="24E055E0"/>
    <w:rsid w:val="251406E0"/>
    <w:rsid w:val="25465A38"/>
    <w:rsid w:val="256107E0"/>
    <w:rsid w:val="25EC61C5"/>
    <w:rsid w:val="26270314"/>
    <w:rsid w:val="26770328"/>
    <w:rsid w:val="26F43175"/>
    <w:rsid w:val="27112725"/>
    <w:rsid w:val="27E466EC"/>
    <w:rsid w:val="27FA6A57"/>
    <w:rsid w:val="282412E8"/>
    <w:rsid w:val="28486025"/>
    <w:rsid w:val="2888557E"/>
    <w:rsid w:val="28AC24C6"/>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CE4132"/>
    <w:rsid w:val="2ADC5FDE"/>
    <w:rsid w:val="2B3712F2"/>
    <w:rsid w:val="2B463C55"/>
    <w:rsid w:val="2B956A91"/>
    <w:rsid w:val="2BAA2CF4"/>
    <w:rsid w:val="2BB12B3E"/>
    <w:rsid w:val="2BDB094E"/>
    <w:rsid w:val="2BE11E2F"/>
    <w:rsid w:val="2C6A44EB"/>
    <w:rsid w:val="2CD90022"/>
    <w:rsid w:val="2D3227EF"/>
    <w:rsid w:val="2D7C0DEF"/>
    <w:rsid w:val="2D8D5C78"/>
    <w:rsid w:val="2DBD1919"/>
    <w:rsid w:val="2E285745"/>
    <w:rsid w:val="2ED148FB"/>
    <w:rsid w:val="2EE6487F"/>
    <w:rsid w:val="2F1302DB"/>
    <w:rsid w:val="2F1A0A62"/>
    <w:rsid w:val="2FE62223"/>
    <w:rsid w:val="30390517"/>
    <w:rsid w:val="30853026"/>
    <w:rsid w:val="30A532D8"/>
    <w:rsid w:val="31422411"/>
    <w:rsid w:val="31743165"/>
    <w:rsid w:val="31E10D64"/>
    <w:rsid w:val="321B43C1"/>
    <w:rsid w:val="332F3E0C"/>
    <w:rsid w:val="334B2535"/>
    <w:rsid w:val="34572B3B"/>
    <w:rsid w:val="34AC75AB"/>
    <w:rsid w:val="34DA42C5"/>
    <w:rsid w:val="34EA0CDC"/>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B6C6E"/>
    <w:rsid w:val="39674039"/>
    <w:rsid w:val="39B22BE2"/>
    <w:rsid w:val="3A1431FA"/>
    <w:rsid w:val="3AC53FE9"/>
    <w:rsid w:val="3B5D4EDB"/>
    <w:rsid w:val="3C0E719B"/>
    <w:rsid w:val="3C2E21CB"/>
    <w:rsid w:val="3C512802"/>
    <w:rsid w:val="3C985175"/>
    <w:rsid w:val="3CC75F2B"/>
    <w:rsid w:val="3CEE3985"/>
    <w:rsid w:val="3D1C5404"/>
    <w:rsid w:val="3D6D113A"/>
    <w:rsid w:val="3DAF1ABE"/>
    <w:rsid w:val="3DC0045B"/>
    <w:rsid w:val="3DE5069A"/>
    <w:rsid w:val="3DF210E6"/>
    <w:rsid w:val="3E286C4C"/>
    <w:rsid w:val="3E390124"/>
    <w:rsid w:val="3F0142EA"/>
    <w:rsid w:val="3F067877"/>
    <w:rsid w:val="3F675313"/>
    <w:rsid w:val="3F6F3890"/>
    <w:rsid w:val="3F7A6532"/>
    <w:rsid w:val="3F87756C"/>
    <w:rsid w:val="40227C45"/>
    <w:rsid w:val="40594B0F"/>
    <w:rsid w:val="408B3411"/>
    <w:rsid w:val="41126927"/>
    <w:rsid w:val="415B6A48"/>
    <w:rsid w:val="41612B4F"/>
    <w:rsid w:val="4205365D"/>
    <w:rsid w:val="422C351D"/>
    <w:rsid w:val="428803B3"/>
    <w:rsid w:val="42982C9D"/>
    <w:rsid w:val="42B67B31"/>
    <w:rsid w:val="42DC7E3D"/>
    <w:rsid w:val="42DE3341"/>
    <w:rsid w:val="4307643F"/>
    <w:rsid w:val="434929F0"/>
    <w:rsid w:val="4395737C"/>
    <w:rsid w:val="43CC05E0"/>
    <w:rsid w:val="44547A2A"/>
    <w:rsid w:val="446972D1"/>
    <w:rsid w:val="44705CD5"/>
    <w:rsid w:val="44890DFE"/>
    <w:rsid w:val="44953938"/>
    <w:rsid w:val="44FE1A35"/>
    <w:rsid w:val="450C745A"/>
    <w:rsid w:val="45481880"/>
    <w:rsid w:val="455B6F58"/>
    <w:rsid w:val="46547170"/>
    <w:rsid w:val="468160C4"/>
    <w:rsid w:val="468477C0"/>
    <w:rsid w:val="468C64C8"/>
    <w:rsid w:val="468E27CD"/>
    <w:rsid w:val="47461F7B"/>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7B5CAE"/>
    <w:rsid w:val="4D971D5B"/>
    <w:rsid w:val="4DA100EC"/>
    <w:rsid w:val="4DB72B71"/>
    <w:rsid w:val="4DC360A2"/>
    <w:rsid w:val="4E04490D"/>
    <w:rsid w:val="4E275DC7"/>
    <w:rsid w:val="4E283848"/>
    <w:rsid w:val="4E8251DC"/>
    <w:rsid w:val="4EB237AC"/>
    <w:rsid w:val="4ED22612"/>
    <w:rsid w:val="4EED5625"/>
    <w:rsid w:val="4F0963B9"/>
    <w:rsid w:val="4F8172FD"/>
    <w:rsid w:val="4F874A89"/>
    <w:rsid w:val="4F9B2B2B"/>
    <w:rsid w:val="4FE0641D"/>
    <w:rsid w:val="512A76B9"/>
    <w:rsid w:val="51C63383"/>
    <w:rsid w:val="52016097"/>
    <w:rsid w:val="520E0F94"/>
    <w:rsid w:val="5212491B"/>
    <w:rsid w:val="52551E4F"/>
    <w:rsid w:val="525B7A2A"/>
    <w:rsid w:val="528D14FE"/>
    <w:rsid w:val="536C30EB"/>
    <w:rsid w:val="536C5EBC"/>
    <w:rsid w:val="5402188F"/>
    <w:rsid w:val="54206DFA"/>
    <w:rsid w:val="54C06B56"/>
    <w:rsid w:val="550304E6"/>
    <w:rsid w:val="55532F8B"/>
    <w:rsid w:val="55B84EAE"/>
    <w:rsid w:val="55D1679A"/>
    <w:rsid w:val="56022A50"/>
    <w:rsid w:val="566118CC"/>
    <w:rsid w:val="567607EC"/>
    <w:rsid w:val="56874282"/>
    <w:rsid w:val="56B75990"/>
    <w:rsid w:val="5717302B"/>
    <w:rsid w:val="571C4FFB"/>
    <w:rsid w:val="5727418B"/>
    <w:rsid w:val="57555BD4"/>
    <w:rsid w:val="575842A9"/>
    <w:rsid w:val="578C1931"/>
    <w:rsid w:val="57BD7338"/>
    <w:rsid w:val="57FD01F7"/>
    <w:rsid w:val="583D5ED1"/>
    <w:rsid w:val="585F1909"/>
    <w:rsid w:val="59222CCC"/>
    <w:rsid w:val="59413C36"/>
    <w:rsid w:val="597823D6"/>
    <w:rsid w:val="59915493"/>
    <w:rsid w:val="59C31BDD"/>
    <w:rsid w:val="59E7017B"/>
    <w:rsid w:val="5B532BE1"/>
    <w:rsid w:val="5BDD0946"/>
    <w:rsid w:val="5BFB61F3"/>
    <w:rsid w:val="5CB71769"/>
    <w:rsid w:val="5D1715C8"/>
    <w:rsid w:val="5D39757E"/>
    <w:rsid w:val="5D9308DB"/>
    <w:rsid w:val="5DA94E08"/>
    <w:rsid w:val="5E702EFE"/>
    <w:rsid w:val="5EB016E9"/>
    <w:rsid w:val="5EBD2E25"/>
    <w:rsid w:val="5ED26803"/>
    <w:rsid w:val="5F4E11E7"/>
    <w:rsid w:val="5FB4440F"/>
    <w:rsid w:val="60631E7F"/>
    <w:rsid w:val="607F5CFE"/>
    <w:rsid w:val="60AA6949"/>
    <w:rsid w:val="60B430B8"/>
    <w:rsid w:val="60E32902"/>
    <w:rsid w:val="6106763F"/>
    <w:rsid w:val="615E2032"/>
    <w:rsid w:val="6190049D"/>
    <w:rsid w:val="61923FC2"/>
    <w:rsid w:val="628B743B"/>
    <w:rsid w:val="62D91574"/>
    <w:rsid w:val="63C6393F"/>
    <w:rsid w:val="63E450B4"/>
    <w:rsid w:val="65282282"/>
    <w:rsid w:val="657D3C94"/>
    <w:rsid w:val="66115A83"/>
    <w:rsid w:val="66166687"/>
    <w:rsid w:val="66BF109E"/>
    <w:rsid w:val="67104F71"/>
    <w:rsid w:val="675D7CA3"/>
    <w:rsid w:val="679D38C6"/>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0E17706"/>
    <w:rsid w:val="71A36941"/>
    <w:rsid w:val="71BF1842"/>
    <w:rsid w:val="72F21524"/>
    <w:rsid w:val="72FE0BBA"/>
    <w:rsid w:val="733B36BF"/>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5A5F60"/>
    <w:rsid w:val="77A779CA"/>
    <w:rsid w:val="77E55B44"/>
    <w:rsid w:val="783A248B"/>
    <w:rsid w:val="784B54E8"/>
    <w:rsid w:val="78601C0A"/>
    <w:rsid w:val="78630991"/>
    <w:rsid w:val="78B72619"/>
    <w:rsid w:val="791F0D44"/>
    <w:rsid w:val="79697EBE"/>
    <w:rsid w:val="79B576B5"/>
    <w:rsid w:val="79E26883"/>
    <w:rsid w:val="7A011336"/>
    <w:rsid w:val="7A3B0217"/>
    <w:rsid w:val="7ACF5207"/>
    <w:rsid w:val="7B0F1D7D"/>
    <w:rsid w:val="7B2E412F"/>
    <w:rsid w:val="7B377AE0"/>
    <w:rsid w:val="7B755B87"/>
    <w:rsid w:val="7B9954D3"/>
    <w:rsid w:val="7CAE5A9D"/>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2"/>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1"/>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0"/>
    <w:semiHidden/>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6"/>
    <w:unhideWhenUsed/>
    <w:qFormat/>
    <w:uiPriority w:val="0"/>
  </w:style>
  <w:style w:type="paragraph" w:styleId="12">
    <w:name w:val="footer"/>
    <w:basedOn w:val="1"/>
    <w:link w:val="30"/>
    <w:unhideWhenUsed/>
    <w:qFormat/>
    <w:uiPriority w:val="99"/>
    <w:pPr>
      <w:tabs>
        <w:tab w:val="center" w:pos="4153"/>
        <w:tab w:val="right" w:pos="8306"/>
      </w:tabs>
      <w:snapToGrid w:val="0"/>
    </w:pPr>
    <w:rPr>
      <w:sz w:val="18"/>
      <w:szCs w:val="18"/>
    </w:rPr>
  </w:style>
  <w:style w:type="paragraph" w:styleId="13">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annotation reference"/>
    <w:basedOn w:val="18"/>
    <w:semiHidden/>
    <w:unhideWhenUsed/>
    <w:qFormat/>
    <w:uiPriority w:val="99"/>
    <w:rPr>
      <w:sz w:val="21"/>
      <w:szCs w:val="21"/>
    </w:rPr>
  </w:style>
  <w:style w:type="character" w:customStyle="1" w:styleId="21">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2">
    <w:name w:val="标题 1 字符1"/>
    <w:link w:val="2"/>
    <w:qFormat/>
    <w:uiPriority w:val="0"/>
    <w:rPr>
      <w:rFonts w:ascii="Arial" w:hAnsi="Arial" w:eastAsia="Times New Roman" w:cs="Times New Roman"/>
      <w:kern w:val="0"/>
      <w:sz w:val="36"/>
      <w:szCs w:val="20"/>
      <w:lang w:val="en-GB" w:eastAsia="en-GB"/>
    </w:rPr>
  </w:style>
  <w:style w:type="paragraph" w:customStyle="1" w:styleId="23">
    <w:name w:val="EX"/>
    <w:basedOn w:val="1"/>
    <w:link w:val="24"/>
    <w:qFormat/>
    <w:uiPriority w:val="0"/>
    <w:pPr>
      <w:keepLines/>
      <w:overflowPunct/>
      <w:autoSpaceDE/>
      <w:autoSpaceDN/>
      <w:adjustRightInd/>
      <w:ind w:left="1702" w:hanging="1418"/>
      <w:textAlignment w:val="auto"/>
    </w:pPr>
    <w:rPr>
      <w:rFonts w:eastAsia="MS Mincho"/>
      <w:lang w:eastAsia="en-US"/>
    </w:rPr>
  </w:style>
  <w:style w:type="character" w:customStyle="1" w:styleId="24">
    <w:name w:val="EX Char"/>
    <w:link w:val="23"/>
    <w:qFormat/>
    <w:uiPriority w:val="0"/>
    <w:rPr>
      <w:rFonts w:ascii="Times New Roman" w:hAnsi="Times New Roman" w:eastAsia="MS Mincho" w:cs="Times New Roman"/>
      <w:kern w:val="0"/>
      <w:sz w:val="20"/>
      <w:szCs w:val="20"/>
      <w:lang w:val="en-GB" w:eastAsia="en-US"/>
    </w:rPr>
  </w:style>
  <w:style w:type="paragraph" w:styleId="25">
    <w:name w:val="List Paragraph"/>
    <w:basedOn w:val="1"/>
    <w:link w:val="27"/>
    <w:qFormat/>
    <w:uiPriority w:val="34"/>
    <w:pPr>
      <w:ind w:firstLine="420" w:firstLineChars="200"/>
    </w:pPr>
  </w:style>
  <w:style w:type="character" w:customStyle="1" w:styleId="26">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7">
    <w:name w:val="列表段落 字符"/>
    <w:link w:val="25"/>
    <w:qFormat/>
    <w:locked/>
    <w:uiPriority w:val="34"/>
    <w:rPr>
      <w:rFonts w:ascii="Times New Roman" w:hAnsi="Times New Roman" w:eastAsia="Times New Roman" w:cs="Times New Roman"/>
      <w:kern w:val="0"/>
      <w:sz w:val="20"/>
      <w:szCs w:val="20"/>
      <w:lang w:val="en-GB" w:eastAsia="en-GB"/>
    </w:rPr>
  </w:style>
  <w:style w:type="paragraph" w:customStyle="1" w:styleId="28">
    <w:name w:val="NO"/>
    <w:basedOn w:val="1"/>
    <w:qFormat/>
    <w:uiPriority w:val="0"/>
    <w:pPr>
      <w:keepLines/>
      <w:ind w:left="1135" w:hanging="851"/>
      <w:textAlignment w:val="auto"/>
    </w:pPr>
    <w:rPr>
      <w:rFonts w:eastAsia="宋体"/>
    </w:rPr>
  </w:style>
  <w:style w:type="character" w:customStyle="1" w:styleId="29">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30">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1">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2">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3">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4">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5">
    <w:name w:val="CR Cover Page"/>
    <w:qFormat/>
    <w:uiPriority w:val="0"/>
    <w:pPr>
      <w:spacing w:after="120"/>
    </w:pPr>
    <w:rPr>
      <w:rFonts w:ascii="Arial" w:hAnsi="Arial" w:cs="Times New Roman" w:eastAsiaTheme="minorEastAsia"/>
      <w:lang w:val="en-GB" w:eastAsia="en-US" w:bidi="ar-SA"/>
    </w:rPr>
  </w:style>
  <w:style w:type="paragraph" w:customStyle="1" w:styleId="36">
    <w:name w:val="B1"/>
    <w:basedOn w:val="14"/>
    <w:link w:val="38"/>
    <w:qFormat/>
    <w:uiPriority w:val="0"/>
    <w:pPr>
      <w:overflowPunct/>
      <w:autoSpaceDE/>
      <w:autoSpaceDN/>
      <w:adjustRightInd/>
      <w:ind w:left="568" w:hanging="284"/>
      <w:textAlignment w:val="auto"/>
    </w:pPr>
    <w:rPr>
      <w:rFonts w:eastAsiaTheme="minorEastAsia"/>
      <w:lang w:eastAsia="en-US"/>
    </w:rPr>
  </w:style>
  <w:style w:type="paragraph" w:customStyle="1" w:styleId="37">
    <w:name w:val="B2"/>
    <w:basedOn w:val="1"/>
    <w:link w:val="39"/>
    <w:qFormat/>
    <w:uiPriority w:val="0"/>
    <w:pPr>
      <w:overflowPunct/>
      <w:autoSpaceDE/>
      <w:autoSpaceDN/>
      <w:adjustRightInd/>
      <w:ind w:left="851" w:hanging="284"/>
      <w:textAlignment w:val="auto"/>
    </w:pPr>
    <w:rPr>
      <w:rFonts w:eastAsiaTheme="minorEastAsia"/>
      <w:lang w:eastAsia="en-US"/>
    </w:rPr>
  </w:style>
  <w:style w:type="character" w:customStyle="1" w:styleId="38">
    <w:name w:val="B1 Char"/>
    <w:link w:val="36"/>
    <w:qFormat/>
    <w:uiPriority w:val="0"/>
    <w:rPr>
      <w:rFonts w:ascii="Times New Roman" w:hAnsi="Times New Roman" w:cs="Times New Roman"/>
      <w:kern w:val="0"/>
      <w:sz w:val="20"/>
      <w:szCs w:val="20"/>
      <w:lang w:val="en-GB" w:eastAsia="en-US"/>
    </w:rPr>
  </w:style>
  <w:style w:type="character" w:customStyle="1" w:styleId="39">
    <w:name w:val="B2 Char"/>
    <w:link w:val="37"/>
    <w:qFormat/>
    <w:uiPriority w:val="0"/>
    <w:rPr>
      <w:rFonts w:ascii="Times New Roman" w:hAnsi="Times New Roman" w:cs="Times New Roman"/>
      <w:kern w:val="0"/>
      <w:sz w:val="20"/>
      <w:szCs w:val="20"/>
      <w:lang w:val="en-GB" w:eastAsia="en-US"/>
    </w:rPr>
  </w:style>
  <w:style w:type="character" w:customStyle="1" w:styleId="40">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1">
    <w:name w:val="TAH"/>
    <w:basedOn w:val="42"/>
    <w:link w:val="45"/>
    <w:qFormat/>
    <w:uiPriority w:val="99"/>
    <w:rPr>
      <w:b/>
    </w:rPr>
  </w:style>
  <w:style w:type="paragraph" w:customStyle="1" w:styleId="42">
    <w:name w:val="TAC"/>
    <w:basedOn w:val="43"/>
    <w:link w:val="44"/>
    <w:qFormat/>
    <w:uiPriority w:val="99"/>
    <w:pPr>
      <w:overflowPunct/>
      <w:autoSpaceDE/>
      <w:autoSpaceDN/>
      <w:adjustRightInd/>
      <w:jc w:val="center"/>
      <w:textAlignment w:val="auto"/>
    </w:pPr>
    <w:rPr>
      <w:rFonts w:eastAsiaTheme="minorEastAsia"/>
      <w:lang w:eastAsia="en-US"/>
    </w:rPr>
  </w:style>
  <w:style w:type="paragraph" w:customStyle="1" w:styleId="43">
    <w:name w:val="TAL"/>
    <w:basedOn w:val="1"/>
    <w:qFormat/>
    <w:uiPriority w:val="0"/>
    <w:pPr>
      <w:keepNext/>
      <w:keepLines/>
      <w:spacing w:after="0"/>
    </w:pPr>
    <w:rPr>
      <w:rFonts w:ascii="Arial" w:hAnsi="Arial"/>
      <w:sz w:val="18"/>
    </w:rPr>
  </w:style>
  <w:style w:type="character" w:customStyle="1" w:styleId="44">
    <w:name w:val="TAC Char"/>
    <w:link w:val="42"/>
    <w:qFormat/>
    <w:uiPriority w:val="99"/>
    <w:rPr>
      <w:rFonts w:ascii="Arial" w:hAnsi="Arial" w:cs="Times New Roman"/>
      <w:kern w:val="0"/>
      <w:sz w:val="18"/>
      <w:szCs w:val="20"/>
      <w:lang w:val="en-GB" w:eastAsia="en-US"/>
    </w:rPr>
  </w:style>
  <w:style w:type="character" w:customStyle="1" w:styleId="45">
    <w:name w:val="TAH Car"/>
    <w:link w:val="41"/>
    <w:qFormat/>
    <w:uiPriority w:val="99"/>
    <w:rPr>
      <w:rFonts w:ascii="Arial" w:hAnsi="Arial" w:cs="Times New Roman"/>
      <w:b/>
      <w:kern w:val="0"/>
      <w:sz w:val="18"/>
      <w:szCs w:val="20"/>
      <w:lang w:val="en-GB" w:eastAsia="en-US"/>
    </w:rPr>
  </w:style>
  <w:style w:type="paragraph" w:customStyle="1" w:styleId="46">
    <w:name w:val="TAN"/>
    <w:basedOn w:val="43"/>
    <w:link w:val="47"/>
    <w:qFormat/>
    <w:uiPriority w:val="0"/>
    <w:pPr>
      <w:overflowPunct/>
      <w:autoSpaceDE/>
      <w:autoSpaceDN/>
      <w:adjustRightInd/>
      <w:ind w:left="851" w:hanging="851"/>
      <w:textAlignment w:val="auto"/>
    </w:pPr>
    <w:rPr>
      <w:rFonts w:eastAsiaTheme="minorEastAsia"/>
      <w:lang w:eastAsia="en-US"/>
    </w:rPr>
  </w:style>
  <w:style w:type="character" w:customStyle="1" w:styleId="47">
    <w:name w:val="TAN Char"/>
    <w:link w:val="46"/>
    <w:qFormat/>
    <w:uiPriority w:val="0"/>
    <w:rPr>
      <w:rFonts w:ascii="Arial" w:hAnsi="Arial" w:cs="Times New Roman"/>
      <w:kern w:val="0"/>
      <w:sz w:val="18"/>
      <w:szCs w:val="20"/>
      <w:lang w:val="en-GB" w:eastAsia="en-US"/>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0">
    <w:name w:val="Status"/>
    <w:basedOn w:val="51"/>
    <w:qFormat/>
    <w:uiPriority w:val="0"/>
    <w:rPr>
      <w:b w:val="0"/>
    </w:rPr>
  </w:style>
  <w:style w:type="paragraph" w:styleId="51">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2">
    <w:name w:val="TF"/>
    <w:basedOn w:val="4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741</Words>
  <Characters>4447</Characters>
  <Lines>38</Lines>
  <Paragraphs>10</Paragraphs>
  <TotalTime>0</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2025-11-07T09:55:48Z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BF2F15B590304B208E27266E3E3949E6_13</vt:lpwstr>
  </property>
  <property fmtid="{D5CDD505-2E9C-101B-9397-08002B2CF9AE}" pid="4" name="KSOTemplateDocerSaveRecord">
    <vt:lpwstr>eyJoZGlkIjoiOTU4MjljY2YzMDI1NGE4ZjYxYjczNDgxZmJjYzMzMTQiLCJ1c2VySWQiOiI0OTE3MDIwNzMifQ==</vt:lpwstr>
  </property>
</Properties>
</file>