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4F353" w14:textId="3A928537" w:rsidR="00303C25" w:rsidRPr="00CB168F" w:rsidRDefault="00303C25" w:rsidP="00303C25">
      <w:pPr>
        <w:tabs>
          <w:tab w:val="left" w:pos="1985"/>
          <w:tab w:val="left" w:pos="7680"/>
        </w:tabs>
        <w:rPr>
          <w:rFonts w:ascii="Arial" w:hAnsi="Arial" w:cs="Arial"/>
          <w:b/>
          <w:sz w:val="24"/>
        </w:rPr>
      </w:pPr>
      <w:bookmarkStart w:id="0" w:name="_Hlk208594002"/>
      <w:bookmarkStart w:id="1"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w:t>
      </w:r>
      <w:r w:rsidR="00E920B1">
        <w:rPr>
          <w:rFonts w:ascii="Arial" w:hAnsi="Arial" w:cs="Arial"/>
          <w:b/>
          <w:sz w:val="24"/>
          <w:lang w:val="de-DE"/>
        </w:rPr>
        <w:t>6</w:t>
      </w:r>
      <w:r w:rsidR="005E7800">
        <w:rPr>
          <w:rFonts w:ascii="Arial" w:hAnsi="Arial" w:cs="Arial"/>
          <w:b/>
          <w:sz w:val="24"/>
          <w:lang w:val="de-DE"/>
        </w:rPr>
        <w:t>bis</w:t>
      </w:r>
      <w:r w:rsidRPr="0012486F">
        <w:rPr>
          <w:rFonts w:ascii="Arial" w:hAnsi="Arial" w:cs="Arial"/>
          <w:b/>
          <w:sz w:val="24"/>
          <w:lang w:val="de-DE"/>
        </w:rPr>
        <w:tab/>
      </w:r>
      <w:r>
        <w:rPr>
          <w:rFonts w:ascii="Arial" w:hAnsi="Arial" w:cs="Arial"/>
          <w:b/>
          <w:sz w:val="24"/>
          <w:lang w:val="de-DE"/>
        </w:rPr>
        <w:tab/>
      </w:r>
      <w:r w:rsidR="000431E3" w:rsidRPr="000431E3">
        <w:rPr>
          <w:rFonts w:ascii="Arial" w:hAnsi="Arial" w:cs="Arial"/>
          <w:b/>
          <w:sz w:val="24"/>
          <w:lang w:val="de-DE"/>
        </w:rPr>
        <w:t>R4-25</w:t>
      </w:r>
      <w:r w:rsidR="00A2033B">
        <w:rPr>
          <w:rFonts w:ascii="Arial" w:hAnsi="Arial" w:cs="Arial"/>
          <w:b/>
          <w:sz w:val="24"/>
          <w:lang w:val="de-DE"/>
        </w:rPr>
        <w:t>13990</w:t>
      </w:r>
      <w:r w:rsidRPr="0012486F">
        <w:rPr>
          <w:rFonts w:ascii="Arial" w:hAnsi="Arial" w:cs="Arial"/>
          <w:b/>
          <w:sz w:val="24"/>
          <w:lang w:val="de-DE"/>
        </w:rPr>
        <w:br/>
      </w:r>
      <w:r w:rsidR="005E7800" w:rsidRPr="005E7800">
        <w:rPr>
          <w:rFonts w:ascii="Arial" w:eastAsia="宋体" w:hAnsi="Arial" w:cs="Arial"/>
          <w:b/>
          <w:sz w:val="24"/>
          <w:szCs w:val="24"/>
          <w:lang w:eastAsia="zh-CN"/>
        </w:rPr>
        <w:t>Prague</w:t>
      </w:r>
      <w:r w:rsidR="00876B64" w:rsidRPr="00306461">
        <w:rPr>
          <w:rFonts w:ascii="Arial" w:eastAsia="宋体" w:hAnsi="Arial" w:cs="Arial"/>
          <w:b/>
          <w:sz w:val="24"/>
          <w:szCs w:val="24"/>
          <w:lang w:eastAsia="zh-CN"/>
        </w:rPr>
        <w:t xml:space="preserve">, </w:t>
      </w:r>
      <w:r w:rsidR="005E7800" w:rsidRPr="005E7800">
        <w:rPr>
          <w:rFonts w:ascii="Arial" w:eastAsia="宋体" w:hAnsi="Arial" w:cs="Arial"/>
          <w:b/>
          <w:sz w:val="24"/>
          <w:szCs w:val="24"/>
          <w:lang w:eastAsia="zh-CN"/>
        </w:rPr>
        <w:t>Czech Republic</w:t>
      </w:r>
      <w:r w:rsidR="00876B64" w:rsidRPr="00306461">
        <w:rPr>
          <w:rFonts w:ascii="Arial" w:eastAsia="宋体" w:hAnsi="Arial" w:cs="Arial"/>
          <w:b/>
          <w:sz w:val="24"/>
          <w:szCs w:val="24"/>
          <w:lang w:eastAsia="zh-CN"/>
        </w:rPr>
        <w:t xml:space="preserve">, </w:t>
      </w:r>
      <w:r w:rsidR="005E7800">
        <w:rPr>
          <w:rFonts w:ascii="Arial" w:eastAsia="宋体" w:hAnsi="Arial" w:cs="Arial"/>
          <w:b/>
          <w:sz w:val="24"/>
          <w:szCs w:val="24"/>
          <w:lang w:eastAsia="zh-CN"/>
        </w:rPr>
        <w:t>13</w:t>
      </w:r>
      <w:r w:rsidR="00876B64">
        <w:rPr>
          <w:rFonts w:ascii="Arial" w:eastAsia="宋体" w:hAnsi="Arial" w:cs="Arial"/>
          <w:b/>
          <w:sz w:val="24"/>
          <w:szCs w:val="24"/>
          <w:lang w:eastAsia="zh-CN"/>
        </w:rPr>
        <w:t xml:space="preserve"> </w:t>
      </w:r>
      <w:r w:rsidR="00876B64" w:rsidRPr="00306461">
        <w:rPr>
          <w:rFonts w:ascii="Arial" w:eastAsia="宋体" w:hAnsi="Arial" w:cs="Arial"/>
          <w:b/>
          <w:sz w:val="24"/>
          <w:szCs w:val="24"/>
          <w:lang w:eastAsia="zh-CN"/>
        </w:rPr>
        <w:t xml:space="preserve">– </w:t>
      </w:r>
      <w:r w:rsidR="005E7800">
        <w:rPr>
          <w:rFonts w:ascii="Arial" w:eastAsia="宋体" w:hAnsi="Arial" w:cs="Arial"/>
          <w:b/>
          <w:sz w:val="24"/>
          <w:szCs w:val="24"/>
          <w:lang w:eastAsia="zh-CN"/>
        </w:rPr>
        <w:t>17</w:t>
      </w:r>
      <w:r w:rsidR="00876B64">
        <w:rPr>
          <w:rFonts w:ascii="Arial" w:eastAsia="宋体" w:hAnsi="Arial" w:cs="Arial"/>
          <w:b/>
          <w:sz w:val="24"/>
          <w:szCs w:val="24"/>
          <w:lang w:eastAsia="zh-CN"/>
        </w:rPr>
        <w:t xml:space="preserve"> </w:t>
      </w:r>
      <w:r w:rsidR="005E7800">
        <w:rPr>
          <w:rFonts w:ascii="Arial" w:eastAsia="宋体" w:hAnsi="Arial" w:cs="Arial"/>
          <w:b/>
          <w:sz w:val="24"/>
          <w:szCs w:val="24"/>
          <w:lang w:eastAsia="zh-CN"/>
        </w:rPr>
        <w:t>Oct</w:t>
      </w:r>
      <w:r w:rsidR="00876B64" w:rsidRPr="00306461">
        <w:rPr>
          <w:rFonts w:ascii="Arial" w:eastAsia="宋体" w:hAnsi="Arial" w:cs="Arial"/>
          <w:b/>
          <w:sz w:val="24"/>
          <w:szCs w:val="24"/>
          <w:lang w:eastAsia="zh-CN"/>
        </w:rPr>
        <w:t xml:space="preserve"> 2025</w:t>
      </w:r>
      <w:bookmarkEnd w:id="0"/>
    </w:p>
    <w:p w14:paraId="194F5C4B" w14:textId="77777777" w:rsidR="00C555E7" w:rsidRPr="00303C25" w:rsidRDefault="00C555E7" w:rsidP="00C555E7">
      <w:pPr>
        <w:rPr>
          <w:rFonts w:ascii="Arial" w:hAnsi="Arial" w:cs="Arial"/>
          <w:b/>
          <w:sz w:val="24"/>
          <w:szCs w:val="24"/>
        </w:rPr>
      </w:pPr>
    </w:p>
    <w:p w14:paraId="14946D49" w14:textId="6A222256" w:rsidR="00C555E7" w:rsidRPr="0008103A" w:rsidRDefault="00C555E7" w:rsidP="00C555E7">
      <w:pPr>
        <w:tabs>
          <w:tab w:val="left" w:pos="2250"/>
        </w:tabs>
        <w:ind w:left="2160" w:hanging="2160"/>
        <w:rPr>
          <w:rFonts w:ascii="Arial" w:hAnsi="Arial" w:cs="Arial"/>
          <w:b/>
          <w:sz w:val="24"/>
          <w:szCs w:val="24"/>
        </w:rPr>
      </w:pPr>
      <w:bookmarkStart w:id="2" w:name="_Hlk208594019"/>
      <w:r w:rsidRPr="0008103A">
        <w:rPr>
          <w:rFonts w:ascii="Arial" w:hAnsi="Arial" w:cs="Arial"/>
          <w:b/>
          <w:sz w:val="24"/>
          <w:szCs w:val="24"/>
        </w:rPr>
        <w:t>Title:</w:t>
      </w:r>
      <w:r w:rsidRPr="0008103A">
        <w:rPr>
          <w:rFonts w:ascii="Arial" w:hAnsi="Arial" w:cs="Arial"/>
          <w:b/>
          <w:sz w:val="24"/>
          <w:szCs w:val="24"/>
        </w:rPr>
        <w:tab/>
      </w:r>
      <w:r w:rsidR="003B4618">
        <w:rPr>
          <w:rFonts w:ascii="Arial" w:hAnsi="Arial" w:cs="Arial"/>
          <w:b/>
          <w:sz w:val="24"/>
          <w:szCs w:val="24"/>
        </w:rPr>
        <w:t xml:space="preserve">Discussion on </w:t>
      </w:r>
      <w:r w:rsidR="00B25A6F" w:rsidRPr="00B25A6F">
        <w:rPr>
          <w:rFonts w:ascii="Arial" w:hAnsi="Arial" w:cs="Arial"/>
          <w:b/>
          <w:sz w:val="24"/>
          <w:szCs w:val="24"/>
        </w:rPr>
        <w:t>R20 4Tx and 2Tx HPUE</w:t>
      </w:r>
    </w:p>
    <w:p w14:paraId="1D313A4D" w14:textId="77777777"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56D2D948"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3D1644">
        <w:rPr>
          <w:rFonts w:ascii="Arial" w:hAnsi="Arial" w:cs="Arial"/>
          <w:b/>
          <w:sz w:val="24"/>
          <w:szCs w:val="24"/>
        </w:rPr>
        <w:t>7.1.4</w:t>
      </w:r>
    </w:p>
    <w:p w14:paraId="16DFD007" w14:textId="77777777" w:rsidR="00C555E7" w:rsidRPr="0008103A" w:rsidRDefault="00C555E7" w:rsidP="00C555E7">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2"/>
    <w:p w14:paraId="39C7E2B7" w14:textId="77777777" w:rsidR="00C555E7" w:rsidRDefault="00C555E7" w:rsidP="0079283D">
      <w:pPr>
        <w:pStyle w:val="a"/>
      </w:pPr>
      <w:r w:rsidRPr="00647B25">
        <w:t>Introduction</w:t>
      </w:r>
    </w:p>
    <w:p w14:paraId="4286B87B" w14:textId="2BDC7C1B" w:rsidR="00C555E7" w:rsidRDefault="00B23E46" w:rsidP="00C555E7">
      <w:pPr>
        <w:rPr>
          <w:rFonts w:eastAsiaTheme="minorEastAsia"/>
          <w:lang w:eastAsia="zh-CN"/>
        </w:rPr>
      </w:pPr>
      <w:r>
        <w:rPr>
          <w:rFonts w:eastAsiaTheme="minorEastAsia" w:hint="eastAsia"/>
          <w:lang w:eastAsia="zh-CN"/>
        </w:rPr>
        <w:t>In</w:t>
      </w:r>
      <w:r>
        <w:rPr>
          <w:rFonts w:eastAsiaTheme="minorEastAsia"/>
          <w:lang w:eastAsia="zh-CN"/>
        </w:rPr>
        <w:t xml:space="preserve"> Rel-20, the UE RF enhancements focus on several HPUEs, among them 4x26dBm and 2x29dBm for FWA is one of the topics</w:t>
      </w:r>
      <w:r w:rsidR="005A6AD6">
        <w:rPr>
          <w:rFonts w:eastAsiaTheme="minorEastAsia"/>
          <w:lang w:eastAsia="zh-CN"/>
        </w:rPr>
        <w:t xml:space="preserve"> [1]</w:t>
      </w:r>
      <w:r>
        <w:rPr>
          <w:rFonts w:eastAsiaTheme="minorEastAsia"/>
          <w:lang w:eastAsia="zh-CN"/>
        </w:rPr>
        <w:t>.</w:t>
      </w:r>
      <w:r w:rsidR="00506E34">
        <w:rPr>
          <w:rFonts w:eastAsiaTheme="minorEastAsia"/>
          <w:lang w:eastAsia="zh-CN"/>
        </w:rPr>
        <w:t xml:space="preserve"> This paper shares our view on</w:t>
      </w:r>
      <w:r>
        <w:rPr>
          <w:rFonts w:eastAsiaTheme="minorEastAsia"/>
          <w:lang w:eastAsia="zh-CN"/>
        </w:rPr>
        <w:t xml:space="preserve"> this aspect</w:t>
      </w:r>
      <w:r w:rsidR="00074851">
        <w:rPr>
          <w:rFonts w:eastAsiaTheme="minorEastAsia"/>
          <w:lang w:eastAsia="zh-CN"/>
        </w:rPr>
        <w:t>.</w:t>
      </w:r>
    </w:p>
    <w:p w14:paraId="19D9073A" w14:textId="77777777" w:rsidR="00B23E46" w:rsidRDefault="00B23E46" w:rsidP="00C555E7">
      <w:pPr>
        <w:rPr>
          <w:rFonts w:eastAsiaTheme="minorEastAsia"/>
          <w:lang w:eastAsia="zh-CN"/>
        </w:rPr>
      </w:pPr>
    </w:p>
    <w:tbl>
      <w:tblPr>
        <w:tblStyle w:val="afe"/>
        <w:tblW w:w="0" w:type="auto"/>
        <w:tblLook w:val="04A0" w:firstRow="1" w:lastRow="0" w:firstColumn="1" w:lastColumn="0" w:noHBand="0" w:noVBand="1"/>
      </w:tblPr>
      <w:tblGrid>
        <w:gridCol w:w="9631"/>
      </w:tblGrid>
      <w:tr w:rsidR="00B23E46" w14:paraId="68E879C2" w14:textId="77777777" w:rsidTr="00B23E46">
        <w:tc>
          <w:tcPr>
            <w:tcW w:w="9631" w:type="dxa"/>
          </w:tcPr>
          <w:p w14:paraId="6A433065" w14:textId="77777777" w:rsidR="00B23E46" w:rsidRPr="00B702FC" w:rsidRDefault="00B23E46" w:rsidP="00B23E46">
            <w:pPr>
              <w:widowControl w:val="0"/>
              <w:numPr>
                <w:ilvl w:val="0"/>
                <w:numId w:val="5"/>
              </w:numPr>
              <w:jc w:val="left"/>
              <w:rPr>
                <w:lang w:eastAsia="x-none"/>
              </w:rPr>
            </w:pPr>
            <w:r w:rsidRPr="00B702FC">
              <w:rPr>
                <w:rFonts w:hint="eastAsia"/>
                <w:lang w:eastAsia="x-none"/>
              </w:rPr>
              <w:t>Specify the UE RF requirements for single carrier TDD to support 4Tx for CPE/FWA UE with 4x26dBm PA configurations</w:t>
            </w:r>
          </w:p>
          <w:p w14:paraId="2EA4796B" w14:textId="77777777" w:rsidR="00B23E46" w:rsidRPr="00B702FC" w:rsidRDefault="00B23E46" w:rsidP="00B23E46">
            <w:pPr>
              <w:widowControl w:val="0"/>
              <w:numPr>
                <w:ilvl w:val="1"/>
                <w:numId w:val="5"/>
              </w:numPr>
              <w:jc w:val="left"/>
              <w:rPr>
                <w:lang w:eastAsia="x-none"/>
              </w:rPr>
            </w:pPr>
            <w:r w:rsidRPr="00B702FC">
              <w:rPr>
                <w:lang w:eastAsia="x-none"/>
              </w:rPr>
              <w:t xml:space="preserve">Co-existence study </w:t>
            </w:r>
            <w:r w:rsidRPr="00B702FC">
              <w:rPr>
                <w:rFonts w:hint="eastAsia"/>
                <w:lang w:eastAsia="x-none"/>
              </w:rPr>
              <w:t>for ACLR, specify ACLR requirements if needed</w:t>
            </w:r>
          </w:p>
          <w:p w14:paraId="76D2D8D5" w14:textId="77777777" w:rsidR="00B23E46" w:rsidRPr="00B702FC" w:rsidRDefault="00B23E46" w:rsidP="00B23E46">
            <w:pPr>
              <w:widowControl w:val="0"/>
              <w:numPr>
                <w:ilvl w:val="1"/>
                <w:numId w:val="5"/>
              </w:numPr>
              <w:jc w:val="left"/>
              <w:rPr>
                <w:lang w:eastAsia="x-none"/>
              </w:rPr>
            </w:pPr>
            <w:r w:rsidRPr="00B702FC">
              <w:rPr>
                <w:lang w:eastAsia="x-none"/>
              </w:rPr>
              <w:t>Specify the UE RF requirements including maximum output power (MOP), MPR requirements, etc.</w:t>
            </w:r>
          </w:p>
          <w:p w14:paraId="11D550DA" w14:textId="77777777" w:rsidR="00B23E46" w:rsidRPr="00B702FC" w:rsidRDefault="00B23E46" w:rsidP="00B23E46">
            <w:pPr>
              <w:widowControl w:val="0"/>
              <w:numPr>
                <w:ilvl w:val="2"/>
                <w:numId w:val="5"/>
              </w:numPr>
              <w:jc w:val="left"/>
              <w:rPr>
                <w:lang w:eastAsia="x-none"/>
              </w:rPr>
            </w:pPr>
            <w:r w:rsidRPr="00B702FC">
              <w:rPr>
                <w:lang w:eastAsia="x-none"/>
              </w:rPr>
              <w:t xml:space="preserve">Supporting 4x4 UL MIMO and </w:t>
            </w:r>
            <w:proofErr w:type="spellStart"/>
            <w:r w:rsidRPr="00B702FC">
              <w:rPr>
                <w:lang w:eastAsia="x-none"/>
              </w:rPr>
              <w:t>TxD</w:t>
            </w:r>
            <w:proofErr w:type="spellEnd"/>
          </w:p>
          <w:p w14:paraId="3F8B7D35" w14:textId="77777777" w:rsidR="00B23E46" w:rsidRPr="00B702FC" w:rsidRDefault="00B23E46" w:rsidP="00B23E46">
            <w:pPr>
              <w:widowControl w:val="0"/>
              <w:numPr>
                <w:ilvl w:val="1"/>
                <w:numId w:val="5"/>
              </w:numPr>
              <w:jc w:val="left"/>
              <w:rPr>
                <w:lang w:eastAsia="x-none"/>
              </w:rPr>
            </w:pPr>
            <w:r w:rsidRPr="00B702FC">
              <w:rPr>
                <w:lang w:eastAsia="x-none"/>
              </w:rPr>
              <w:t>Specify the band specific requirements for exemplary bands</w:t>
            </w:r>
          </w:p>
          <w:p w14:paraId="654F3511" w14:textId="77777777" w:rsidR="00B23E46" w:rsidRPr="00B702FC" w:rsidRDefault="00B23E46" w:rsidP="00B23E46">
            <w:pPr>
              <w:widowControl w:val="0"/>
              <w:numPr>
                <w:ilvl w:val="2"/>
                <w:numId w:val="5"/>
              </w:numPr>
              <w:jc w:val="left"/>
              <w:rPr>
                <w:lang w:eastAsia="x-none"/>
              </w:rPr>
            </w:pPr>
            <w:r w:rsidRPr="00B702FC">
              <w:rPr>
                <w:rFonts w:hint="eastAsia"/>
                <w:lang w:eastAsia="x-none"/>
              </w:rPr>
              <w:t>E</w:t>
            </w:r>
            <w:r w:rsidRPr="00B702FC">
              <w:rPr>
                <w:lang w:eastAsia="x-none"/>
              </w:rPr>
              <w:t>xample bands: n41, n77/n78, n79, n104</w:t>
            </w:r>
          </w:p>
          <w:p w14:paraId="2AB3ACB6" w14:textId="77777777" w:rsidR="00B23E46" w:rsidRPr="00B702FC" w:rsidRDefault="00B23E46" w:rsidP="00B23E46">
            <w:pPr>
              <w:widowControl w:val="0"/>
              <w:numPr>
                <w:ilvl w:val="1"/>
                <w:numId w:val="5"/>
              </w:numPr>
              <w:jc w:val="left"/>
              <w:rPr>
                <w:lang w:eastAsia="x-none"/>
              </w:rPr>
            </w:pPr>
            <w:r w:rsidRPr="00B702FC">
              <w:rPr>
                <w:lang w:eastAsia="x-none"/>
              </w:rPr>
              <w:t>Maximum output power is up to 32 dBm</w:t>
            </w:r>
          </w:p>
          <w:p w14:paraId="49F58C4C" w14:textId="77777777" w:rsidR="00B23E46" w:rsidRPr="00B702FC" w:rsidRDefault="00B23E46" w:rsidP="00B23E46">
            <w:pPr>
              <w:widowControl w:val="0"/>
              <w:numPr>
                <w:ilvl w:val="2"/>
                <w:numId w:val="5"/>
              </w:numPr>
              <w:jc w:val="left"/>
              <w:rPr>
                <w:lang w:eastAsia="x-none"/>
              </w:rPr>
            </w:pPr>
            <w:r w:rsidRPr="00B702FC">
              <w:rPr>
                <w:lang w:eastAsia="x-none"/>
              </w:rPr>
              <w:t>RAN4 to determine whether to reuse PC1 or introduce new power class</w:t>
            </w:r>
          </w:p>
          <w:p w14:paraId="65DBF482" w14:textId="77777777" w:rsidR="00B23E46" w:rsidRPr="00B702FC" w:rsidRDefault="00B23E46" w:rsidP="00B23E46">
            <w:pPr>
              <w:widowControl w:val="0"/>
              <w:numPr>
                <w:ilvl w:val="0"/>
                <w:numId w:val="5"/>
              </w:numPr>
              <w:jc w:val="left"/>
              <w:rPr>
                <w:lang w:eastAsia="x-none"/>
              </w:rPr>
            </w:pPr>
            <w:r w:rsidRPr="00B702FC">
              <w:rPr>
                <w:lang w:eastAsia="x-none"/>
              </w:rPr>
              <w:t>2Tx for TDD bands for FWA UE</w:t>
            </w:r>
          </w:p>
          <w:p w14:paraId="42400E92" w14:textId="77777777" w:rsidR="00B23E46" w:rsidRPr="00B702FC" w:rsidRDefault="00B23E46" w:rsidP="00B23E46">
            <w:pPr>
              <w:widowControl w:val="0"/>
              <w:numPr>
                <w:ilvl w:val="1"/>
                <w:numId w:val="5"/>
              </w:numPr>
              <w:jc w:val="left"/>
              <w:rPr>
                <w:lang w:eastAsia="x-none"/>
              </w:rPr>
            </w:pPr>
            <w:r w:rsidRPr="00B702FC">
              <w:rPr>
                <w:lang w:eastAsia="x-none"/>
              </w:rPr>
              <w:t>Study the possibility of applying PC1 with 4Tx A-MPR/MPR requirements to PC1 with 2Tx, if feasible, specify the corresponding UE RF requirements, including maximum output power (MOP), MPR/A-MPR requirements, etc.</w:t>
            </w:r>
          </w:p>
          <w:p w14:paraId="2E7BCDBC" w14:textId="77777777" w:rsidR="00B23E46" w:rsidRPr="00B702FC" w:rsidRDefault="00B23E46" w:rsidP="00B23E46">
            <w:pPr>
              <w:widowControl w:val="0"/>
              <w:numPr>
                <w:ilvl w:val="2"/>
                <w:numId w:val="5"/>
              </w:numPr>
              <w:jc w:val="left"/>
              <w:rPr>
                <w:lang w:eastAsia="x-none"/>
              </w:rPr>
            </w:pPr>
            <w:r w:rsidRPr="00B702FC">
              <w:rPr>
                <w:lang w:eastAsia="x-none"/>
              </w:rPr>
              <w:t>Baseline PA configuration: 2 x 29 dBm</w:t>
            </w:r>
          </w:p>
          <w:p w14:paraId="5E905ED7" w14:textId="77777777" w:rsidR="00B23E46" w:rsidRPr="00B702FC" w:rsidRDefault="00B23E46" w:rsidP="00B23E46">
            <w:pPr>
              <w:widowControl w:val="0"/>
              <w:numPr>
                <w:ilvl w:val="2"/>
                <w:numId w:val="5"/>
              </w:numPr>
              <w:jc w:val="left"/>
              <w:rPr>
                <w:lang w:eastAsia="x-none"/>
              </w:rPr>
            </w:pPr>
            <w:r w:rsidRPr="00B702FC">
              <w:rPr>
                <w:rFonts w:hint="eastAsia"/>
                <w:lang w:eastAsia="x-none"/>
              </w:rPr>
              <w:t>E</w:t>
            </w:r>
            <w:r w:rsidRPr="00B702FC">
              <w:rPr>
                <w:lang w:eastAsia="x-none"/>
              </w:rPr>
              <w:t>xample bands: n41, n77/n78, n79, n104</w:t>
            </w:r>
          </w:p>
          <w:p w14:paraId="63934B20" w14:textId="77777777" w:rsidR="00B23E46" w:rsidRPr="00B702FC" w:rsidRDefault="00B23E46" w:rsidP="00B23E46">
            <w:pPr>
              <w:widowControl w:val="0"/>
              <w:numPr>
                <w:ilvl w:val="1"/>
                <w:numId w:val="5"/>
              </w:numPr>
              <w:jc w:val="left"/>
              <w:rPr>
                <w:lang w:eastAsia="x-none"/>
              </w:rPr>
            </w:pPr>
            <w:r w:rsidRPr="00B702FC">
              <w:rPr>
                <w:lang w:eastAsia="x-none"/>
              </w:rPr>
              <w:t>Maximum output power is up to 32 dBm</w:t>
            </w:r>
          </w:p>
          <w:p w14:paraId="24B5EF7B" w14:textId="77777777" w:rsidR="00B23E46" w:rsidRPr="00B702FC" w:rsidRDefault="00B23E46" w:rsidP="00B23E46">
            <w:pPr>
              <w:widowControl w:val="0"/>
              <w:numPr>
                <w:ilvl w:val="2"/>
                <w:numId w:val="5"/>
              </w:numPr>
              <w:jc w:val="left"/>
              <w:rPr>
                <w:lang w:eastAsia="x-none"/>
              </w:rPr>
            </w:pPr>
            <w:r w:rsidRPr="00B702FC">
              <w:rPr>
                <w:lang w:eastAsia="x-none"/>
              </w:rPr>
              <w:t>RAN4 to determine whether to reuse PC1 or introduce new power class</w:t>
            </w:r>
          </w:p>
          <w:p w14:paraId="1FAA721D" w14:textId="0FC12F23" w:rsidR="00B23E46" w:rsidRPr="00B23E46" w:rsidRDefault="00B23E46" w:rsidP="00C555E7">
            <w:pPr>
              <w:widowControl w:val="0"/>
              <w:numPr>
                <w:ilvl w:val="1"/>
                <w:numId w:val="5"/>
              </w:numPr>
              <w:rPr>
                <w:lang w:eastAsia="x-none"/>
              </w:rPr>
            </w:pPr>
            <w:r w:rsidRPr="0030554A">
              <w:rPr>
                <w:lang w:eastAsia="x-none"/>
              </w:rPr>
              <w:t>This work is to start in 2026 Q4</w:t>
            </w:r>
          </w:p>
        </w:tc>
      </w:tr>
    </w:tbl>
    <w:p w14:paraId="33041385" w14:textId="77777777" w:rsidR="00B23E46" w:rsidRPr="00A451C1" w:rsidRDefault="00B23E46" w:rsidP="00C555E7">
      <w:pPr>
        <w:rPr>
          <w:rFonts w:eastAsiaTheme="minorEastAsia"/>
          <w:lang w:eastAsia="zh-CN"/>
        </w:rPr>
      </w:pPr>
    </w:p>
    <w:p w14:paraId="238242BD" w14:textId="121851F5" w:rsidR="00826026" w:rsidRDefault="00C555E7" w:rsidP="001924A5">
      <w:pPr>
        <w:pStyle w:val="a"/>
      </w:pPr>
      <w:r>
        <w:t>Discussion</w:t>
      </w:r>
    </w:p>
    <w:p w14:paraId="1BA41387" w14:textId="3042B614" w:rsidR="005620CB" w:rsidRDefault="005620CB" w:rsidP="005620CB">
      <w:pPr>
        <w:pStyle w:val="a0"/>
      </w:pPr>
      <w:r>
        <w:t>Power class</w:t>
      </w:r>
    </w:p>
    <w:p w14:paraId="5171821E" w14:textId="41209FED" w:rsidR="0087124A" w:rsidRDefault="00B23E46" w:rsidP="00E1086C">
      <w:pPr>
        <w:rPr>
          <w:rFonts w:eastAsiaTheme="minorEastAsia"/>
          <w:lang w:eastAsia="zh-CN"/>
        </w:rPr>
      </w:pPr>
      <w:r>
        <w:rPr>
          <w:rFonts w:eastAsiaTheme="minorEastAsia" w:hint="eastAsia"/>
          <w:lang w:eastAsia="zh-CN"/>
        </w:rPr>
        <w:t>F</w:t>
      </w:r>
      <w:r>
        <w:rPr>
          <w:rFonts w:eastAsiaTheme="minorEastAsia"/>
          <w:lang w:eastAsia="zh-CN"/>
        </w:rPr>
        <w:t>or 4x26dBm and 2x29dBm FWA, the max power that can transmit is 32dBm. In RAN#109, when the WID was approved, there were some discussions on which power class is targeting for this kind of UE. There were two views, one is to define PC1bis for 32dBm to fully utilize the PA capabilities, the other is to reuse PC1 and limit this kind of UE to 31dBm or using power boosting approaches to reach 32dBm.</w:t>
      </w:r>
    </w:p>
    <w:p w14:paraId="059E30A7" w14:textId="20BD1B76" w:rsidR="00B23E46" w:rsidRDefault="00B23E46" w:rsidP="006319C3">
      <w:pPr>
        <w:rPr>
          <w:rFonts w:eastAsiaTheme="minorEastAsia"/>
          <w:lang w:eastAsia="zh-CN"/>
        </w:rPr>
      </w:pPr>
    </w:p>
    <w:p w14:paraId="11D33877" w14:textId="64DD7CEF" w:rsidR="00B23E46" w:rsidRDefault="00B23E46" w:rsidP="00E1086C">
      <w:pPr>
        <w:rPr>
          <w:rFonts w:eastAsiaTheme="minorEastAsia"/>
          <w:lang w:eastAsia="zh-CN"/>
        </w:rPr>
      </w:pPr>
      <w:r>
        <w:rPr>
          <w:rFonts w:eastAsiaTheme="minorEastAsia" w:hint="eastAsia"/>
          <w:lang w:eastAsia="zh-CN"/>
        </w:rPr>
        <w:t>I</w:t>
      </w:r>
      <w:r>
        <w:rPr>
          <w:rFonts w:eastAsiaTheme="minorEastAsia"/>
          <w:lang w:eastAsia="zh-CN"/>
        </w:rPr>
        <w:t>n our view, Tx power is key for UL coverage, and in the past releases many efforts have been put on increase the Tx by even 0.5dB. There is no reason to give up 1dB here just because of keeping alignment with the current PC1 public safety UE.</w:t>
      </w:r>
    </w:p>
    <w:p w14:paraId="200ED3D0" w14:textId="20B1E1D3" w:rsidR="00B23E46" w:rsidRDefault="00B23E46" w:rsidP="006319C3">
      <w:pPr>
        <w:rPr>
          <w:rFonts w:eastAsiaTheme="minorEastAsia"/>
          <w:lang w:eastAsia="zh-CN"/>
        </w:rPr>
      </w:pPr>
    </w:p>
    <w:p w14:paraId="63312C33" w14:textId="7F3F7254" w:rsidR="00B23E46" w:rsidRDefault="00E1086C" w:rsidP="00B51A5B">
      <w:pPr>
        <w:pStyle w:val="Observe"/>
      </w:pPr>
      <w:r>
        <w:t>In the past, RAN4 spent whole release to enhance Tx power with 0.5dB, there is no reason to give up 1dB in Rel-20.</w:t>
      </w:r>
    </w:p>
    <w:p w14:paraId="1BAAC295" w14:textId="77777777" w:rsidR="00E1086C" w:rsidRDefault="00E1086C" w:rsidP="00B51A5B">
      <w:pPr>
        <w:pStyle w:val="Observe"/>
        <w:numPr>
          <w:ilvl w:val="0"/>
          <w:numId w:val="0"/>
        </w:numPr>
      </w:pPr>
    </w:p>
    <w:p w14:paraId="0A1261D2" w14:textId="686A0B59" w:rsidR="00B23E46" w:rsidRDefault="00B23E46" w:rsidP="00E1086C">
      <w:pPr>
        <w:rPr>
          <w:rFonts w:eastAsiaTheme="minorEastAsia"/>
          <w:lang w:eastAsia="zh-CN"/>
        </w:rPr>
      </w:pPr>
      <w:r>
        <w:rPr>
          <w:rFonts w:eastAsiaTheme="minorEastAsia" w:hint="eastAsia"/>
          <w:lang w:eastAsia="zh-CN"/>
        </w:rPr>
        <w:t>T</w:t>
      </w:r>
      <w:r>
        <w:rPr>
          <w:rFonts w:eastAsiaTheme="minorEastAsia"/>
          <w:lang w:eastAsia="zh-CN"/>
        </w:rPr>
        <w:t>he PC1 defined as 31dBm was based on public safety UE probably with 1Tx where the max achievable power is 31dBm. Now for multi-Tx UE, its power can easily exceed PC1, therefore, we suggest to enable the full power of multi-Tx UE and no bounding to PC1.</w:t>
      </w:r>
    </w:p>
    <w:p w14:paraId="4619A624" w14:textId="77777777" w:rsidR="006319C3" w:rsidRDefault="006319C3" w:rsidP="006319C3">
      <w:pPr>
        <w:rPr>
          <w:rFonts w:eastAsiaTheme="minorEastAsia"/>
          <w:lang w:eastAsia="zh-CN"/>
        </w:rPr>
      </w:pPr>
    </w:p>
    <w:p w14:paraId="52B9D9CB" w14:textId="09E09C37" w:rsidR="006319C3" w:rsidRDefault="00B23E46" w:rsidP="00B51A5B">
      <w:pPr>
        <w:pStyle w:val="Observe"/>
      </w:pPr>
      <w:r>
        <w:t>PC1 was defined for public safety UE with 1Tx</w:t>
      </w:r>
      <w:r w:rsidR="00E1086C">
        <w:t xml:space="preserve"> 31dBm which </w:t>
      </w:r>
      <w:r>
        <w:t>is not same as current multi-Tx FWA whose Tx power can exceed PC1.</w:t>
      </w:r>
    </w:p>
    <w:p w14:paraId="08D58DA6" w14:textId="77777777" w:rsidR="00E1086C" w:rsidRDefault="00E1086C" w:rsidP="00B51A5B">
      <w:pPr>
        <w:pStyle w:val="Observe"/>
        <w:numPr>
          <w:ilvl w:val="0"/>
          <w:numId w:val="0"/>
        </w:numPr>
        <w:ind w:left="1418"/>
      </w:pPr>
    </w:p>
    <w:p w14:paraId="312049E7" w14:textId="0A4FDA30" w:rsidR="006319C3" w:rsidRPr="005620CB" w:rsidRDefault="00E1086C" w:rsidP="00B51A5B">
      <w:pPr>
        <w:pStyle w:val="Propose"/>
        <w:rPr>
          <w:rFonts w:eastAsia="Malgun Gothic"/>
        </w:rPr>
      </w:pPr>
      <w:r>
        <w:rPr>
          <w:rFonts w:hint="eastAsia"/>
        </w:rPr>
        <w:t>F</w:t>
      </w:r>
      <w:r>
        <w:t>or 4x26dBm and 2x29dBm FWA, introduce a new power class, e.g., PC1bis, with 32dBm for it.</w:t>
      </w:r>
    </w:p>
    <w:p w14:paraId="34720A67" w14:textId="1605D648" w:rsidR="005620CB" w:rsidRDefault="005620CB" w:rsidP="00B51A5B">
      <w:pPr>
        <w:pStyle w:val="Propose"/>
        <w:numPr>
          <w:ilvl w:val="0"/>
          <w:numId w:val="0"/>
        </w:numPr>
        <w:ind w:left="1418"/>
      </w:pPr>
    </w:p>
    <w:p w14:paraId="78FA38DB" w14:textId="63D01751" w:rsidR="005620CB" w:rsidRDefault="005620CB" w:rsidP="005620CB">
      <w:pPr>
        <w:pStyle w:val="a0"/>
      </w:pPr>
      <w:r>
        <w:rPr>
          <w:rFonts w:hint="eastAsia"/>
        </w:rPr>
        <w:lastRenderedPageBreak/>
        <w:t>C</w:t>
      </w:r>
      <w:r>
        <w:t>oexistence simulations</w:t>
      </w:r>
    </w:p>
    <w:p w14:paraId="4804AB30" w14:textId="28DF6117" w:rsidR="005620CB" w:rsidRDefault="005620CB" w:rsidP="005620CB">
      <w:r>
        <w:rPr>
          <w:rFonts w:hint="eastAsia"/>
        </w:rPr>
        <w:t>I</w:t>
      </w:r>
      <w:r>
        <w:t>n current spec, the ACLR for PC1 was specified as 37dB which is much higher than PC1.5. This may need to be reviewed if the above 4x26dBm and 2x29dBm with PC1 is introduced considering the UE type difference and also the usage scenario differences.</w:t>
      </w:r>
    </w:p>
    <w:p w14:paraId="1C9C8154" w14:textId="424BFFC1" w:rsidR="005620CB" w:rsidRDefault="005620CB" w:rsidP="005620CB"/>
    <w:p w14:paraId="789F6FB1" w14:textId="416536F5" w:rsidR="00893AD0" w:rsidRDefault="00893AD0" w:rsidP="00B51A5B">
      <w:pPr>
        <w:pStyle w:val="Observe"/>
      </w:pPr>
      <w:r>
        <w:rPr>
          <w:rFonts w:hint="eastAsia"/>
        </w:rPr>
        <w:t>C</w:t>
      </w:r>
      <w:r>
        <w:t>urrent ACLR for PC1 is for public safety which is much higher than PC1.5 and may not be applicable to other UE types like handheld UE and FWA.</w:t>
      </w:r>
    </w:p>
    <w:p w14:paraId="1247529D" w14:textId="77777777" w:rsidR="00893AD0" w:rsidRDefault="00893AD0" w:rsidP="00B51A5B">
      <w:pPr>
        <w:pStyle w:val="Observe"/>
        <w:numPr>
          <w:ilvl w:val="0"/>
          <w:numId w:val="0"/>
        </w:numPr>
      </w:pPr>
    </w:p>
    <w:p w14:paraId="0F151EFE" w14:textId="7644A3C7" w:rsidR="005620CB" w:rsidRPr="005620CB" w:rsidRDefault="005620CB" w:rsidP="00B51A5B">
      <w:pPr>
        <w:pStyle w:val="Propose"/>
        <w:rPr>
          <w:rFonts w:eastAsia="Malgun Gothic"/>
        </w:rPr>
      </w:pPr>
      <w:bookmarkStart w:id="3" w:name="_Hlk209809582"/>
      <w:r>
        <w:rPr>
          <w:rFonts w:hint="eastAsia"/>
        </w:rPr>
        <w:t>I</w:t>
      </w:r>
      <w:r>
        <w:t>f PC1 is used as the power class for 4x26dBm and 2x29dBm, the ACLR needs to be re-evaluated</w:t>
      </w:r>
      <w:r w:rsidR="00893AD0">
        <w:t>.</w:t>
      </w:r>
    </w:p>
    <w:bookmarkEnd w:id="3"/>
    <w:p w14:paraId="7972C09C" w14:textId="77777777" w:rsidR="005620CB" w:rsidRPr="005620CB" w:rsidRDefault="005620CB" w:rsidP="005620CB"/>
    <w:p w14:paraId="7C2A5535" w14:textId="0C0D5BE4" w:rsidR="0023469E" w:rsidRDefault="0023469E" w:rsidP="008D6EE8">
      <w:pPr>
        <w:pStyle w:val="a"/>
      </w:pPr>
      <w:r>
        <w:t>Conclusion</w:t>
      </w:r>
    </w:p>
    <w:p w14:paraId="205217CF" w14:textId="229B9E0A" w:rsidR="009329DA" w:rsidRDefault="0023469E" w:rsidP="0023469E">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paper </w:t>
      </w:r>
      <w:r w:rsidR="002E34AB">
        <w:rPr>
          <w:rFonts w:eastAsiaTheme="minorEastAsia"/>
          <w:lang w:val="en-US" w:eastAsia="zh-CN"/>
        </w:rPr>
        <w:t>discussed</w:t>
      </w:r>
      <w:r w:rsidR="00C15F13">
        <w:rPr>
          <w:rFonts w:eastAsiaTheme="minorEastAsia"/>
          <w:lang w:val="en-US" w:eastAsia="zh-CN"/>
        </w:rPr>
        <w:t xml:space="preserve"> the</w:t>
      </w:r>
      <w:r w:rsidR="00FE229D">
        <w:rPr>
          <w:rFonts w:eastAsiaTheme="minorEastAsia"/>
          <w:lang w:val="en-US" w:eastAsia="zh-CN"/>
        </w:rPr>
        <w:t xml:space="preserve"> 4x26dBm and 2x29dBm HPUE</w:t>
      </w:r>
      <w:r w:rsidR="002E34AB">
        <w:rPr>
          <w:rFonts w:eastAsiaTheme="minorEastAsia"/>
          <w:lang w:val="en-US" w:eastAsia="zh-CN"/>
        </w:rPr>
        <w:t xml:space="preserve">, and </w:t>
      </w:r>
      <w:r w:rsidR="00FE229D">
        <w:rPr>
          <w:rFonts w:eastAsiaTheme="minorEastAsia"/>
          <w:lang w:val="en-US" w:eastAsia="zh-CN"/>
        </w:rPr>
        <w:t>got below observations and proposals</w:t>
      </w:r>
      <w:r w:rsidR="002E34AB">
        <w:rPr>
          <w:rFonts w:eastAsiaTheme="minorEastAsia"/>
          <w:lang w:val="en-US" w:eastAsia="zh-CN"/>
        </w:rPr>
        <w:t xml:space="preserve">. </w:t>
      </w:r>
    </w:p>
    <w:p w14:paraId="3E7B169E" w14:textId="64D0B479" w:rsidR="002E34AB" w:rsidRDefault="002E34AB" w:rsidP="0023469E">
      <w:pPr>
        <w:rPr>
          <w:rFonts w:eastAsiaTheme="minorEastAsia"/>
          <w:lang w:eastAsia="zh-CN"/>
        </w:rPr>
      </w:pPr>
    </w:p>
    <w:p w14:paraId="3EA52502" w14:textId="7CBC0AA5" w:rsidR="00FE229D" w:rsidRPr="002C148A" w:rsidRDefault="00FE229D" w:rsidP="002C148A">
      <w:pPr>
        <w:pStyle w:val="Conclusion"/>
      </w:pPr>
      <w:r w:rsidRPr="002C148A">
        <w:t xml:space="preserve">Observation 1: </w:t>
      </w:r>
      <w:r w:rsidRPr="002C148A">
        <w:tab/>
        <w:t>In the past, RAN4 spent whole release to enhance Tx power with 0.5dB, there is no reason to give up 1dB in Rel-20.</w:t>
      </w:r>
    </w:p>
    <w:p w14:paraId="54F15B9E" w14:textId="77777777" w:rsidR="00FE229D" w:rsidRPr="00FE229D" w:rsidRDefault="00FE229D" w:rsidP="00FE229D">
      <w:pPr>
        <w:rPr>
          <w:rFonts w:eastAsiaTheme="minorEastAsia"/>
          <w:lang w:eastAsia="zh-CN"/>
        </w:rPr>
      </w:pPr>
    </w:p>
    <w:p w14:paraId="608986DB" w14:textId="4A54AA05" w:rsidR="00FE229D" w:rsidRDefault="00FE229D" w:rsidP="002C148A">
      <w:pPr>
        <w:pStyle w:val="Conclusion"/>
      </w:pPr>
      <w:r w:rsidRPr="00FE229D">
        <w:t xml:space="preserve">Observation 2: </w:t>
      </w:r>
      <w:r w:rsidRPr="00FE229D">
        <w:tab/>
        <w:t>PC1 was defined for public safety UE with 1Tx 31dBm which is not same as current multi-Tx FWA whose Tx power can exceed PC1.</w:t>
      </w:r>
    </w:p>
    <w:p w14:paraId="2D0B51B1" w14:textId="77777777" w:rsidR="00FE229D" w:rsidRPr="00FE229D" w:rsidRDefault="00FE229D" w:rsidP="002C148A">
      <w:pPr>
        <w:pStyle w:val="Conclusion"/>
      </w:pPr>
    </w:p>
    <w:p w14:paraId="17076431" w14:textId="2649BEE8" w:rsidR="00FE229D" w:rsidRDefault="00FE229D" w:rsidP="002C148A">
      <w:pPr>
        <w:pStyle w:val="Conclusion"/>
      </w:pPr>
      <w:r w:rsidRPr="00FE229D">
        <w:t xml:space="preserve">Proposal 1: </w:t>
      </w:r>
      <w:r w:rsidRPr="00FE229D">
        <w:tab/>
        <w:t>For 4x26dBm and 2x29dBm FWA, introduce a new power class, e.g., PC1bis, with 32dBm for it.</w:t>
      </w:r>
    </w:p>
    <w:p w14:paraId="762D8852" w14:textId="77777777" w:rsidR="00FE229D" w:rsidRPr="00FE229D" w:rsidRDefault="00FE229D" w:rsidP="002C148A">
      <w:pPr>
        <w:pStyle w:val="Conclusion"/>
      </w:pPr>
    </w:p>
    <w:p w14:paraId="119B5D1B" w14:textId="4BD39AEA" w:rsidR="00FE229D" w:rsidRDefault="00FE229D" w:rsidP="002C148A">
      <w:pPr>
        <w:pStyle w:val="Conclusion"/>
      </w:pPr>
      <w:r w:rsidRPr="00FE229D">
        <w:t xml:space="preserve">Observation 3: </w:t>
      </w:r>
      <w:r w:rsidRPr="00FE229D">
        <w:tab/>
        <w:t>Current ACLR for PC1 is for public safety which is much higher than PC1.5 and may not be applicable to other UE types like handheld UE and FWA.</w:t>
      </w:r>
    </w:p>
    <w:p w14:paraId="0FEAD6DB" w14:textId="77777777" w:rsidR="00FE229D" w:rsidRPr="00FE229D" w:rsidRDefault="00FE229D" w:rsidP="002C148A">
      <w:pPr>
        <w:pStyle w:val="Conclusion"/>
      </w:pPr>
    </w:p>
    <w:p w14:paraId="35A875AD" w14:textId="43F241C6" w:rsidR="00FE229D" w:rsidRDefault="00FE229D" w:rsidP="002C148A">
      <w:pPr>
        <w:pStyle w:val="Conclusion"/>
      </w:pPr>
      <w:r w:rsidRPr="00FE229D">
        <w:t xml:space="preserve">Proposal 2: </w:t>
      </w:r>
      <w:r w:rsidRPr="00FE229D">
        <w:tab/>
        <w:t>If PC1 is used as the power class for 4x26dBm and 2x29dBm, the ACLR needs to be re-evaluated.</w:t>
      </w:r>
    </w:p>
    <w:p w14:paraId="3FD23055" w14:textId="147FB2E2" w:rsidR="00FE229D" w:rsidRDefault="00FE229D" w:rsidP="00FE229D">
      <w:pPr>
        <w:rPr>
          <w:rFonts w:eastAsiaTheme="minorEastAsia"/>
          <w:lang w:eastAsia="zh-CN"/>
        </w:rPr>
      </w:pPr>
    </w:p>
    <w:p w14:paraId="6541D2B4" w14:textId="4E17FDB2" w:rsidR="003B6BA5" w:rsidRDefault="003B6BA5" w:rsidP="008D6EE8">
      <w:pPr>
        <w:pStyle w:val="a"/>
      </w:pPr>
      <w:bookmarkStart w:id="4" w:name="_Hlk173939413"/>
      <w:bookmarkEnd w:id="1"/>
      <w:r>
        <w:t>Reference</w:t>
      </w:r>
    </w:p>
    <w:bookmarkEnd w:id="4"/>
    <w:p w14:paraId="752BE9CF" w14:textId="77777777" w:rsidR="00BA37BA" w:rsidRPr="00DD21E0" w:rsidRDefault="00BA37BA" w:rsidP="00BA37BA">
      <w:pPr>
        <w:pStyle w:val="1"/>
        <w:ind w:left="284" w:hanging="284"/>
        <w:rPr>
          <w:rFonts w:eastAsiaTheme="minorEastAsia"/>
          <w:noProof/>
          <w:lang w:eastAsia="zh-CN"/>
        </w:rPr>
      </w:pPr>
      <w:r>
        <w:rPr>
          <w:rFonts w:eastAsiaTheme="minorEastAsia"/>
          <w:noProof/>
          <w:lang w:eastAsia="zh-CN"/>
        </w:rPr>
        <w:t xml:space="preserve">RP-252942, </w:t>
      </w:r>
      <w:r w:rsidRPr="00D50B39">
        <w:rPr>
          <w:rFonts w:eastAsiaTheme="minorEastAsia"/>
          <w:noProof/>
          <w:lang w:eastAsia="zh-CN"/>
        </w:rPr>
        <w:t>New WID: UE RF enhancements for NR FR1, Phase 5</w:t>
      </w:r>
      <w:r>
        <w:rPr>
          <w:rFonts w:eastAsiaTheme="minorEastAsia"/>
          <w:noProof/>
          <w:lang w:eastAsia="zh-CN"/>
        </w:rPr>
        <w:t>, RAN #109.</w:t>
      </w:r>
    </w:p>
    <w:p w14:paraId="4855E5BF" w14:textId="39BEB37D" w:rsidR="000A0558" w:rsidRPr="00DD21E0" w:rsidRDefault="000A0558" w:rsidP="00BA37BA">
      <w:pPr>
        <w:pStyle w:val="1"/>
        <w:numPr>
          <w:ilvl w:val="0"/>
          <w:numId w:val="0"/>
        </w:numPr>
        <w:rPr>
          <w:rFonts w:eastAsiaTheme="minorEastAsia"/>
          <w:noProof/>
          <w:lang w:eastAsia="zh-CN"/>
        </w:rPr>
      </w:pPr>
    </w:p>
    <w:sectPr w:rsidR="000A0558" w:rsidRPr="00DD21E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E03BD" w14:textId="77777777" w:rsidR="00622B6E" w:rsidRDefault="00622B6E">
      <w:r>
        <w:separator/>
      </w:r>
    </w:p>
  </w:endnote>
  <w:endnote w:type="continuationSeparator" w:id="0">
    <w:p w14:paraId="7344B457" w14:textId="77777777" w:rsidR="00622B6E" w:rsidRDefault="00622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FF33E" w14:textId="77777777" w:rsidR="00622B6E" w:rsidRDefault="00622B6E">
      <w:r>
        <w:separator/>
      </w:r>
    </w:p>
  </w:footnote>
  <w:footnote w:type="continuationSeparator" w:id="0">
    <w:p w14:paraId="07453197" w14:textId="77777777" w:rsidR="00622B6E" w:rsidRDefault="00622B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2" w15:restartNumberingAfterBreak="0">
    <w:nsid w:val="1DAE58AF"/>
    <w:multiLevelType w:val="multilevel"/>
    <w:tmpl w:val="979A6DB4"/>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3"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2515DFD"/>
    <w:multiLevelType w:val="multilevel"/>
    <w:tmpl w:val="098EF20C"/>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3"/>
  </w:num>
  <w:num w:numId="2">
    <w:abstractNumId w:val="1"/>
  </w:num>
  <w:num w:numId="3">
    <w:abstractNumId w:val="4"/>
  </w:num>
  <w:num w:numId="4">
    <w:abstractNumId w:val="2"/>
  </w:num>
  <w:num w:numId="5">
    <w:abstractNumId w:val="0"/>
  </w:num>
  <w:num w:numId="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10D0"/>
    <w:rsid w:val="000410E5"/>
    <w:rsid w:val="00041D0F"/>
    <w:rsid w:val="000428DC"/>
    <w:rsid w:val="000431E3"/>
    <w:rsid w:val="00043396"/>
    <w:rsid w:val="00043419"/>
    <w:rsid w:val="0004381F"/>
    <w:rsid w:val="00043F1D"/>
    <w:rsid w:val="00044282"/>
    <w:rsid w:val="000457D7"/>
    <w:rsid w:val="0004650C"/>
    <w:rsid w:val="0004678D"/>
    <w:rsid w:val="000467EB"/>
    <w:rsid w:val="00046F10"/>
    <w:rsid w:val="00047E1B"/>
    <w:rsid w:val="00047E49"/>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9F"/>
    <w:rsid w:val="000679FB"/>
    <w:rsid w:val="00070BCD"/>
    <w:rsid w:val="00071588"/>
    <w:rsid w:val="0007287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998"/>
    <w:rsid w:val="0016420B"/>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5093"/>
    <w:rsid w:val="00185196"/>
    <w:rsid w:val="001861A8"/>
    <w:rsid w:val="00186B3D"/>
    <w:rsid w:val="00186C85"/>
    <w:rsid w:val="001872B0"/>
    <w:rsid w:val="001879E3"/>
    <w:rsid w:val="00187CC9"/>
    <w:rsid w:val="0019008E"/>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5F95"/>
    <w:rsid w:val="001D616D"/>
    <w:rsid w:val="001D6225"/>
    <w:rsid w:val="001D6675"/>
    <w:rsid w:val="001D6CD8"/>
    <w:rsid w:val="001D74F0"/>
    <w:rsid w:val="001D7D91"/>
    <w:rsid w:val="001D7F4A"/>
    <w:rsid w:val="001E0050"/>
    <w:rsid w:val="001E051F"/>
    <w:rsid w:val="001E0F11"/>
    <w:rsid w:val="001E1AC3"/>
    <w:rsid w:val="001E1DDF"/>
    <w:rsid w:val="001E268E"/>
    <w:rsid w:val="001E26B6"/>
    <w:rsid w:val="001E26DE"/>
    <w:rsid w:val="001E27D0"/>
    <w:rsid w:val="001E31D6"/>
    <w:rsid w:val="001E397C"/>
    <w:rsid w:val="001E4301"/>
    <w:rsid w:val="001E5D87"/>
    <w:rsid w:val="001E637C"/>
    <w:rsid w:val="001E7929"/>
    <w:rsid w:val="001E7B8D"/>
    <w:rsid w:val="001F005B"/>
    <w:rsid w:val="001F0DB3"/>
    <w:rsid w:val="001F186E"/>
    <w:rsid w:val="001F2DFC"/>
    <w:rsid w:val="001F2E81"/>
    <w:rsid w:val="001F353B"/>
    <w:rsid w:val="001F3AAC"/>
    <w:rsid w:val="001F5795"/>
    <w:rsid w:val="001F598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566"/>
    <w:rsid w:val="00220D6F"/>
    <w:rsid w:val="00222897"/>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CAA"/>
    <w:rsid w:val="00284FFB"/>
    <w:rsid w:val="00285422"/>
    <w:rsid w:val="00286795"/>
    <w:rsid w:val="00286C50"/>
    <w:rsid w:val="00287895"/>
    <w:rsid w:val="00287CE3"/>
    <w:rsid w:val="00287D6C"/>
    <w:rsid w:val="002903FD"/>
    <w:rsid w:val="00291564"/>
    <w:rsid w:val="00292E5D"/>
    <w:rsid w:val="00292EBA"/>
    <w:rsid w:val="00292F47"/>
    <w:rsid w:val="00293A79"/>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97B"/>
    <w:rsid w:val="002B4D62"/>
    <w:rsid w:val="002B5558"/>
    <w:rsid w:val="002B57DE"/>
    <w:rsid w:val="002B6D34"/>
    <w:rsid w:val="002B7860"/>
    <w:rsid w:val="002C052B"/>
    <w:rsid w:val="002C1156"/>
    <w:rsid w:val="002C148A"/>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657"/>
    <w:rsid w:val="003450DD"/>
    <w:rsid w:val="003456ED"/>
    <w:rsid w:val="00346426"/>
    <w:rsid w:val="003465A2"/>
    <w:rsid w:val="00346778"/>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64A3"/>
    <w:rsid w:val="00396C55"/>
    <w:rsid w:val="00396D0D"/>
    <w:rsid w:val="00397206"/>
    <w:rsid w:val="00397CC0"/>
    <w:rsid w:val="003A00A9"/>
    <w:rsid w:val="003A0692"/>
    <w:rsid w:val="003A166F"/>
    <w:rsid w:val="003A1893"/>
    <w:rsid w:val="003A1E08"/>
    <w:rsid w:val="003A27BA"/>
    <w:rsid w:val="003A2B53"/>
    <w:rsid w:val="003A2F4D"/>
    <w:rsid w:val="003A2F68"/>
    <w:rsid w:val="003A371B"/>
    <w:rsid w:val="003A38F7"/>
    <w:rsid w:val="003A54A3"/>
    <w:rsid w:val="003A58C4"/>
    <w:rsid w:val="003A65A2"/>
    <w:rsid w:val="003A6D9D"/>
    <w:rsid w:val="003A7353"/>
    <w:rsid w:val="003A73C7"/>
    <w:rsid w:val="003A76BD"/>
    <w:rsid w:val="003B1087"/>
    <w:rsid w:val="003B1184"/>
    <w:rsid w:val="003B13F1"/>
    <w:rsid w:val="003B19F0"/>
    <w:rsid w:val="003B1AA0"/>
    <w:rsid w:val="003B2C2D"/>
    <w:rsid w:val="003B2EED"/>
    <w:rsid w:val="003B3CA3"/>
    <w:rsid w:val="003B4618"/>
    <w:rsid w:val="003B478A"/>
    <w:rsid w:val="003B5AB0"/>
    <w:rsid w:val="003B5FAB"/>
    <w:rsid w:val="003B63B9"/>
    <w:rsid w:val="003B67EB"/>
    <w:rsid w:val="003B6A2C"/>
    <w:rsid w:val="003B6BA5"/>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7BB5"/>
    <w:rsid w:val="003D04ED"/>
    <w:rsid w:val="003D0BB1"/>
    <w:rsid w:val="003D0EAB"/>
    <w:rsid w:val="003D13EA"/>
    <w:rsid w:val="003D1644"/>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7284"/>
    <w:rsid w:val="003E747D"/>
    <w:rsid w:val="003F0CFE"/>
    <w:rsid w:val="003F0DD5"/>
    <w:rsid w:val="003F18B9"/>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F15"/>
    <w:rsid w:val="00452764"/>
    <w:rsid w:val="004529B4"/>
    <w:rsid w:val="00453477"/>
    <w:rsid w:val="00453919"/>
    <w:rsid w:val="00453F99"/>
    <w:rsid w:val="0045400D"/>
    <w:rsid w:val="0045419F"/>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696E"/>
    <w:rsid w:val="00466AB0"/>
    <w:rsid w:val="00467185"/>
    <w:rsid w:val="00470698"/>
    <w:rsid w:val="00470E49"/>
    <w:rsid w:val="00471B36"/>
    <w:rsid w:val="00471CEE"/>
    <w:rsid w:val="00472288"/>
    <w:rsid w:val="00473060"/>
    <w:rsid w:val="00474B2C"/>
    <w:rsid w:val="00474FBC"/>
    <w:rsid w:val="00475374"/>
    <w:rsid w:val="00476026"/>
    <w:rsid w:val="00476B67"/>
    <w:rsid w:val="00477187"/>
    <w:rsid w:val="0048073E"/>
    <w:rsid w:val="00480FE4"/>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78C"/>
    <w:rsid w:val="00492B73"/>
    <w:rsid w:val="00493E54"/>
    <w:rsid w:val="0049431B"/>
    <w:rsid w:val="00495A33"/>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3B01"/>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35"/>
    <w:rsid w:val="004C3AF6"/>
    <w:rsid w:val="004C41A0"/>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986"/>
    <w:rsid w:val="00547DA3"/>
    <w:rsid w:val="00547E96"/>
    <w:rsid w:val="00550811"/>
    <w:rsid w:val="00550A51"/>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7106E"/>
    <w:rsid w:val="0057183C"/>
    <w:rsid w:val="00571920"/>
    <w:rsid w:val="00571BCD"/>
    <w:rsid w:val="00571C21"/>
    <w:rsid w:val="0057304A"/>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AD6"/>
    <w:rsid w:val="005A6BB0"/>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22E6"/>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4CB"/>
    <w:rsid w:val="005E4953"/>
    <w:rsid w:val="005E4F46"/>
    <w:rsid w:val="005E64C5"/>
    <w:rsid w:val="005E6B61"/>
    <w:rsid w:val="005E6F17"/>
    <w:rsid w:val="005E734A"/>
    <w:rsid w:val="005E7800"/>
    <w:rsid w:val="005E7EA5"/>
    <w:rsid w:val="005F02CC"/>
    <w:rsid w:val="005F0A94"/>
    <w:rsid w:val="005F1053"/>
    <w:rsid w:val="005F141A"/>
    <w:rsid w:val="005F3698"/>
    <w:rsid w:val="005F3834"/>
    <w:rsid w:val="005F3B1B"/>
    <w:rsid w:val="005F4192"/>
    <w:rsid w:val="005F5042"/>
    <w:rsid w:val="005F53E9"/>
    <w:rsid w:val="005F5936"/>
    <w:rsid w:val="005F5C5F"/>
    <w:rsid w:val="005F60D9"/>
    <w:rsid w:val="005F6663"/>
    <w:rsid w:val="005F6C99"/>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AE"/>
    <w:rsid w:val="00612DFE"/>
    <w:rsid w:val="00613518"/>
    <w:rsid w:val="00613670"/>
    <w:rsid w:val="00614F2A"/>
    <w:rsid w:val="0061534E"/>
    <w:rsid w:val="00615AE1"/>
    <w:rsid w:val="0061691F"/>
    <w:rsid w:val="00617CB2"/>
    <w:rsid w:val="006210C4"/>
    <w:rsid w:val="0062126D"/>
    <w:rsid w:val="006214DC"/>
    <w:rsid w:val="00621C46"/>
    <w:rsid w:val="00621CDD"/>
    <w:rsid w:val="00621EF2"/>
    <w:rsid w:val="00621F51"/>
    <w:rsid w:val="00622B32"/>
    <w:rsid w:val="00622B6E"/>
    <w:rsid w:val="00622ECE"/>
    <w:rsid w:val="00623060"/>
    <w:rsid w:val="00623523"/>
    <w:rsid w:val="00624D03"/>
    <w:rsid w:val="006256BC"/>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8A4"/>
    <w:rsid w:val="00641F16"/>
    <w:rsid w:val="00642164"/>
    <w:rsid w:val="00642343"/>
    <w:rsid w:val="00642DFE"/>
    <w:rsid w:val="00644744"/>
    <w:rsid w:val="00644BAB"/>
    <w:rsid w:val="00645857"/>
    <w:rsid w:val="00646C0A"/>
    <w:rsid w:val="00647132"/>
    <w:rsid w:val="006476F4"/>
    <w:rsid w:val="006500AC"/>
    <w:rsid w:val="00651007"/>
    <w:rsid w:val="006515E0"/>
    <w:rsid w:val="00651926"/>
    <w:rsid w:val="00651A50"/>
    <w:rsid w:val="00651B48"/>
    <w:rsid w:val="00651C2B"/>
    <w:rsid w:val="00651F87"/>
    <w:rsid w:val="00652421"/>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7086"/>
    <w:rsid w:val="006870B3"/>
    <w:rsid w:val="0068767B"/>
    <w:rsid w:val="00690601"/>
    <w:rsid w:val="006907DA"/>
    <w:rsid w:val="00690F6C"/>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07F"/>
    <w:rsid w:val="006B146A"/>
    <w:rsid w:val="006B1C2F"/>
    <w:rsid w:val="006B291A"/>
    <w:rsid w:val="006B2923"/>
    <w:rsid w:val="006B2CBB"/>
    <w:rsid w:val="006B32BC"/>
    <w:rsid w:val="006B3771"/>
    <w:rsid w:val="006B37BB"/>
    <w:rsid w:val="006B3DCA"/>
    <w:rsid w:val="006B3E60"/>
    <w:rsid w:val="006B6F1D"/>
    <w:rsid w:val="006B7A32"/>
    <w:rsid w:val="006C0660"/>
    <w:rsid w:val="006C0DB2"/>
    <w:rsid w:val="006C154B"/>
    <w:rsid w:val="006C156B"/>
    <w:rsid w:val="006C1992"/>
    <w:rsid w:val="006C2319"/>
    <w:rsid w:val="006C240D"/>
    <w:rsid w:val="006C25DA"/>
    <w:rsid w:val="006C4684"/>
    <w:rsid w:val="006C60AB"/>
    <w:rsid w:val="006C6DB3"/>
    <w:rsid w:val="006C7555"/>
    <w:rsid w:val="006C78C9"/>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DCF"/>
    <w:rsid w:val="006F3B10"/>
    <w:rsid w:val="006F4A26"/>
    <w:rsid w:val="006F4A77"/>
    <w:rsid w:val="006F5431"/>
    <w:rsid w:val="006F592D"/>
    <w:rsid w:val="006F680D"/>
    <w:rsid w:val="006F6A11"/>
    <w:rsid w:val="006F71BD"/>
    <w:rsid w:val="006F7F6C"/>
    <w:rsid w:val="00700488"/>
    <w:rsid w:val="007016A7"/>
    <w:rsid w:val="0070247D"/>
    <w:rsid w:val="0070328C"/>
    <w:rsid w:val="00703391"/>
    <w:rsid w:val="00703A64"/>
    <w:rsid w:val="00703B26"/>
    <w:rsid w:val="00703F5D"/>
    <w:rsid w:val="007042A7"/>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55C"/>
    <w:rsid w:val="00770392"/>
    <w:rsid w:val="00770A12"/>
    <w:rsid w:val="00770DE9"/>
    <w:rsid w:val="00771113"/>
    <w:rsid w:val="007714B0"/>
    <w:rsid w:val="0077161B"/>
    <w:rsid w:val="007726D2"/>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4E59"/>
    <w:rsid w:val="00796A7B"/>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519C"/>
    <w:rsid w:val="007E6477"/>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70351"/>
    <w:rsid w:val="0087124A"/>
    <w:rsid w:val="008721CA"/>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145"/>
    <w:rsid w:val="008F539A"/>
    <w:rsid w:val="008F540C"/>
    <w:rsid w:val="008F554D"/>
    <w:rsid w:val="008F56FA"/>
    <w:rsid w:val="008F6F2F"/>
    <w:rsid w:val="008F7132"/>
    <w:rsid w:val="008F74EC"/>
    <w:rsid w:val="008F7AD5"/>
    <w:rsid w:val="008F7D93"/>
    <w:rsid w:val="00900394"/>
    <w:rsid w:val="00900DE9"/>
    <w:rsid w:val="0090158E"/>
    <w:rsid w:val="00901D03"/>
    <w:rsid w:val="00902409"/>
    <w:rsid w:val="00902CCE"/>
    <w:rsid w:val="00902D48"/>
    <w:rsid w:val="00903051"/>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7DCD"/>
    <w:rsid w:val="00957E6B"/>
    <w:rsid w:val="00957EF1"/>
    <w:rsid w:val="009609F1"/>
    <w:rsid w:val="00961CD7"/>
    <w:rsid w:val="009625E0"/>
    <w:rsid w:val="00962845"/>
    <w:rsid w:val="00962DDA"/>
    <w:rsid w:val="00962F49"/>
    <w:rsid w:val="00963DEF"/>
    <w:rsid w:val="00964105"/>
    <w:rsid w:val="009646AF"/>
    <w:rsid w:val="00964BDE"/>
    <w:rsid w:val="00966785"/>
    <w:rsid w:val="009668C6"/>
    <w:rsid w:val="009671D8"/>
    <w:rsid w:val="0096752D"/>
    <w:rsid w:val="0097009B"/>
    <w:rsid w:val="00970A9C"/>
    <w:rsid w:val="0097133C"/>
    <w:rsid w:val="009716C8"/>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60DC"/>
    <w:rsid w:val="009872DF"/>
    <w:rsid w:val="00987B96"/>
    <w:rsid w:val="00987C57"/>
    <w:rsid w:val="0099051D"/>
    <w:rsid w:val="00990ED1"/>
    <w:rsid w:val="009913F6"/>
    <w:rsid w:val="009916F6"/>
    <w:rsid w:val="009929B7"/>
    <w:rsid w:val="00992B5F"/>
    <w:rsid w:val="009931D4"/>
    <w:rsid w:val="00993AE5"/>
    <w:rsid w:val="00994BF5"/>
    <w:rsid w:val="00995847"/>
    <w:rsid w:val="00995B72"/>
    <w:rsid w:val="00996105"/>
    <w:rsid w:val="00997D88"/>
    <w:rsid w:val="009A002B"/>
    <w:rsid w:val="009A17A6"/>
    <w:rsid w:val="009A2589"/>
    <w:rsid w:val="009A32EA"/>
    <w:rsid w:val="009A35CD"/>
    <w:rsid w:val="009A398D"/>
    <w:rsid w:val="009A3C56"/>
    <w:rsid w:val="009A4CC5"/>
    <w:rsid w:val="009A4EC5"/>
    <w:rsid w:val="009A54D3"/>
    <w:rsid w:val="009A5EC2"/>
    <w:rsid w:val="009A698C"/>
    <w:rsid w:val="009A77CD"/>
    <w:rsid w:val="009B0A4A"/>
    <w:rsid w:val="009B22D8"/>
    <w:rsid w:val="009B2340"/>
    <w:rsid w:val="009B278C"/>
    <w:rsid w:val="009B41C2"/>
    <w:rsid w:val="009B424B"/>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359A"/>
    <w:rsid w:val="009D3C9E"/>
    <w:rsid w:val="009D594A"/>
    <w:rsid w:val="009D613E"/>
    <w:rsid w:val="009D6652"/>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50C"/>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33B"/>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9AF"/>
    <w:rsid w:val="00A451C1"/>
    <w:rsid w:val="00A452C2"/>
    <w:rsid w:val="00A452CC"/>
    <w:rsid w:val="00A45933"/>
    <w:rsid w:val="00A45E4D"/>
    <w:rsid w:val="00A46A5C"/>
    <w:rsid w:val="00A4713F"/>
    <w:rsid w:val="00A47DDF"/>
    <w:rsid w:val="00A50469"/>
    <w:rsid w:val="00A505DE"/>
    <w:rsid w:val="00A515A6"/>
    <w:rsid w:val="00A51825"/>
    <w:rsid w:val="00A51A11"/>
    <w:rsid w:val="00A51BB3"/>
    <w:rsid w:val="00A51F25"/>
    <w:rsid w:val="00A52945"/>
    <w:rsid w:val="00A53AEE"/>
    <w:rsid w:val="00A53B05"/>
    <w:rsid w:val="00A54225"/>
    <w:rsid w:val="00A54281"/>
    <w:rsid w:val="00A54FAD"/>
    <w:rsid w:val="00A55360"/>
    <w:rsid w:val="00A55437"/>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E42"/>
    <w:rsid w:val="00A91032"/>
    <w:rsid w:val="00A91132"/>
    <w:rsid w:val="00A917EE"/>
    <w:rsid w:val="00A934B3"/>
    <w:rsid w:val="00A93B37"/>
    <w:rsid w:val="00A93D04"/>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4018"/>
    <w:rsid w:val="00AC41D2"/>
    <w:rsid w:val="00AC4909"/>
    <w:rsid w:val="00AC4AFE"/>
    <w:rsid w:val="00AC52B1"/>
    <w:rsid w:val="00AC5DDB"/>
    <w:rsid w:val="00AD0224"/>
    <w:rsid w:val="00AD0AA7"/>
    <w:rsid w:val="00AD1C4E"/>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10DB"/>
    <w:rsid w:val="00AE116C"/>
    <w:rsid w:val="00AE255B"/>
    <w:rsid w:val="00AE261C"/>
    <w:rsid w:val="00AE34CA"/>
    <w:rsid w:val="00AE48C8"/>
    <w:rsid w:val="00AE4E8F"/>
    <w:rsid w:val="00AE50D5"/>
    <w:rsid w:val="00AE73C1"/>
    <w:rsid w:val="00AF0C47"/>
    <w:rsid w:val="00AF0E90"/>
    <w:rsid w:val="00AF128F"/>
    <w:rsid w:val="00AF12DF"/>
    <w:rsid w:val="00AF3957"/>
    <w:rsid w:val="00AF43FE"/>
    <w:rsid w:val="00AF472C"/>
    <w:rsid w:val="00AF4B42"/>
    <w:rsid w:val="00AF4FDB"/>
    <w:rsid w:val="00AF5182"/>
    <w:rsid w:val="00AF5472"/>
    <w:rsid w:val="00AF7ECE"/>
    <w:rsid w:val="00B00779"/>
    <w:rsid w:val="00B0096A"/>
    <w:rsid w:val="00B01534"/>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27"/>
    <w:rsid w:val="00B9206F"/>
    <w:rsid w:val="00B92920"/>
    <w:rsid w:val="00B93D6D"/>
    <w:rsid w:val="00B9471F"/>
    <w:rsid w:val="00B948C0"/>
    <w:rsid w:val="00B94BC2"/>
    <w:rsid w:val="00B95507"/>
    <w:rsid w:val="00B95B57"/>
    <w:rsid w:val="00B960EA"/>
    <w:rsid w:val="00B963AA"/>
    <w:rsid w:val="00B965FE"/>
    <w:rsid w:val="00B96A17"/>
    <w:rsid w:val="00B9705E"/>
    <w:rsid w:val="00B97235"/>
    <w:rsid w:val="00B975CF"/>
    <w:rsid w:val="00BA0BB7"/>
    <w:rsid w:val="00BA0D2D"/>
    <w:rsid w:val="00BA193D"/>
    <w:rsid w:val="00BA1972"/>
    <w:rsid w:val="00BA1E06"/>
    <w:rsid w:val="00BA2512"/>
    <w:rsid w:val="00BA25BC"/>
    <w:rsid w:val="00BA2DC3"/>
    <w:rsid w:val="00BA3440"/>
    <w:rsid w:val="00BA3526"/>
    <w:rsid w:val="00BA37BA"/>
    <w:rsid w:val="00BA3829"/>
    <w:rsid w:val="00BA4AED"/>
    <w:rsid w:val="00BA5EFD"/>
    <w:rsid w:val="00BB074C"/>
    <w:rsid w:val="00BB0923"/>
    <w:rsid w:val="00BB0A12"/>
    <w:rsid w:val="00BB26E6"/>
    <w:rsid w:val="00BB394D"/>
    <w:rsid w:val="00BB4346"/>
    <w:rsid w:val="00BB66DF"/>
    <w:rsid w:val="00BB6B3A"/>
    <w:rsid w:val="00BB6DDC"/>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715D"/>
    <w:rsid w:val="00BC7DEF"/>
    <w:rsid w:val="00BD05C4"/>
    <w:rsid w:val="00BD0714"/>
    <w:rsid w:val="00BD0905"/>
    <w:rsid w:val="00BD0D18"/>
    <w:rsid w:val="00BD17AE"/>
    <w:rsid w:val="00BD24A5"/>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52A5"/>
    <w:rsid w:val="00C35E76"/>
    <w:rsid w:val="00C363BE"/>
    <w:rsid w:val="00C3696E"/>
    <w:rsid w:val="00C371FB"/>
    <w:rsid w:val="00C4242B"/>
    <w:rsid w:val="00C4252A"/>
    <w:rsid w:val="00C42897"/>
    <w:rsid w:val="00C42DFF"/>
    <w:rsid w:val="00C42F12"/>
    <w:rsid w:val="00C43B44"/>
    <w:rsid w:val="00C442A2"/>
    <w:rsid w:val="00C443F8"/>
    <w:rsid w:val="00C4455B"/>
    <w:rsid w:val="00C451C8"/>
    <w:rsid w:val="00C452E4"/>
    <w:rsid w:val="00C45A72"/>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84B"/>
    <w:rsid w:val="00CA2253"/>
    <w:rsid w:val="00CA324C"/>
    <w:rsid w:val="00CA3651"/>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9A8"/>
    <w:rsid w:val="00D841E8"/>
    <w:rsid w:val="00D8465F"/>
    <w:rsid w:val="00D84F2F"/>
    <w:rsid w:val="00D85322"/>
    <w:rsid w:val="00D862B8"/>
    <w:rsid w:val="00D862CE"/>
    <w:rsid w:val="00D86302"/>
    <w:rsid w:val="00D90529"/>
    <w:rsid w:val="00D90F6D"/>
    <w:rsid w:val="00D9153D"/>
    <w:rsid w:val="00D9229B"/>
    <w:rsid w:val="00D922A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D0C2C"/>
    <w:rsid w:val="00DD129F"/>
    <w:rsid w:val="00DD16BD"/>
    <w:rsid w:val="00DD21E0"/>
    <w:rsid w:val="00DD3229"/>
    <w:rsid w:val="00DD32D3"/>
    <w:rsid w:val="00DD4BF9"/>
    <w:rsid w:val="00DD503A"/>
    <w:rsid w:val="00DD539F"/>
    <w:rsid w:val="00DD58D1"/>
    <w:rsid w:val="00DD59F7"/>
    <w:rsid w:val="00DD61ED"/>
    <w:rsid w:val="00DD6707"/>
    <w:rsid w:val="00DD71D0"/>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7BB1"/>
    <w:rsid w:val="00DF7F22"/>
    <w:rsid w:val="00E00224"/>
    <w:rsid w:val="00E00358"/>
    <w:rsid w:val="00E00DCA"/>
    <w:rsid w:val="00E0101F"/>
    <w:rsid w:val="00E01D18"/>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957"/>
    <w:rsid w:val="00E139D6"/>
    <w:rsid w:val="00E13CEA"/>
    <w:rsid w:val="00E1568F"/>
    <w:rsid w:val="00E15F8C"/>
    <w:rsid w:val="00E16CCB"/>
    <w:rsid w:val="00E1729A"/>
    <w:rsid w:val="00E17810"/>
    <w:rsid w:val="00E17D01"/>
    <w:rsid w:val="00E207D6"/>
    <w:rsid w:val="00E20B73"/>
    <w:rsid w:val="00E20C91"/>
    <w:rsid w:val="00E218B9"/>
    <w:rsid w:val="00E224FC"/>
    <w:rsid w:val="00E226B9"/>
    <w:rsid w:val="00E23FF2"/>
    <w:rsid w:val="00E24CD3"/>
    <w:rsid w:val="00E25A67"/>
    <w:rsid w:val="00E26050"/>
    <w:rsid w:val="00E2626A"/>
    <w:rsid w:val="00E267CC"/>
    <w:rsid w:val="00E26926"/>
    <w:rsid w:val="00E31822"/>
    <w:rsid w:val="00E31F57"/>
    <w:rsid w:val="00E3202B"/>
    <w:rsid w:val="00E336C5"/>
    <w:rsid w:val="00E33A35"/>
    <w:rsid w:val="00E3478D"/>
    <w:rsid w:val="00E34794"/>
    <w:rsid w:val="00E3494F"/>
    <w:rsid w:val="00E34F31"/>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E1F"/>
    <w:rsid w:val="00E711AE"/>
    <w:rsid w:val="00E721F1"/>
    <w:rsid w:val="00E72655"/>
    <w:rsid w:val="00E73347"/>
    <w:rsid w:val="00E742DD"/>
    <w:rsid w:val="00E7433C"/>
    <w:rsid w:val="00E74719"/>
    <w:rsid w:val="00E7484B"/>
    <w:rsid w:val="00E7589D"/>
    <w:rsid w:val="00E8093B"/>
    <w:rsid w:val="00E8116B"/>
    <w:rsid w:val="00E812BD"/>
    <w:rsid w:val="00E81A53"/>
    <w:rsid w:val="00E81F5D"/>
    <w:rsid w:val="00E824ED"/>
    <w:rsid w:val="00E82EA6"/>
    <w:rsid w:val="00E82FA7"/>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088"/>
    <w:rsid w:val="00F10310"/>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AB"/>
    <w:rsid w:val="00F57ABD"/>
    <w:rsid w:val="00F57BC9"/>
    <w:rsid w:val="00F57CB0"/>
    <w:rsid w:val="00F57D8B"/>
    <w:rsid w:val="00F61608"/>
    <w:rsid w:val="00F623C5"/>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6E6F"/>
    <w:rsid w:val="00F7768F"/>
    <w:rsid w:val="00F7792A"/>
    <w:rsid w:val="00F77EB0"/>
    <w:rsid w:val="00F804F7"/>
    <w:rsid w:val="00F81511"/>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669"/>
    <w:rsid w:val="00FB06CF"/>
    <w:rsid w:val="00FB08CA"/>
    <w:rsid w:val="00FB0B69"/>
    <w:rsid w:val="00FB0F21"/>
    <w:rsid w:val="00FB1C9D"/>
    <w:rsid w:val="00FB2154"/>
    <w:rsid w:val="00FB2E3C"/>
    <w:rsid w:val="00FB3349"/>
    <w:rsid w:val="00FB4406"/>
    <w:rsid w:val="00FB557A"/>
    <w:rsid w:val="00FB62D0"/>
    <w:rsid w:val="00FB6D0F"/>
    <w:rsid w:val="00FB6E2E"/>
    <w:rsid w:val="00FB79E8"/>
    <w:rsid w:val="00FB7C8B"/>
    <w:rsid w:val="00FB7DBD"/>
    <w:rsid w:val="00FB7FAB"/>
    <w:rsid w:val="00FC051F"/>
    <w:rsid w:val="00FC052B"/>
    <w:rsid w:val="00FC0687"/>
    <w:rsid w:val="00FC18E5"/>
    <w:rsid w:val="00FC21C6"/>
    <w:rsid w:val="00FC2695"/>
    <w:rsid w:val="00FC2E5C"/>
    <w:rsid w:val="00FC34CD"/>
    <w:rsid w:val="00FC34DF"/>
    <w:rsid w:val="00FC3BBF"/>
    <w:rsid w:val="00FC4C58"/>
    <w:rsid w:val="00FC5F9D"/>
    <w:rsid w:val="00FC63D4"/>
    <w:rsid w:val="00FC70E7"/>
    <w:rsid w:val="00FC7503"/>
    <w:rsid w:val="00FC7BC4"/>
    <w:rsid w:val="00FD0445"/>
    <w:rsid w:val="00FD109D"/>
    <w:rsid w:val="00FD181D"/>
    <w:rsid w:val="00FD1A79"/>
    <w:rsid w:val="00FD446A"/>
    <w:rsid w:val="00FD4C86"/>
    <w:rsid w:val="00FD4F68"/>
    <w:rsid w:val="00FD59F9"/>
    <w:rsid w:val="00FD5C0C"/>
    <w:rsid w:val="00FD68FD"/>
    <w:rsid w:val="00FD6E66"/>
    <w:rsid w:val="00FD7526"/>
    <w:rsid w:val="00FD76E1"/>
    <w:rsid w:val="00FE095C"/>
    <w:rsid w:val="00FE0F6C"/>
    <w:rsid w:val="00FE1014"/>
    <w:rsid w:val="00FE11AB"/>
    <w:rsid w:val="00FE18D5"/>
    <w:rsid w:val="00FE2007"/>
    <w:rsid w:val="00FE229D"/>
    <w:rsid w:val="00FE2538"/>
    <w:rsid w:val="00FE2D57"/>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E1086C"/>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semiHidden/>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basedOn w:val="a5"/>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eastAsiaTheme="minorEastAsia"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B51A5B"/>
    <w:pPr>
      <w:numPr>
        <w:numId w:val="3"/>
      </w:numPr>
      <w:ind w:left="1418" w:hanging="1418"/>
      <w:contextualSpacing/>
      <w:jc w:val="left"/>
    </w:pPr>
    <w:rPr>
      <w:rFonts w:eastAsiaTheme="minorEastAsia"/>
      <w:b/>
      <w:bCs/>
      <w:lang w:eastAsia="zh-CN"/>
    </w:rPr>
  </w:style>
  <w:style w:type="paragraph" w:customStyle="1" w:styleId="Observe">
    <w:name w:val="Observe"/>
    <w:basedOn w:val="a3"/>
    <w:link w:val="Observe0"/>
    <w:qFormat/>
    <w:rsid w:val="00B51A5B"/>
    <w:pPr>
      <w:numPr>
        <w:numId w:val="4"/>
      </w:numPr>
      <w:ind w:left="1418" w:hanging="1418"/>
      <w:jc w:val="left"/>
    </w:pPr>
    <w:rPr>
      <w:rFonts w:eastAsiaTheme="minorEastAsia"/>
      <w:b/>
      <w:bCs/>
      <w:lang w:eastAsia="zh-CN"/>
    </w:rPr>
  </w:style>
  <w:style w:type="character" w:customStyle="1" w:styleId="Propose0">
    <w:name w:val="Propose 字符"/>
    <w:basedOn w:val="a4"/>
    <w:link w:val="Propose"/>
    <w:rsid w:val="00B51A5B"/>
    <w:rPr>
      <w:rFonts w:eastAsiaTheme="minorEastAsia"/>
      <w:b/>
      <w:bCs/>
      <w:lang w:val="en-GB"/>
    </w:rPr>
  </w:style>
  <w:style w:type="paragraph" w:styleId="TOC1">
    <w:name w:val="toc 1"/>
    <w:basedOn w:val="a3"/>
    <w:next w:val="a3"/>
    <w:autoRedefine/>
    <w:uiPriority w:val="39"/>
    <w:rsid w:val="00B13397"/>
  </w:style>
  <w:style w:type="character" w:customStyle="1" w:styleId="Observe0">
    <w:name w:val="Observe 字符"/>
    <w:basedOn w:val="a4"/>
    <w:link w:val="Observe"/>
    <w:rsid w:val="00B51A5B"/>
    <w:rPr>
      <w:rFonts w:eastAsiaTheme="minorEastAsia"/>
      <w:b/>
      <w:bCs/>
      <w:lang w:val="en-GB"/>
    </w:rPr>
  </w:style>
  <w:style w:type="paragraph" w:customStyle="1" w:styleId="Conclusion">
    <w:name w:val="Conclusion"/>
    <w:basedOn w:val="a3"/>
    <w:link w:val="Conclusion0"/>
    <w:qFormat/>
    <w:rsid w:val="002C148A"/>
    <w:pPr>
      <w:ind w:left="1418" w:hangingChars="709" w:hanging="1418"/>
      <w:jc w:val="left"/>
    </w:pPr>
    <w:rPr>
      <w:rFonts w:eastAsiaTheme="minorEastAsia"/>
      <w:b/>
      <w:bCs/>
      <w:lang w:eastAsia="zh-CN"/>
    </w:rPr>
  </w:style>
  <w:style w:type="character" w:customStyle="1" w:styleId="Conclusion0">
    <w:name w:val="Conclusion 字符"/>
    <w:basedOn w:val="a4"/>
    <w:link w:val="Conclusion"/>
    <w:rsid w:val="002C148A"/>
    <w:rPr>
      <w:rFonts w:eastAsiaTheme="minorEastAsia"/>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1695</TotalTime>
  <Pages>2</Pages>
  <Words>587</Words>
  <Characters>3349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3929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OPPO-Juan 2</cp:lastModifiedBy>
  <cp:revision>6</cp:revision>
  <dcterms:created xsi:type="dcterms:W3CDTF">2024-11-04T04:02:00Z</dcterms:created>
  <dcterms:modified xsi:type="dcterms:W3CDTF">2025-10-03T08:00:00Z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