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4DAA167C" w:rsidR="0084255A" w:rsidRPr="00235171" w:rsidRDefault="00ED0F86" w:rsidP="00850E12">
      <w:pPr>
        <w:tabs>
          <w:tab w:val="right" w:pos="9781"/>
          <w:tab w:val="right" w:pos="13323"/>
        </w:tabs>
        <w:spacing w:before="60" w:after="60"/>
        <w:jc w:val="both"/>
        <w:outlineLvl w:val="0"/>
        <w:rPr>
          <w:b/>
          <w:sz w:val="24"/>
          <w:szCs w:val="24"/>
        </w:rPr>
      </w:pPr>
      <w:bookmarkStart w:id="0" w:name="DocumentFor"/>
      <w:bookmarkStart w:id="1" w:name="Title"/>
      <w:bookmarkEnd w:id="0"/>
      <w:bookmarkEnd w:id="1"/>
      <w:r w:rsidRPr="00235171">
        <w:rPr>
          <w:b/>
          <w:sz w:val="24"/>
          <w:szCs w:val="24"/>
          <w:lang w:val="en-US"/>
        </w:rPr>
        <w:t>3GPP TSG-RAN WG4 Meeting #116bis</w:t>
      </w:r>
      <w:r w:rsidR="0084255A" w:rsidRPr="00235171">
        <w:rPr>
          <w:b/>
          <w:sz w:val="24"/>
          <w:szCs w:val="24"/>
          <w:lang w:val="en-US"/>
        </w:rPr>
        <w:t xml:space="preserve"> </w:t>
      </w:r>
      <w:r w:rsidR="00850E12" w:rsidRPr="00235171">
        <w:rPr>
          <w:b/>
          <w:sz w:val="24"/>
          <w:szCs w:val="24"/>
        </w:rPr>
        <w:t xml:space="preserve">         </w:t>
      </w:r>
      <w:r w:rsidR="0084255A" w:rsidRPr="00235171">
        <w:rPr>
          <w:b/>
          <w:sz w:val="24"/>
          <w:szCs w:val="24"/>
        </w:rPr>
        <w:t xml:space="preserve"> </w:t>
      </w:r>
      <w:r w:rsidR="00850E12" w:rsidRPr="00235171">
        <w:rPr>
          <w:b/>
          <w:sz w:val="24"/>
          <w:szCs w:val="24"/>
        </w:rPr>
        <w:t xml:space="preserve">                                       </w:t>
      </w:r>
      <w:r w:rsidR="00EA2408" w:rsidRPr="00235171">
        <w:rPr>
          <w:b/>
          <w:sz w:val="24"/>
          <w:szCs w:val="24"/>
        </w:rPr>
        <w:t xml:space="preserve">          </w:t>
      </w:r>
      <w:r w:rsidR="00F65047">
        <w:rPr>
          <w:b/>
          <w:sz w:val="24"/>
          <w:szCs w:val="24"/>
        </w:rPr>
        <w:t xml:space="preserve">       </w:t>
      </w:r>
      <w:r w:rsidR="00235171" w:rsidRPr="00235171">
        <w:rPr>
          <w:b/>
          <w:sz w:val="24"/>
          <w:szCs w:val="24"/>
        </w:rPr>
        <w:t>R4-2513136</w:t>
      </w:r>
      <w:r w:rsidR="00850E12" w:rsidRPr="00235171">
        <w:rPr>
          <w:b/>
          <w:sz w:val="24"/>
          <w:szCs w:val="24"/>
        </w:rPr>
        <w:tab/>
      </w:r>
    </w:p>
    <w:p w14:paraId="438CD14B" w14:textId="3D99BF09" w:rsidR="6C4A06CF" w:rsidRDefault="6C4A06CF" w:rsidP="7DA84829">
      <w:pPr>
        <w:ind w:left="1988" w:hanging="1988"/>
        <w:jc w:val="both"/>
        <w:rPr>
          <w:b/>
          <w:bCs/>
          <w:sz w:val="24"/>
          <w:szCs w:val="24"/>
          <w:lang w:val="en-US"/>
        </w:rPr>
      </w:pPr>
      <w:r w:rsidRPr="00235171">
        <w:rPr>
          <w:b/>
          <w:bCs/>
          <w:sz w:val="24"/>
          <w:szCs w:val="24"/>
          <w:lang w:val="en-US"/>
        </w:rPr>
        <w:t>Prague, Czech Republic, Oct. 13-17, 2025</w:t>
      </w:r>
    </w:p>
    <w:p w14:paraId="64AEA4CF" w14:textId="255ADCFF" w:rsidR="00827396" w:rsidRPr="0009172F" w:rsidRDefault="00827396" w:rsidP="50C3DF1F">
      <w:pPr>
        <w:ind w:left="1988" w:hanging="1988"/>
        <w:jc w:val="both"/>
        <w:rPr>
          <w:b/>
          <w:bCs/>
          <w:sz w:val="22"/>
          <w:szCs w:val="22"/>
          <w:lang w:val="en-US"/>
        </w:rPr>
      </w:pPr>
    </w:p>
    <w:p w14:paraId="506B654E" w14:textId="67A8FF02" w:rsidR="00420620" w:rsidRPr="0009172F" w:rsidRDefault="00420620" w:rsidP="001C37D1">
      <w:pPr>
        <w:spacing w:line="360" w:lineRule="auto"/>
        <w:ind w:left="1988" w:hanging="1988"/>
        <w:jc w:val="both"/>
        <w:rPr>
          <w:bCs/>
          <w:sz w:val="24"/>
          <w:lang w:val="en-US"/>
        </w:rPr>
      </w:pPr>
      <w:r w:rsidRPr="0009172F">
        <w:rPr>
          <w:b/>
          <w:sz w:val="24"/>
          <w:lang w:val="en-US"/>
        </w:rPr>
        <w:t xml:space="preserve">Source:                </w:t>
      </w:r>
      <w:r w:rsidRPr="0009172F">
        <w:rPr>
          <w:bCs/>
          <w:sz w:val="24"/>
          <w:lang w:val="en-US"/>
        </w:rPr>
        <w:t xml:space="preserve">Tejas Networks </w:t>
      </w:r>
    </w:p>
    <w:p w14:paraId="536F73FA" w14:textId="112D5FB4" w:rsidR="00847D95" w:rsidRPr="0009172F" w:rsidRDefault="00847D95" w:rsidP="00847D95">
      <w:pPr>
        <w:spacing w:line="360" w:lineRule="auto"/>
        <w:ind w:left="1988" w:hanging="1988"/>
        <w:jc w:val="both"/>
        <w:rPr>
          <w:bCs/>
          <w:sz w:val="24"/>
          <w:lang w:val="en-US"/>
        </w:rPr>
      </w:pPr>
      <w:bookmarkStart w:id="2" w:name="_Int_NN0XjMO4"/>
      <w:r w:rsidRPr="0009172F">
        <w:rPr>
          <w:b/>
          <w:sz w:val="24"/>
          <w:lang w:val="en-US"/>
        </w:rPr>
        <w:t xml:space="preserve">Title:                   </w:t>
      </w:r>
      <w:bookmarkEnd w:id="2"/>
      <w:r w:rsidR="004E7022" w:rsidRPr="0009172F">
        <w:rPr>
          <w:b/>
          <w:sz w:val="24"/>
          <w:lang w:val="en-US"/>
        </w:rPr>
        <w:t xml:space="preserve"> </w:t>
      </w:r>
      <w:r w:rsidR="004E7022" w:rsidRPr="0009172F">
        <w:rPr>
          <w:bCs/>
          <w:sz w:val="24"/>
          <w:lang w:val="en-US"/>
        </w:rPr>
        <w:t>Multi-RAT spectrum sharing for migration, mobility between 5G NR and 6G</w:t>
      </w:r>
    </w:p>
    <w:p w14:paraId="6006169F" w14:textId="14BD28E7" w:rsidR="00792278" w:rsidRPr="0009172F" w:rsidRDefault="00792278" w:rsidP="001C37D1">
      <w:pPr>
        <w:spacing w:line="360" w:lineRule="auto"/>
        <w:ind w:left="1988" w:hanging="1988"/>
        <w:jc w:val="both"/>
        <w:rPr>
          <w:b/>
          <w:sz w:val="24"/>
          <w:lang w:val="en-US"/>
        </w:rPr>
      </w:pPr>
      <w:r w:rsidRPr="0009172F">
        <w:rPr>
          <w:b/>
          <w:sz w:val="24"/>
          <w:lang w:val="en-US"/>
        </w:rPr>
        <w:t xml:space="preserve">Agenda </w:t>
      </w:r>
      <w:r w:rsidRPr="000C7C7B">
        <w:rPr>
          <w:b/>
          <w:sz w:val="24"/>
          <w:lang w:val="en-US"/>
        </w:rPr>
        <w:t xml:space="preserve">Item:      </w:t>
      </w:r>
      <w:r w:rsidR="004E7022" w:rsidRPr="000C7C7B">
        <w:rPr>
          <w:bCs/>
          <w:sz w:val="24"/>
          <w:lang w:val="en-US"/>
        </w:rPr>
        <w:t>8.10</w:t>
      </w:r>
    </w:p>
    <w:p w14:paraId="649EC1ED" w14:textId="37D6D559" w:rsidR="00792278" w:rsidRPr="0009172F" w:rsidRDefault="00792278" w:rsidP="001C37D1">
      <w:pPr>
        <w:spacing w:line="360" w:lineRule="auto"/>
        <w:ind w:left="1988" w:hanging="1988"/>
        <w:jc w:val="both"/>
        <w:rPr>
          <w:bCs/>
          <w:sz w:val="24"/>
          <w:lang w:val="en-US"/>
        </w:rPr>
      </w:pPr>
      <w:r w:rsidRPr="0009172F">
        <w:rPr>
          <w:b/>
          <w:sz w:val="24"/>
          <w:lang w:val="en-US"/>
        </w:rPr>
        <w:t xml:space="preserve">Document for:    </w:t>
      </w:r>
      <w:r w:rsidRPr="0009172F">
        <w:rPr>
          <w:bCs/>
          <w:sz w:val="24"/>
          <w:lang w:val="en-US"/>
        </w:rPr>
        <w:t>Discussion</w:t>
      </w:r>
    </w:p>
    <w:p w14:paraId="39829E14" w14:textId="680F8650" w:rsidR="00446A67" w:rsidRPr="0009172F" w:rsidRDefault="00446A67" w:rsidP="00446A67">
      <w:pPr>
        <w:pStyle w:val="Heading1"/>
        <w:rPr>
          <w:rFonts w:ascii="Times New Roman" w:hAnsi="Times New Roman"/>
          <w:b/>
          <w:bCs/>
        </w:rPr>
      </w:pPr>
      <w:bookmarkStart w:id="3" w:name="_Ref521334010"/>
      <w:bookmarkStart w:id="4" w:name="_Ref163021500"/>
      <w:r w:rsidRPr="0009172F">
        <w:rPr>
          <w:rFonts w:ascii="Times New Roman" w:hAnsi="Times New Roman"/>
          <w:b/>
          <w:bCs/>
        </w:rPr>
        <w:t>Introduction</w:t>
      </w:r>
      <w:bookmarkEnd w:id="3"/>
    </w:p>
    <w:p w14:paraId="5757D5AF" w14:textId="2ADD1E59" w:rsidR="00847D95" w:rsidRDefault="009B7108" w:rsidP="007C1A5C">
      <w:pPr>
        <w:spacing w:line="259" w:lineRule="auto"/>
        <w:jc w:val="both"/>
        <w:rPr>
          <w:rFonts w:eastAsia="Calibri"/>
          <w:color w:val="000000" w:themeColor="text1"/>
          <w:sz w:val="22"/>
          <w:szCs w:val="22"/>
          <w:lang w:val="en-US"/>
        </w:rPr>
      </w:pPr>
      <w:r w:rsidRPr="0009172F">
        <w:rPr>
          <w:rFonts w:eastAsia="Calibri"/>
          <w:color w:val="000000" w:themeColor="text1"/>
          <w:sz w:val="22"/>
          <w:szCs w:val="22"/>
          <w:lang w:val="en-US"/>
        </w:rPr>
        <w:tab/>
      </w:r>
      <w:r w:rsidR="007C1A5C" w:rsidRPr="0009172F">
        <w:rPr>
          <w:rFonts w:eastAsia="Calibri"/>
          <w:color w:val="000000" w:themeColor="text1"/>
          <w:sz w:val="22"/>
          <w:szCs w:val="22"/>
          <w:lang w:val="en-US"/>
        </w:rPr>
        <w:t>DSS has been a key enabler of 5G NR deployment since Release 15, supporting efficient coexistence and migration from LTE to NR on shared spectrum. Release 17 introduced cross-carrier scheduling enhancements [1], and Release 18 further advanced DSS by enabling narrowband deployments</w:t>
      </w:r>
      <w:r w:rsidR="000E7DAE">
        <w:rPr>
          <w:rFonts w:eastAsia="Calibri"/>
          <w:color w:val="000000" w:themeColor="text1"/>
          <w:sz w:val="22"/>
          <w:szCs w:val="22"/>
          <w:lang w:val="en-US"/>
        </w:rPr>
        <w:t xml:space="preserve"> </w:t>
      </w:r>
      <w:r w:rsidR="007C1A5C" w:rsidRPr="0009172F">
        <w:rPr>
          <w:rFonts w:eastAsia="Calibri"/>
          <w:color w:val="000000" w:themeColor="text1"/>
          <w:sz w:val="22"/>
          <w:szCs w:val="22"/>
          <w:lang w:val="en-US"/>
        </w:rPr>
        <w:t xml:space="preserve">and </w:t>
      </w:r>
      <w:r w:rsidR="007C1A5C" w:rsidRPr="00D97050">
        <w:rPr>
          <w:rFonts w:eastAsia="Calibri"/>
          <w:color w:val="000000" w:themeColor="text1"/>
          <w:sz w:val="22"/>
          <w:szCs w:val="22"/>
          <w:lang w:val="en-US"/>
        </w:rPr>
        <w:t>dynamic resource optimization [2].</w:t>
      </w:r>
      <w:r w:rsidR="007C1A5C" w:rsidRPr="0009172F">
        <w:rPr>
          <w:rFonts w:eastAsia="Calibri"/>
          <w:color w:val="000000" w:themeColor="text1"/>
          <w:sz w:val="22"/>
          <w:szCs w:val="22"/>
          <w:lang w:val="en-US"/>
        </w:rPr>
        <w:t xml:space="preserve"> DSS continues to offer a stable framework for multi-RAT operations.</w:t>
      </w:r>
      <w:r w:rsidR="003B1BCF" w:rsidRPr="0009172F">
        <w:rPr>
          <w:rFonts w:eastAsia="Calibri"/>
          <w:color w:val="000000" w:themeColor="text1"/>
          <w:sz w:val="22"/>
          <w:szCs w:val="22"/>
          <w:lang w:val="en-US"/>
        </w:rPr>
        <w:t xml:space="preserve"> </w:t>
      </w:r>
      <w:r w:rsidR="007C1A5C" w:rsidRPr="0009172F">
        <w:rPr>
          <w:rFonts w:eastAsia="Calibri"/>
          <w:color w:val="000000" w:themeColor="text1"/>
          <w:sz w:val="22"/>
          <w:szCs w:val="22"/>
          <w:lang w:val="en-US"/>
        </w:rPr>
        <w:t>As 3GPP begins 6G studies under 6G</w:t>
      </w:r>
      <w:r w:rsidR="00DA7007">
        <w:rPr>
          <w:rFonts w:eastAsia="Calibri"/>
          <w:color w:val="000000" w:themeColor="text1"/>
          <w:sz w:val="22"/>
          <w:szCs w:val="22"/>
          <w:lang w:val="en-US"/>
        </w:rPr>
        <w:t>R</w:t>
      </w:r>
      <w:r w:rsidR="007C1A5C" w:rsidRPr="0009172F">
        <w:rPr>
          <w:rFonts w:eastAsia="Calibri"/>
          <w:color w:val="000000" w:themeColor="text1"/>
          <w:sz w:val="22"/>
          <w:szCs w:val="22"/>
          <w:lang w:val="en-US"/>
        </w:rPr>
        <w:t xml:space="preserve"> [3], MRSS between NR and 6GR will be essential for seamless migration, mobility, and spectrum efficiency within existing 5G bands. </w:t>
      </w:r>
      <w:r w:rsidR="00A900AC" w:rsidRPr="00A900AC">
        <w:rPr>
          <w:rFonts w:eastAsia="Calibri"/>
          <w:color w:val="000000" w:themeColor="text1"/>
          <w:sz w:val="22"/>
          <w:szCs w:val="22"/>
          <w:lang w:val="en-US"/>
        </w:rPr>
        <w:t>In this contribution, we propose key RAN4 considerations for MRSS in 6G. In the last RAN4 meeting, there was discussion around planning for 6G based on the 6G SID, and the RAN4 6G plan and meeting arrangement were approved [</w:t>
      </w:r>
      <w:r w:rsidR="009E71E6">
        <w:rPr>
          <w:rFonts w:eastAsia="Calibri"/>
          <w:color w:val="000000" w:themeColor="text1"/>
          <w:sz w:val="22"/>
          <w:szCs w:val="22"/>
          <w:lang w:val="en-US"/>
        </w:rPr>
        <w:t>4</w:t>
      </w:r>
      <w:r w:rsidR="00A900AC" w:rsidRPr="00A900AC">
        <w:rPr>
          <w:rFonts w:eastAsia="Calibri"/>
          <w:color w:val="000000" w:themeColor="text1"/>
          <w:sz w:val="22"/>
          <w:szCs w:val="22"/>
          <w:lang w:val="en-US"/>
        </w:rPr>
        <w:t xml:space="preserve">]. </w:t>
      </w:r>
    </w:p>
    <w:p w14:paraId="10787EBC" w14:textId="77777777" w:rsidR="00084A31" w:rsidRPr="00084A31" w:rsidRDefault="00084A31" w:rsidP="007C1A5C">
      <w:pPr>
        <w:spacing w:line="259" w:lineRule="auto"/>
        <w:jc w:val="both"/>
        <w:rPr>
          <w:rFonts w:eastAsia="Calibri"/>
          <w:color w:val="000000" w:themeColor="text1"/>
          <w:sz w:val="10"/>
          <w:szCs w:val="10"/>
          <w:lang w:val="en-US"/>
        </w:rPr>
      </w:pPr>
    </w:p>
    <w:tbl>
      <w:tblPr>
        <w:tblStyle w:val="TableGrid"/>
        <w:tblW w:w="0" w:type="auto"/>
        <w:tblLook w:val="04A0" w:firstRow="1" w:lastRow="0" w:firstColumn="1" w:lastColumn="0" w:noHBand="0" w:noVBand="1"/>
      </w:tblPr>
      <w:tblGrid>
        <w:gridCol w:w="9350"/>
      </w:tblGrid>
      <w:tr w:rsidR="00027E32" w14:paraId="5BE86887" w14:textId="77777777" w:rsidTr="00027E32">
        <w:tc>
          <w:tcPr>
            <w:tcW w:w="9350" w:type="dxa"/>
          </w:tcPr>
          <w:p w14:paraId="09B0BA51" w14:textId="57A9409B" w:rsidR="00027E32" w:rsidRDefault="00027E32" w:rsidP="007C1A5C">
            <w:pPr>
              <w:spacing w:line="259" w:lineRule="auto"/>
              <w:jc w:val="both"/>
              <w:rPr>
                <w:rFonts w:eastAsia="Calibri"/>
                <w:color w:val="000000" w:themeColor="text1"/>
                <w:sz w:val="22"/>
                <w:szCs w:val="22"/>
                <w:lang w:val="en-US"/>
              </w:rPr>
            </w:pPr>
            <w:r>
              <w:rPr>
                <w:noProof/>
              </w:rPr>
              <w:drawing>
                <wp:inline distT="0" distB="0" distL="0" distR="0" wp14:anchorId="13205413" wp14:editId="5A46279B">
                  <wp:extent cx="5943600" cy="203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03200"/>
                          </a:xfrm>
                          <a:prstGeom prst="rect">
                            <a:avLst/>
                          </a:prstGeom>
                        </pic:spPr>
                      </pic:pic>
                    </a:graphicData>
                  </a:graphic>
                </wp:inline>
              </w:drawing>
            </w:r>
          </w:p>
        </w:tc>
      </w:tr>
    </w:tbl>
    <w:p w14:paraId="734DA59A" w14:textId="77777777" w:rsidR="00084A31" w:rsidRPr="00084A31" w:rsidRDefault="00084A31" w:rsidP="007C1A5C">
      <w:pPr>
        <w:spacing w:line="259" w:lineRule="auto"/>
        <w:jc w:val="both"/>
        <w:rPr>
          <w:rFonts w:eastAsia="Calibri"/>
          <w:color w:val="000000" w:themeColor="text1"/>
          <w:sz w:val="6"/>
          <w:szCs w:val="6"/>
          <w:lang w:val="en-US"/>
        </w:rPr>
      </w:pPr>
    </w:p>
    <w:p w14:paraId="6E4B0CA4" w14:textId="79A2BD86" w:rsidR="00027E32" w:rsidRDefault="00084A31" w:rsidP="007C1A5C">
      <w:pPr>
        <w:spacing w:line="259" w:lineRule="auto"/>
        <w:jc w:val="both"/>
        <w:rPr>
          <w:rFonts w:eastAsia="Calibri"/>
          <w:color w:val="000000" w:themeColor="text1"/>
          <w:sz w:val="22"/>
          <w:szCs w:val="22"/>
          <w:lang w:val="en-US"/>
        </w:rPr>
      </w:pPr>
      <w:r w:rsidRPr="00A900AC">
        <w:rPr>
          <w:rFonts w:eastAsia="Calibri"/>
          <w:color w:val="000000" w:themeColor="text1"/>
          <w:sz w:val="22"/>
          <w:szCs w:val="22"/>
          <w:lang w:val="en-US"/>
        </w:rPr>
        <w:t>This contribution focuses on spectrum sharing aspects relevant to MRSS.</w:t>
      </w:r>
    </w:p>
    <w:p w14:paraId="3D187333" w14:textId="10D0B15E" w:rsidR="003A4B9D" w:rsidRPr="0009172F" w:rsidRDefault="008F508F" w:rsidP="003A4B9D">
      <w:pPr>
        <w:pStyle w:val="Heading1"/>
        <w:rPr>
          <w:rFonts w:ascii="Times New Roman" w:hAnsi="Times New Roman"/>
          <w:b/>
          <w:bCs/>
        </w:rPr>
      </w:pPr>
      <w:r w:rsidRPr="0009172F">
        <w:rPr>
          <w:rFonts w:ascii="Times New Roman" w:hAnsi="Times New Roman"/>
          <w:b/>
          <w:bCs/>
        </w:rPr>
        <w:t>Discussion</w:t>
      </w:r>
    </w:p>
    <w:p w14:paraId="72CE25E2" w14:textId="354C74FC" w:rsidR="0074643A" w:rsidRPr="0009172F" w:rsidRDefault="003B1BCF" w:rsidP="003B1BCF">
      <w:pPr>
        <w:jc w:val="both"/>
        <w:rPr>
          <w:rFonts w:eastAsia="Calibri"/>
          <w:color w:val="000000" w:themeColor="text1"/>
          <w:sz w:val="22"/>
          <w:szCs w:val="22"/>
          <w:lang w:val="en-US"/>
        </w:rPr>
      </w:pPr>
      <w:bookmarkStart w:id="5" w:name="_Hlk188364326"/>
      <w:r w:rsidRPr="0009172F">
        <w:rPr>
          <w:rFonts w:eastAsia="Calibri"/>
          <w:color w:val="000000" w:themeColor="text1"/>
          <w:sz w:val="22"/>
          <w:szCs w:val="22"/>
          <w:lang w:val="en-US"/>
        </w:rPr>
        <w:t>The 6GR study (revised SID RP-</w:t>
      </w:r>
      <w:r w:rsidRPr="0009172F">
        <w:t xml:space="preserve"> </w:t>
      </w:r>
      <w:r w:rsidRPr="0009172F">
        <w:rPr>
          <w:rFonts w:eastAsia="Calibri"/>
          <w:color w:val="000000" w:themeColor="text1"/>
          <w:sz w:val="22"/>
          <w:szCs w:val="22"/>
          <w:lang w:val="en-US"/>
        </w:rPr>
        <w:t>252912, approved at RAN#109) [3] aims to define the overall 6G radio access network framework, with explicit scope for multi-RAT spectrum sharing to support migration and mobility between 5G NR and 6GR. This includes operating 6GR in existing NR spectrum allocations without disrupting 5G services, enabling operators to dynamically allocate resources based on traffic demands. RAN4’s role in such sharing mechanisms is critical for ensuring real-world feasibility, as it defines RF performance requirements</w:t>
      </w:r>
      <w:r w:rsidR="000E7DAE">
        <w:rPr>
          <w:rFonts w:eastAsia="Calibri"/>
          <w:color w:val="000000" w:themeColor="text1"/>
          <w:sz w:val="22"/>
          <w:szCs w:val="22"/>
          <w:lang w:val="en-US"/>
        </w:rPr>
        <w:t xml:space="preserve">, </w:t>
      </w:r>
      <w:r w:rsidRPr="0009172F">
        <w:rPr>
          <w:rFonts w:eastAsia="Calibri"/>
          <w:color w:val="000000" w:themeColor="text1"/>
          <w:sz w:val="22"/>
          <w:szCs w:val="22"/>
          <w:lang w:val="en-US"/>
        </w:rPr>
        <w:t>RRM procedures</w:t>
      </w:r>
      <w:r w:rsidR="000E7DAE">
        <w:rPr>
          <w:rFonts w:eastAsia="Calibri"/>
          <w:color w:val="000000" w:themeColor="text1"/>
          <w:sz w:val="22"/>
          <w:szCs w:val="22"/>
          <w:lang w:val="en-US"/>
        </w:rPr>
        <w:t xml:space="preserve">, </w:t>
      </w:r>
      <w:r w:rsidRPr="0009172F">
        <w:rPr>
          <w:rFonts w:eastAsia="Calibri"/>
          <w:color w:val="000000" w:themeColor="text1"/>
          <w:sz w:val="22"/>
          <w:szCs w:val="22"/>
          <w:lang w:val="en-US"/>
        </w:rPr>
        <w:t>and conformance testing for UEs and base stations</w:t>
      </w:r>
      <w:r w:rsidR="00BB4DBC">
        <w:rPr>
          <w:rFonts w:eastAsia="Calibri"/>
          <w:color w:val="000000" w:themeColor="text1"/>
          <w:sz w:val="22"/>
          <w:szCs w:val="22"/>
          <w:lang w:val="en-US"/>
        </w:rPr>
        <w:t>.</w:t>
      </w:r>
    </w:p>
    <w:p w14:paraId="66932D5F" w14:textId="7AF436F5" w:rsidR="003B1BCF" w:rsidRPr="0009172F" w:rsidRDefault="005845FC" w:rsidP="004E7022">
      <w:pPr>
        <w:pStyle w:val="Heading2"/>
        <w:spacing w:line="259" w:lineRule="auto"/>
        <w:ind w:left="709" w:hanging="708"/>
        <w:jc w:val="left"/>
        <w:rPr>
          <w:rFonts w:ascii="Times New Roman" w:hAnsi="Times New Roman"/>
          <w:b/>
          <w:bCs/>
        </w:rPr>
      </w:pPr>
      <w:bookmarkStart w:id="6" w:name="_Hlk178587788"/>
      <w:r w:rsidRPr="0009172F">
        <w:rPr>
          <w:rFonts w:ascii="Times New Roman" w:hAnsi="Times New Roman"/>
          <w:b/>
          <w:bCs/>
        </w:rPr>
        <w:t xml:space="preserve">Evolution of DSS </w:t>
      </w:r>
      <w:bookmarkEnd w:id="6"/>
    </w:p>
    <w:p w14:paraId="0794FD43" w14:textId="760474DF" w:rsidR="00630F27" w:rsidRPr="0009172F" w:rsidRDefault="00630F27" w:rsidP="00E83213">
      <w:pPr>
        <w:jc w:val="both"/>
        <w:rPr>
          <w:rFonts w:eastAsia="Times New Roman"/>
          <w:sz w:val="22"/>
          <w:szCs w:val="22"/>
          <w:lang w:val="en-IN" w:eastAsia="en-IN"/>
        </w:rPr>
      </w:pPr>
      <w:r w:rsidRPr="0009172F">
        <w:rPr>
          <w:rFonts w:eastAsia="Times New Roman"/>
          <w:sz w:val="22"/>
          <w:szCs w:val="22"/>
          <w:lang w:val="en-IN" w:eastAsia="en-IN"/>
        </w:rPr>
        <w:t xml:space="preserve">The </w:t>
      </w:r>
      <w:r w:rsidR="00E83213" w:rsidRPr="00E83213">
        <w:rPr>
          <w:rFonts w:eastAsia="Times New Roman"/>
          <w:sz w:val="22"/>
          <w:szCs w:val="22"/>
          <w:lang w:val="en-IN" w:eastAsia="en-IN"/>
        </w:rPr>
        <w:t xml:space="preserve">DSS feature allows LTE and NR to operate on the same carrier. It enables operators to introduce NR without major spectrum reallocation. DSS dynamically partitions resources, improving spectrum </w:t>
      </w:r>
      <w:r w:rsidR="30AE1CF5" w:rsidRPr="71648405">
        <w:rPr>
          <w:rFonts w:eastAsia="Times New Roman"/>
          <w:sz w:val="22"/>
          <w:szCs w:val="22"/>
          <w:lang w:val="en-IN" w:eastAsia="en-IN"/>
        </w:rPr>
        <w:t>use</w:t>
      </w:r>
      <w:r w:rsidR="00E83213" w:rsidRPr="00E83213">
        <w:rPr>
          <w:rFonts w:eastAsia="Times New Roman"/>
          <w:sz w:val="22"/>
          <w:szCs w:val="22"/>
          <w:lang w:val="en-IN" w:eastAsia="en-IN"/>
        </w:rPr>
        <w:t xml:space="preserve"> and reducing interference, such as LTE control region effects on NR PDSCH. The focus remains on interference mitigation, power control, and conformance testing in shared environments.</w:t>
      </w:r>
      <w:r w:rsidR="00E83213">
        <w:rPr>
          <w:rFonts w:eastAsia="Times New Roman"/>
          <w:sz w:val="22"/>
          <w:szCs w:val="22"/>
          <w:lang w:val="en-IN" w:eastAsia="en-IN"/>
        </w:rPr>
        <w:t xml:space="preserve"> </w:t>
      </w:r>
      <w:r w:rsidR="00E83213" w:rsidRPr="00E83213">
        <w:rPr>
          <w:rFonts w:eastAsia="Times New Roman"/>
          <w:sz w:val="22"/>
          <w:szCs w:val="22"/>
          <w:lang w:val="en-IN" w:eastAsia="en-IN"/>
        </w:rPr>
        <w:t xml:space="preserve">Release 15 established the foundation for LTE-NR coexistence in FR1 bands. RAN4 defined RF requirements, including ACLR and spurious emissions, to limit inter-RAT interference. RRM enhancements ensured </w:t>
      </w:r>
      <w:r w:rsidR="7324CB6A" w:rsidRPr="71648405">
        <w:rPr>
          <w:rFonts w:eastAsia="Times New Roman"/>
          <w:sz w:val="22"/>
          <w:szCs w:val="22"/>
          <w:lang w:val="en-IN" w:eastAsia="en-IN"/>
        </w:rPr>
        <w:t>right</w:t>
      </w:r>
      <w:r w:rsidR="00E83213" w:rsidRPr="00E83213">
        <w:rPr>
          <w:rFonts w:eastAsia="Times New Roman"/>
          <w:sz w:val="22"/>
          <w:szCs w:val="22"/>
          <w:lang w:val="en-IN" w:eastAsia="en-IN"/>
        </w:rPr>
        <w:t xml:space="preserve"> UE measurements, such as cell search, on DSS carriers. Conformance tests </w:t>
      </w:r>
      <w:r w:rsidR="2635F849" w:rsidRPr="71648405">
        <w:rPr>
          <w:rFonts w:eastAsia="Times New Roman"/>
          <w:sz w:val="22"/>
          <w:szCs w:val="22"/>
          <w:lang w:val="en-IN" w:eastAsia="en-IN"/>
        </w:rPr>
        <w:t>confirmed</w:t>
      </w:r>
      <w:r w:rsidR="00E83213" w:rsidRPr="00E83213">
        <w:rPr>
          <w:rFonts w:eastAsia="Times New Roman"/>
          <w:sz w:val="22"/>
          <w:szCs w:val="22"/>
          <w:lang w:val="en-IN" w:eastAsia="en-IN"/>
        </w:rPr>
        <w:t xml:space="preserve"> demodulation performance under LTE-heavy loads, enabling initial DSS deployments.</w:t>
      </w:r>
      <w:r w:rsidR="00E83213">
        <w:rPr>
          <w:rFonts w:eastAsia="Times New Roman"/>
          <w:sz w:val="22"/>
          <w:szCs w:val="22"/>
          <w:lang w:val="en-IN" w:eastAsia="en-IN"/>
        </w:rPr>
        <w:t xml:space="preserve"> </w:t>
      </w:r>
      <w:r w:rsidR="00E83213" w:rsidRPr="00E83213">
        <w:rPr>
          <w:rFonts w:eastAsia="Times New Roman"/>
          <w:sz w:val="22"/>
          <w:szCs w:val="22"/>
          <w:lang w:val="en-IN" w:eastAsia="en-IN"/>
        </w:rPr>
        <w:t>Release 16 introduced optimizations for higher NR traffic ratios. RAN4 specified refined channel models for interference and power backoff limits to prevent NR signal degradation. These updates supported multi-band deployments and improved spectrum efficiency across diverse scenarios.</w:t>
      </w:r>
      <w:r w:rsidR="00E83213">
        <w:rPr>
          <w:rFonts w:eastAsia="Times New Roman"/>
          <w:sz w:val="22"/>
          <w:szCs w:val="22"/>
          <w:lang w:val="en-IN" w:eastAsia="en-IN"/>
        </w:rPr>
        <w:t xml:space="preserve"> </w:t>
      </w:r>
      <w:r w:rsidR="00E83213" w:rsidRPr="00E83213">
        <w:rPr>
          <w:rFonts w:eastAsia="Times New Roman"/>
          <w:sz w:val="22"/>
          <w:szCs w:val="22"/>
          <w:lang w:val="en-IN" w:eastAsia="en-IN"/>
        </w:rPr>
        <w:t>Release 17 brought cross-carrier scheduling [</w:t>
      </w:r>
      <w:r w:rsidR="004D2B89">
        <w:rPr>
          <w:rFonts w:eastAsia="Times New Roman"/>
          <w:sz w:val="22"/>
          <w:szCs w:val="22"/>
          <w:lang w:val="en-IN" w:eastAsia="en-IN"/>
        </w:rPr>
        <w:t>5</w:t>
      </w:r>
      <w:r w:rsidR="00E83213" w:rsidRPr="00E83213">
        <w:rPr>
          <w:rFonts w:eastAsia="Times New Roman"/>
          <w:sz w:val="22"/>
          <w:szCs w:val="22"/>
          <w:lang w:val="en-IN" w:eastAsia="en-IN"/>
        </w:rPr>
        <w:t xml:space="preserve">]. It allowed PDCCH on an </w:t>
      </w:r>
      <w:proofErr w:type="spellStart"/>
      <w:r w:rsidR="00E83213" w:rsidRPr="00E83213">
        <w:rPr>
          <w:rFonts w:eastAsia="Times New Roman"/>
          <w:sz w:val="22"/>
          <w:szCs w:val="22"/>
          <w:lang w:val="en-IN" w:eastAsia="en-IN"/>
        </w:rPr>
        <w:t>SCell</w:t>
      </w:r>
      <w:proofErr w:type="spellEnd"/>
      <w:r w:rsidR="00E83213" w:rsidRPr="00E83213">
        <w:rPr>
          <w:rFonts w:eastAsia="Times New Roman"/>
          <w:sz w:val="22"/>
          <w:szCs w:val="22"/>
          <w:lang w:val="en-IN" w:eastAsia="en-IN"/>
        </w:rPr>
        <w:t xml:space="preserve"> to schedule PDSCH or PUSCH on an </w:t>
      </w:r>
      <w:proofErr w:type="spellStart"/>
      <w:r w:rsidR="00E83213" w:rsidRPr="00E83213">
        <w:rPr>
          <w:rFonts w:eastAsia="Times New Roman"/>
          <w:sz w:val="22"/>
          <w:szCs w:val="22"/>
          <w:lang w:val="en-IN" w:eastAsia="en-IN"/>
        </w:rPr>
        <w:t>sPCell</w:t>
      </w:r>
      <w:proofErr w:type="spellEnd"/>
      <w:r w:rsidR="00E83213" w:rsidRPr="00E83213">
        <w:rPr>
          <w:rFonts w:eastAsia="Times New Roman"/>
          <w:sz w:val="22"/>
          <w:szCs w:val="22"/>
          <w:lang w:val="en-IN" w:eastAsia="en-IN"/>
        </w:rPr>
        <w:t xml:space="preserve"> in DSS configurations. RAN4 addressed RF impacts, including scaled PDCCH monitoring and inter-carrier interference tests, to support NR-heavy traffic on shared </w:t>
      </w:r>
      <w:r w:rsidR="00E83213" w:rsidRPr="00E83213">
        <w:rPr>
          <w:rFonts w:eastAsia="Times New Roman"/>
          <w:sz w:val="22"/>
          <w:szCs w:val="22"/>
          <w:lang w:val="en-IN" w:eastAsia="en-IN"/>
        </w:rPr>
        <w:lastRenderedPageBreak/>
        <w:t>carriers.</w:t>
      </w:r>
      <w:r w:rsidR="00E83213">
        <w:rPr>
          <w:rFonts w:eastAsia="Times New Roman"/>
          <w:sz w:val="22"/>
          <w:szCs w:val="22"/>
          <w:lang w:val="en-IN" w:eastAsia="en-IN"/>
        </w:rPr>
        <w:t xml:space="preserve"> </w:t>
      </w:r>
      <w:r w:rsidR="00E83213" w:rsidRPr="00E83213">
        <w:rPr>
          <w:rFonts w:eastAsia="Times New Roman"/>
          <w:sz w:val="22"/>
          <w:szCs w:val="22"/>
          <w:lang w:val="en-IN" w:eastAsia="en-IN"/>
        </w:rPr>
        <w:t xml:space="preserve">Release 18 targets narrowband DSS below 5 MHz [2]. It introduces </w:t>
      </w:r>
      <w:proofErr w:type="spellStart"/>
      <w:r w:rsidR="00E83213" w:rsidRPr="00E83213">
        <w:rPr>
          <w:rFonts w:eastAsia="Times New Roman"/>
          <w:sz w:val="22"/>
          <w:szCs w:val="22"/>
          <w:lang w:val="en-IN" w:eastAsia="en-IN"/>
        </w:rPr>
        <w:t>sidelink</w:t>
      </w:r>
      <w:proofErr w:type="spellEnd"/>
      <w:r w:rsidR="00E83213" w:rsidRPr="00E83213">
        <w:rPr>
          <w:rFonts w:eastAsia="Times New Roman"/>
          <w:sz w:val="22"/>
          <w:szCs w:val="22"/>
          <w:lang w:val="en-IN" w:eastAsia="en-IN"/>
        </w:rPr>
        <w:t xml:space="preserve"> enhancements for time-division multiplexing based sharing in co-channel LTE and NR, such as in band n47.</w:t>
      </w:r>
      <w:r w:rsidR="00A617C2">
        <w:rPr>
          <w:rFonts w:eastAsia="Times New Roman"/>
          <w:sz w:val="22"/>
          <w:szCs w:val="22"/>
          <w:lang w:val="en-IN" w:eastAsia="en-IN"/>
        </w:rPr>
        <w:t xml:space="preserve"> </w:t>
      </w:r>
    </w:p>
    <w:p w14:paraId="16DFF50E" w14:textId="28C8EAB6" w:rsidR="00350F51" w:rsidRPr="0009172F" w:rsidRDefault="00350F51" w:rsidP="00350F51">
      <w:pPr>
        <w:jc w:val="both"/>
        <w:rPr>
          <w:rFonts w:eastAsia="Times New Roman"/>
          <w:sz w:val="22"/>
          <w:szCs w:val="22"/>
          <w:lang w:val="en-IN" w:eastAsia="en-IN"/>
        </w:rPr>
      </w:pPr>
    </w:p>
    <w:p w14:paraId="0A4B9A10" w14:textId="215CE66E" w:rsidR="00630F27" w:rsidRPr="0009172F" w:rsidRDefault="00630F27" w:rsidP="0009172F">
      <w:pPr>
        <w:pStyle w:val="Heading2"/>
        <w:spacing w:line="259" w:lineRule="auto"/>
        <w:ind w:left="709" w:hanging="708"/>
        <w:jc w:val="left"/>
        <w:rPr>
          <w:rFonts w:ascii="Times New Roman" w:hAnsi="Times New Roman"/>
          <w:b/>
          <w:bCs/>
        </w:rPr>
      </w:pPr>
      <w:r w:rsidRPr="0009172F">
        <w:rPr>
          <w:rFonts w:ascii="Times New Roman" w:hAnsi="Times New Roman"/>
          <w:b/>
          <w:bCs/>
        </w:rPr>
        <w:t>RAN4 Considerations for MRSS in 6G</w:t>
      </w:r>
    </w:p>
    <w:p w14:paraId="0BC444C4" w14:textId="56F3BF3F" w:rsidR="00630F27" w:rsidRPr="005D05C2" w:rsidRDefault="00BB4DBC" w:rsidP="0009172F">
      <w:pPr>
        <w:spacing w:after="160" w:line="259" w:lineRule="auto"/>
        <w:jc w:val="both"/>
        <w:rPr>
          <w:sz w:val="22"/>
          <w:szCs w:val="22"/>
          <w:lang w:val="en-IN"/>
        </w:rPr>
      </w:pPr>
      <w:r w:rsidRPr="00BB4DBC">
        <w:rPr>
          <w:sz w:val="22"/>
          <w:szCs w:val="22"/>
          <w:lang w:val="en-IN"/>
        </w:rPr>
        <w:t xml:space="preserve">Smooth migration from 5G to 6G requires addressing challenges beyond what DSS handled in 5G. MRSS must support </w:t>
      </w:r>
      <w:proofErr w:type="spellStart"/>
      <w:r w:rsidRPr="00BB4DBC">
        <w:rPr>
          <w:sz w:val="22"/>
          <w:szCs w:val="22"/>
          <w:lang w:val="en-IN"/>
        </w:rPr>
        <w:t>mmWave</w:t>
      </w:r>
      <w:proofErr w:type="spellEnd"/>
      <w:r w:rsidRPr="00BB4DBC">
        <w:rPr>
          <w:sz w:val="22"/>
          <w:szCs w:val="22"/>
          <w:lang w:val="en-IN"/>
        </w:rPr>
        <w:t xml:space="preserve"> frequencies, ultra-wide bandwidths, advanced beamforming techniques such as holographic MIMO, and dynamic interference management. For RAN4, key focus areas include defining RF coexistence requirements for NR-6GR, specifying RRM procedures to support mobility in shared spectrum environments, and </w:t>
      </w:r>
      <w:r w:rsidR="388C75DD" w:rsidRPr="71648405">
        <w:rPr>
          <w:sz w:val="22"/>
          <w:szCs w:val="22"/>
          <w:lang w:val="en-IN"/>
        </w:rPr>
        <w:t>setting up</w:t>
      </w:r>
      <w:r w:rsidRPr="00BB4DBC">
        <w:rPr>
          <w:sz w:val="22"/>
          <w:szCs w:val="22"/>
          <w:lang w:val="en-IN"/>
        </w:rPr>
        <w:t xml:space="preserve"> conformance testing frameworks tailored to MRSS scenarios.</w:t>
      </w:r>
      <w:r w:rsidR="00630F27" w:rsidRPr="005D05C2">
        <w:rPr>
          <w:sz w:val="22"/>
          <w:szCs w:val="22"/>
          <w:lang w:val="en-IN"/>
        </w:rPr>
        <w:t xml:space="preserve"> </w:t>
      </w:r>
    </w:p>
    <w:p w14:paraId="6BE28F5E" w14:textId="78DFDB3F" w:rsidR="00AE1CB0" w:rsidRDefault="00AE1CB0" w:rsidP="00AE1CB0">
      <w:pPr>
        <w:jc w:val="both"/>
        <w:rPr>
          <w:rFonts w:eastAsia="Times New Roman"/>
          <w:sz w:val="22"/>
          <w:szCs w:val="22"/>
          <w:lang w:val="en-IN" w:eastAsia="en-IN"/>
        </w:rPr>
      </w:pPr>
      <w:r w:rsidRPr="00AE1CB0">
        <w:rPr>
          <w:rFonts w:eastAsia="Times New Roman"/>
          <w:b/>
          <w:bCs/>
          <w:sz w:val="22"/>
          <w:szCs w:val="22"/>
          <w:lang w:val="en-IN" w:eastAsia="en-IN"/>
        </w:rPr>
        <w:t>Proposal 1:</w:t>
      </w:r>
      <w:r w:rsidRPr="00AE1CB0">
        <w:rPr>
          <w:rFonts w:eastAsia="Times New Roman"/>
          <w:sz w:val="22"/>
          <w:szCs w:val="22"/>
          <w:lang w:val="en-IN" w:eastAsia="en-IN"/>
        </w:rPr>
        <w:t xml:space="preserve"> Initiate RAN4 studies on RF coexistence for NR-6GR MRSS; define extended ACLR for wide bandwidths, interference models for advanced beamforming such as holographic MIMO, and AI/ML-based adaptive emission control to </w:t>
      </w:r>
      <w:r w:rsidR="00E641C5" w:rsidRPr="00E641C5">
        <w:rPr>
          <w:rFonts w:eastAsia="Times New Roman"/>
          <w:sz w:val="22"/>
          <w:szCs w:val="22"/>
          <w:lang w:val="en-IN" w:eastAsia="en-IN"/>
        </w:rPr>
        <w:t>minimize interference-related performance degradation.</w:t>
      </w:r>
    </w:p>
    <w:p w14:paraId="623CCC58" w14:textId="77777777" w:rsidR="00AE1CB0" w:rsidRPr="00AE1CB0" w:rsidRDefault="00AE1CB0" w:rsidP="00AE1CB0">
      <w:pPr>
        <w:jc w:val="both"/>
        <w:rPr>
          <w:rFonts w:eastAsia="Times New Roman"/>
          <w:sz w:val="22"/>
          <w:szCs w:val="22"/>
          <w:lang w:val="en-IN" w:eastAsia="en-IN"/>
        </w:rPr>
      </w:pPr>
    </w:p>
    <w:p w14:paraId="6DA3017B" w14:textId="3467CC23" w:rsidR="00AE1CB0" w:rsidRDefault="00AE1CB0" w:rsidP="00AE1CB0">
      <w:pPr>
        <w:jc w:val="both"/>
        <w:rPr>
          <w:rFonts w:eastAsia="Times New Roman"/>
          <w:sz w:val="22"/>
          <w:szCs w:val="22"/>
          <w:lang w:val="en-IN" w:eastAsia="en-IN"/>
        </w:rPr>
      </w:pPr>
      <w:r w:rsidRPr="00AE1CB0">
        <w:rPr>
          <w:rFonts w:eastAsia="Times New Roman"/>
          <w:b/>
          <w:bCs/>
          <w:sz w:val="22"/>
          <w:szCs w:val="22"/>
          <w:lang w:val="en-IN" w:eastAsia="en-IN"/>
        </w:rPr>
        <w:t>Proposal 2:</w:t>
      </w:r>
      <w:r w:rsidRPr="00AE1CB0">
        <w:rPr>
          <w:rFonts w:eastAsia="Times New Roman"/>
          <w:sz w:val="22"/>
          <w:szCs w:val="22"/>
          <w:lang w:val="en-IN" w:eastAsia="en-IN"/>
        </w:rPr>
        <w:t xml:space="preserve"> </w:t>
      </w:r>
      <w:r w:rsidR="002558F4" w:rsidRPr="002558F4">
        <w:rPr>
          <w:rFonts w:eastAsia="Times New Roman"/>
          <w:sz w:val="22"/>
          <w:szCs w:val="22"/>
          <w:lang w:val="en-IN" w:eastAsia="en-IN"/>
        </w:rPr>
        <w:t xml:space="preserve">Define RRM procedures for MRSS that enable continuous measurements, support conditional handovers, and allow cross-RAT spectrum aggregation such as NR </w:t>
      </w:r>
      <w:r w:rsidR="00EE3811">
        <w:rPr>
          <w:rFonts w:eastAsia="Times New Roman"/>
          <w:sz w:val="22"/>
          <w:szCs w:val="22"/>
          <w:lang w:val="en-IN" w:eastAsia="en-IN"/>
        </w:rPr>
        <w:t>CA</w:t>
      </w:r>
      <w:r w:rsidR="002558F4" w:rsidRPr="002558F4">
        <w:rPr>
          <w:rFonts w:eastAsia="Times New Roman"/>
          <w:sz w:val="22"/>
          <w:szCs w:val="22"/>
          <w:lang w:val="en-IN" w:eastAsia="en-IN"/>
        </w:rPr>
        <w:t xml:space="preserve"> with 6GR secondary cells. Include timing alignment requirements and ensure robust mobility handling even at </w:t>
      </w:r>
      <w:r w:rsidR="3182CD77" w:rsidRPr="71648405">
        <w:rPr>
          <w:rFonts w:eastAsia="Times New Roman"/>
          <w:sz w:val="22"/>
          <w:szCs w:val="22"/>
          <w:lang w:val="en-IN" w:eastAsia="en-IN"/>
        </w:rPr>
        <w:t>extremely</w:t>
      </w:r>
      <w:r w:rsidR="002558F4" w:rsidRPr="002558F4">
        <w:rPr>
          <w:rFonts w:eastAsia="Times New Roman"/>
          <w:sz w:val="22"/>
          <w:szCs w:val="22"/>
          <w:lang w:val="en-IN" w:eastAsia="en-IN"/>
        </w:rPr>
        <w:t xml:space="preserve"> high speeds, with a strong emphasis on </w:t>
      </w:r>
      <w:r w:rsidR="4EC08888" w:rsidRPr="71648405">
        <w:rPr>
          <w:rFonts w:eastAsia="Times New Roman"/>
          <w:sz w:val="22"/>
          <w:szCs w:val="22"/>
          <w:lang w:val="en-IN" w:eastAsia="en-IN"/>
        </w:rPr>
        <w:t>supporting</w:t>
      </w:r>
      <w:r w:rsidR="002558F4" w:rsidRPr="002558F4">
        <w:rPr>
          <w:rFonts w:eastAsia="Times New Roman"/>
          <w:sz w:val="22"/>
          <w:szCs w:val="22"/>
          <w:lang w:val="en-IN" w:eastAsia="en-IN"/>
        </w:rPr>
        <w:t xml:space="preserve"> high handover reliability.</w:t>
      </w:r>
    </w:p>
    <w:p w14:paraId="09076B1C" w14:textId="77777777" w:rsidR="00AE1CB0" w:rsidRPr="00AE1CB0" w:rsidRDefault="00AE1CB0" w:rsidP="00AE1CB0">
      <w:pPr>
        <w:jc w:val="both"/>
        <w:rPr>
          <w:rFonts w:eastAsia="Times New Roman"/>
          <w:sz w:val="22"/>
          <w:szCs w:val="22"/>
          <w:lang w:val="en-IN" w:eastAsia="en-IN"/>
        </w:rPr>
      </w:pPr>
    </w:p>
    <w:p w14:paraId="217CC119" w14:textId="7CA4B822" w:rsidR="00AE1CB0" w:rsidRDefault="00AE1CB0" w:rsidP="00AE1CB0">
      <w:pPr>
        <w:jc w:val="both"/>
        <w:rPr>
          <w:rFonts w:eastAsia="Times New Roman"/>
          <w:sz w:val="22"/>
          <w:szCs w:val="22"/>
          <w:lang w:val="en-IN" w:eastAsia="en-IN"/>
        </w:rPr>
      </w:pPr>
      <w:r w:rsidRPr="00AE1CB0">
        <w:rPr>
          <w:rFonts w:eastAsia="Times New Roman"/>
          <w:b/>
          <w:bCs/>
          <w:sz w:val="22"/>
          <w:szCs w:val="22"/>
          <w:lang w:val="en-IN" w:eastAsia="en-IN"/>
        </w:rPr>
        <w:t>Proposal 3:</w:t>
      </w:r>
      <w:r w:rsidRPr="00AE1CB0">
        <w:rPr>
          <w:rFonts w:eastAsia="Times New Roman"/>
          <w:sz w:val="22"/>
          <w:szCs w:val="22"/>
          <w:lang w:val="en-IN" w:eastAsia="en-IN"/>
        </w:rPr>
        <w:t xml:space="preserve"> Establish MRSS conformance testing guidelines; incorporate radiated tests for 6GR beam interference on NR UEs, AI/ML validation for interference prediction, and scenarios simulating partial 6G rollout in NR-dominant spectrum.</w:t>
      </w:r>
    </w:p>
    <w:p w14:paraId="5592000B" w14:textId="657833F6" w:rsidR="007D1F63" w:rsidRPr="0009172F" w:rsidRDefault="007D1F63" w:rsidP="006B7863">
      <w:pPr>
        <w:jc w:val="both"/>
        <w:rPr>
          <w:rFonts w:eastAsia="Times New Roman"/>
          <w:sz w:val="22"/>
          <w:szCs w:val="22"/>
          <w:lang w:val="en-IN" w:eastAsia="en-IN"/>
        </w:rPr>
      </w:pPr>
    </w:p>
    <w:p w14:paraId="4F6E41BA" w14:textId="28C6F758" w:rsidR="004A67F3" w:rsidRDefault="004A67F3" w:rsidP="004A67F3">
      <w:pPr>
        <w:pStyle w:val="Heading1"/>
        <w:rPr>
          <w:rStyle w:val="eop"/>
          <w:rFonts w:ascii="Times New Roman" w:hAnsi="Times New Roman"/>
          <w:b/>
          <w:bCs/>
          <w:color w:val="000000"/>
          <w:szCs w:val="32"/>
          <w:shd w:val="clear" w:color="auto" w:fill="FFFFFF"/>
        </w:rPr>
      </w:pPr>
      <w:r w:rsidRPr="0009172F">
        <w:rPr>
          <w:rFonts w:ascii="Times New Roman" w:hAnsi="Times New Roman"/>
          <w:b/>
          <w:bCs/>
        </w:rPr>
        <w:t>Conclusion</w:t>
      </w:r>
      <w:r w:rsidRPr="0009172F">
        <w:rPr>
          <w:rStyle w:val="eop"/>
          <w:rFonts w:ascii="Times New Roman" w:hAnsi="Times New Roman"/>
          <w:b/>
          <w:bCs/>
          <w:color w:val="000000"/>
          <w:szCs w:val="32"/>
          <w:shd w:val="clear" w:color="auto" w:fill="FFFFFF"/>
        </w:rPr>
        <w:t> </w:t>
      </w:r>
    </w:p>
    <w:p w14:paraId="7CC08218" w14:textId="735794E6" w:rsidR="001F02A8" w:rsidRPr="001F02A8" w:rsidRDefault="001F02A8" w:rsidP="001F02A8">
      <w:pPr>
        <w:jc w:val="both"/>
        <w:rPr>
          <w:rFonts w:eastAsia="Times New Roman"/>
          <w:b/>
          <w:bCs/>
          <w:sz w:val="22"/>
          <w:szCs w:val="22"/>
          <w:lang w:val="en-IN" w:eastAsia="en-IN"/>
        </w:rPr>
      </w:pPr>
      <w:r w:rsidRPr="00AE1CB0">
        <w:rPr>
          <w:rFonts w:eastAsia="Times New Roman"/>
          <w:b/>
          <w:bCs/>
          <w:sz w:val="22"/>
          <w:szCs w:val="22"/>
          <w:lang w:val="en-IN" w:eastAsia="en-IN"/>
        </w:rPr>
        <w:t xml:space="preserve">Proposal 1: </w:t>
      </w:r>
      <w:r w:rsidR="00E641C5" w:rsidRPr="00E641C5">
        <w:rPr>
          <w:rFonts w:eastAsia="Times New Roman"/>
          <w:b/>
          <w:bCs/>
          <w:sz w:val="22"/>
          <w:szCs w:val="22"/>
          <w:lang w:val="en-IN" w:eastAsia="en-IN"/>
        </w:rPr>
        <w:t>Initiate RAN4 studies on RF coexistence for NR-6GR MRSS; define extended ACLR for wide bandwidths, interference models for advanced beamforming such as holographic MIMO, and AI/ML-based adaptive emission control to minimize interference-related performance degradation.</w:t>
      </w:r>
    </w:p>
    <w:p w14:paraId="004BBEB2" w14:textId="77777777" w:rsidR="001F02A8" w:rsidRPr="00AE1CB0" w:rsidRDefault="001F02A8" w:rsidP="001F02A8">
      <w:pPr>
        <w:jc w:val="both"/>
        <w:rPr>
          <w:rFonts w:eastAsia="Times New Roman"/>
          <w:b/>
          <w:bCs/>
          <w:sz w:val="22"/>
          <w:szCs w:val="22"/>
          <w:lang w:val="en-IN" w:eastAsia="en-IN"/>
        </w:rPr>
      </w:pPr>
    </w:p>
    <w:p w14:paraId="74DF5C65" w14:textId="6FB96898" w:rsidR="001F02A8" w:rsidRPr="001F02A8" w:rsidRDefault="001F02A8" w:rsidP="001F02A8">
      <w:pPr>
        <w:jc w:val="both"/>
        <w:rPr>
          <w:rFonts w:eastAsia="Times New Roman"/>
          <w:b/>
          <w:bCs/>
          <w:sz w:val="22"/>
          <w:szCs w:val="22"/>
          <w:lang w:val="en-IN" w:eastAsia="en-IN"/>
        </w:rPr>
      </w:pPr>
      <w:r w:rsidRPr="00AE1CB0">
        <w:rPr>
          <w:rFonts w:eastAsia="Times New Roman"/>
          <w:b/>
          <w:bCs/>
          <w:sz w:val="22"/>
          <w:szCs w:val="22"/>
          <w:lang w:val="en-IN" w:eastAsia="en-IN"/>
        </w:rPr>
        <w:t xml:space="preserve">Proposal 2: </w:t>
      </w:r>
      <w:r w:rsidR="002558F4" w:rsidRPr="002558F4">
        <w:rPr>
          <w:rFonts w:eastAsia="Times New Roman"/>
          <w:b/>
          <w:bCs/>
          <w:sz w:val="22"/>
          <w:szCs w:val="22"/>
          <w:lang w:val="en-IN" w:eastAsia="en-IN"/>
        </w:rPr>
        <w:t xml:space="preserve">Define RRM procedures for MRSS that enable continuous measurements, support conditional handovers, and allow cross-RAT spectrum aggregation such as NR </w:t>
      </w:r>
      <w:r w:rsidR="00747EA5">
        <w:rPr>
          <w:rFonts w:eastAsia="Times New Roman"/>
          <w:b/>
          <w:bCs/>
          <w:sz w:val="22"/>
          <w:szCs w:val="22"/>
          <w:lang w:val="en-IN" w:eastAsia="en-IN"/>
        </w:rPr>
        <w:t>CA</w:t>
      </w:r>
      <w:r w:rsidR="002558F4" w:rsidRPr="002558F4">
        <w:rPr>
          <w:rFonts w:eastAsia="Times New Roman"/>
          <w:b/>
          <w:bCs/>
          <w:sz w:val="22"/>
          <w:szCs w:val="22"/>
          <w:lang w:val="en-IN" w:eastAsia="en-IN"/>
        </w:rPr>
        <w:t xml:space="preserve"> with 6GR secondary cells. Include timing alignment requirements and ensure robust mobility handling even at </w:t>
      </w:r>
      <w:r w:rsidR="6E7F2FDC" w:rsidRPr="71648405">
        <w:rPr>
          <w:rFonts w:eastAsia="Times New Roman"/>
          <w:b/>
          <w:bCs/>
          <w:sz w:val="22"/>
          <w:szCs w:val="22"/>
          <w:lang w:val="en-IN" w:eastAsia="en-IN"/>
        </w:rPr>
        <w:t>extremely</w:t>
      </w:r>
      <w:r w:rsidR="002558F4" w:rsidRPr="002558F4">
        <w:rPr>
          <w:rFonts w:eastAsia="Times New Roman"/>
          <w:b/>
          <w:bCs/>
          <w:sz w:val="22"/>
          <w:szCs w:val="22"/>
          <w:lang w:val="en-IN" w:eastAsia="en-IN"/>
        </w:rPr>
        <w:t xml:space="preserve"> high speeds, with a strong emphasis on </w:t>
      </w:r>
      <w:r w:rsidR="2C93ECFB" w:rsidRPr="71648405">
        <w:rPr>
          <w:rFonts w:eastAsia="Times New Roman"/>
          <w:b/>
          <w:bCs/>
          <w:sz w:val="22"/>
          <w:szCs w:val="22"/>
          <w:lang w:val="en-IN" w:eastAsia="en-IN"/>
        </w:rPr>
        <w:t>supporting</w:t>
      </w:r>
      <w:r w:rsidR="002558F4" w:rsidRPr="002558F4">
        <w:rPr>
          <w:rFonts w:eastAsia="Times New Roman"/>
          <w:b/>
          <w:bCs/>
          <w:sz w:val="22"/>
          <w:szCs w:val="22"/>
          <w:lang w:val="en-IN" w:eastAsia="en-IN"/>
        </w:rPr>
        <w:t xml:space="preserve"> high handover reliability.</w:t>
      </w:r>
    </w:p>
    <w:p w14:paraId="37E89591" w14:textId="77777777" w:rsidR="001F02A8" w:rsidRPr="00AE1CB0" w:rsidRDefault="001F02A8" w:rsidP="001F02A8">
      <w:pPr>
        <w:jc w:val="both"/>
        <w:rPr>
          <w:rFonts w:eastAsia="Times New Roman"/>
          <w:b/>
          <w:bCs/>
          <w:sz w:val="22"/>
          <w:szCs w:val="22"/>
          <w:lang w:val="en-IN" w:eastAsia="en-IN"/>
        </w:rPr>
      </w:pPr>
    </w:p>
    <w:p w14:paraId="70BE9BBD" w14:textId="77777777" w:rsidR="001F02A8" w:rsidRPr="001F02A8" w:rsidRDefault="001F02A8" w:rsidP="001F02A8">
      <w:pPr>
        <w:jc w:val="both"/>
        <w:rPr>
          <w:rFonts w:eastAsia="Times New Roman"/>
          <w:b/>
          <w:bCs/>
          <w:sz w:val="22"/>
          <w:szCs w:val="22"/>
          <w:lang w:val="en-IN" w:eastAsia="en-IN"/>
        </w:rPr>
      </w:pPr>
      <w:r w:rsidRPr="00AE1CB0">
        <w:rPr>
          <w:rFonts w:eastAsia="Times New Roman"/>
          <w:b/>
          <w:bCs/>
          <w:sz w:val="22"/>
          <w:szCs w:val="22"/>
          <w:lang w:val="en-IN" w:eastAsia="en-IN"/>
        </w:rPr>
        <w:t>Proposal 3: Establish MRSS conformance testing guidelines; incorporate radiated tests for 6GR beam interference on NR UEs, AI/ML validation for interference prediction, and scenarios simulating partial 6G rollout in NR-dominant spectrum.</w:t>
      </w:r>
    </w:p>
    <w:p w14:paraId="5B69871D" w14:textId="77777777" w:rsidR="001F02A8" w:rsidRPr="00AE1CB0" w:rsidRDefault="001F02A8" w:rsidP="001F02A8">
      <w:pPr>
        <w:jc w:val="both"/>
        <w:rPr>
          <w:rFonts w:eastAsia="Times New Roman"/>
          <w:b/>
          <w:bCs/>
          <w:sz w:val="22"/>
          <w:szCs w:val="22"/>
          <w:lang w:val="en-IN" w:eastAsia="en-IN"/>
        </w:rPr>
      </w:pPr>
    </w:p>
    <w:bookmarkEnd w:id="5"/>
    <w:p w14:paraId="1C092ADB" w14:textId="69A2B0B7" w:rsidR="00446A67" w:rsidRPr="0009172F" w:rsidRDefault="00446A67" w:rsidP="00446A67">
      <w:pPr>
        <w:pStyle w:val="Heading1"/>
        <w:rPr>
          <w:rFonts w:ascii="Times New Roman" w:hAnsi="Times New Roman"/>
          <w:b/>
          <w:bCs/>
        </w:rPr>
      </w:pPr>
      <w:r w:rsidRPr="0009172F">
        <w:rPr>
          <w:rFonts w:ascii="Times New Roman" w:hAnsi="Times New Roman"/>
          <w:b/>
          <w:bCs/>
        </w:rPr>
        <w:t>Referen</w:t>
      </w:r>
      <w:r w:rsidR="00E37799" w:rsidRPr="0009172F">
        <w:rPr>
          <w:rFonts w:ascii="Times New Roman" w:hAnsi="Times New Roman"/>
          <w:b/>
          <w:bCs/>
        </w:rPr>
        <w:t>ce</w:t>
      </w:r>
    </w:p>
    <w:p w14:paraId="026888EB" w14:textId="2517C900" w:rsidR="00767DF1" w:rsidRPr="0009172F" w:rsidRDefault="0009172F" w:rsidP="00767DF1">
      <w:pPr>
        <w:pStyle w:val="ListParagraph"/>
        <w:numPr>
          <w:ilvl w:val="0"/>
          <w:numId w:val="1"/>
        </w:numPr>
        <w:spacing w:after="120"/>
        <w:rPr>
          <w:rFonts w:ascii="Times New Roman" w:eastAsia="tim" w:hAnsi="Times New Roman"/>
          <w:color w:val="000000" w:themeColor="text1"/>
          <w:lang w:val="en-GB"/>
        </w:rPr>
      </w:pPr>
      <w:r w:rsidRPr="0009172F">
        <w:rPr>
          <w:rFonts w:ascii="Times New Roman" w:eastAsia="tim" w:hAnsi="Times New Roman"/>
          <w:color w:val="000000" w:themeColor="text1"/>
          <w:lang w:val="en-GB"/>
        </w:rPr>
        <w:t>3GPP TR 21.917, Release 17 Description; Summary of Work Items</w:t>
      </w:r>
      <w:r w:rsidR="002331CA" w:rsidRPr="0009172F">
        <w:rPr>
          <w:rFonts w:ascii="Times New Roman" w:eastAsia="tim" w:hAnsi="Times New Roman"/>
          <w:color w:val="000000" w:themeColor="text1"/>
          <w:lang w:val="en-GB"/>
        </w:rPr>
        <w:t>.</w:t>
      </w:r>
    </w:p>
    <w:p w14:paraId="4D73526E" w14:textId="6BC0BEBB" w:rsidR="00BC0F06" w:rsidRPr="0009172F" w:rsidRDefault="0009172F" w:rsidP="00767DF1">
      <w:pPr>
        <w:pStyle w:val="ListParagraph"/>
        <w:numPr>
          <w:ilvl w:val="0"/>
          <w:numId w:val="1"/>
        </w:numPr>
        <w:spacing w:after="120"/>
        <w:rPr>
          <w:rFonts w:ascii="Times New Roman" w:eastAsia="tim" w:hAnsi="Times New Roman"/>
          <w:color w:val="000000" w:themeColor="text1"/>
          <w:lang w:val="en-GB"/>
        </w:rPr>
      </w:pPr>
      <w:r w:rsidRPr="0009172F">
        <w:rPr>
          <w:rFonts w:ascii="Times New Roman" w:eastAsia="tim" w:hAnsi="Times New Roman"/>
          <w:color w:val="000000" w:themeColor="text1"/>
          <w:lang w:val="en-GB"/>
        </w:rPr>
        <w:t>3GPP TR 21.918, Release 18 Description; Summary of Work Items</w:t>
      </w:r>
      <w:r w:rsidR="00456CCF" w:rsidRPr="0009172F">
        <w:rPr>
          <w:rFonts w:ascii="Times New Roman" w:eastAsia="SimSun" w:hAnsi="Times New Roman"/>
          <w:color w:val="000000" w:themeColor="text1"/>
        </w:rPr>
        <w:t>.</w:t>
      </w:r>
    </w:p>
    <w:p w14:paraId="5B2A8583" w14:textId="4EBE2FE1" w:rsidR="00456CCF" w:rsidRPr="0009172F" w:rsidRDefault="0009172F" w:rsidP="0009172F">
      <w:pPr>
        <w:pStyle w:val="ListParagraph"/>
        <w:numPr>
          <w:ilvl w:val="0"/>
          <w:numId w:val="1"/>
        </w:numPr>
        <w:suppressAutoHyphens/>
        <w:spacing w:after="120"/>
        <w:rPr>
          <w:rFonts w:ascii="Times New Roman" w:eastAsia="SimSun" w:hAnsi="Times New Roman"/>
          <w:color w:val="000000" w:themeColor="text1"/>
        </w:rPr>
      </w:pPr>
      <w:r w:rsidRPr="0009172F">
        <w:rPr>
          <w:rFonts w:ascii="Times New Roman" w:eastAsia="SimSun" w:hAnsi="Times New Roman"/>
          <w:color w:val="000000" w:themeColor="text1"/>
        </w:rPr>
        <w:t>RP-</w:t>
      </w:r>
      <w:r w:rsidRPr="0009172F">
        <w:t xml:space="preserve"> </w:t>
      </w:r>
      <w:r w:rsidRPr="0009172F">
        <w:rPr>
          <w:rFonts w:ascii="Times New Roman" w:eastAsia="SimSun" w:hAnsi="Times New Roman"/>
          <w:color w:val="000000" w:themeColor="text1"/>
        </w:rPr>
        <w:t>252912, Revised SID: Study on 6G Radio</w:t>
      </w:r>
      <w:r w:rsidR="00456CCF" w:rsidRPr="0009172F">
        <w:rPr>
          <w:rFonts w:ascii="Times New Roman" w:eastAsia="SimSun" w:hAnsi="Times New Roman"/>
          <w:color w:val="000000" w:themeColor="text1"/>
        </w:rPr>
        <w:t>.</w:t>
      </w:r>
    </w:p>
    <w:bookmarkEnd w:id="4"/>
    <w:p w14:paraId="2193BE3B" w14:textId="176A31CC" w:rsidR="009E71E6" w:rsidRPr="009E71E6" w:rsidRDefault="009E71E6" w:rsidP="00630F27">
      <w:pPr>
        <w:pStyle w:val="ListParagraph"/>
        <w:numPr>
          <w:ilvl w:val="0"/>
          <w:numId w:val="1"/>
        </w:numPr>
        <w:spacing w:after="120"/>
        <w:rPr>
          <w:rFonts w:ascii="Times New Roman" w:eastAsia="tim" w:hAnsi="Times New Roman"/>
          <w:color w:val="000000" w:themeColor="text1"/>
          <w:lang w:val="en-GB"/>
        </w:rPr>
      </w:pPr>
      <w:r w:rsidRPr="009E71E6">
        <w:rPr>
          <w:rFonts w:ascii="Times New Roman" w:eastAsia="tim" w:hAnsi="Times New Roman"/>
          <w:color w:val="000000" w:themeColor="text1"/>
          <w:lang w:val="en-GB"/>
        </w:rPr>
        <w:t>R4-2511652, RAN4 6G Plan and Meeting Arrangement</w:t>
      </w:r>
    </w:p>
    <w:p w14:paraId="3958F5D9" w14:textId="17FB5FB7" w:rsidR="00630F27" w:rsidRPr="0009172F" w:rsidRDefault="00630F27" w:rsidP="00630F27">
      <w:pPr>
        <w:pStyle w:val="ListParagraph"/>
        <w:numPr>
          <w:ilvl w:val="0"/>
          <w:numId w:val="1"/>
        </w:numPr>
        <w:spacing w:after="120"/>
        <w:rPr>
          <w:rFonts w:ascii="Times New Roman" w:eastAsia="tim" w:hAnsi="Times New Roman"/>
          <w:color w:val="000000" w:themeColor="text1"/>
          <w:lang w:val="en-GB"/>
        </w:rPr>
      </w:pPr>
      <w:r w:rsidRPr="0009172F">
        <w:rPr>
          <w:rFonts w:ascii="Times New Roman" w:eastAsia="Times New Roman" w:hAnsi="Times New Roman"/>
          <w:lang w:val="en-IN" w:eastAsia="en-IN"/>
        </w:rPr>
        <w:t>RP-211345, “Revised WID on NR Dynamic spectrum sharing (DSS)”, Ericsson</w:t>
      </w:r>
    </w:p>
    <w:sectPr w:rsidR="00630F27" w:rsidRPr="0009172F"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40FF" w14:textId="77777777" w:rsidR="008062E4" w:rsidRDefault="008062E4" w:rsidP="00535554">
      <w:r>
        <w:separator/>
      </w:r>
    </w:p>
  </w:endnote>
  <w:endnote w:type="continuationSeparator" w:id="0">
    <w:p w14:paraId="7B32E6FB" w14:textId="77777777" w:rsidR="008062E4" w:rsidRDefault="008062E4" w:rsidP="00535554">
      <w:r>
        <w:continuationSeparator/>
      </w:r>
    </w:p>
  </w:endnote>
  <w:endnote w:type="continuationNotice" w:id="1">
    <w:p w14:paraId="6880077C" w14:textId="77777777" w:rsidR="008062E4" w:rsidRDefault="00806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34FDE" w14:textId="77777777" w:rsidR="008062E4" w:rsidRDefault="008062E4" w:rsidP="00535554">
      <w:r>
        <w:separator/>
      </w:r>
    </w:p>
  </w:footnote>
  <w:footnote w:type="continuationSeparator" w:id="0">
    <w:p w14:paraId="68CE9A38" w14:textId="77777777" w:rsidR="008062E4" w:rsidRDefault="008062E4" w:rsidP="00535554">
      <w:r>
        <w:continuationSeparator/>
      </w:r>
    </w:p>
  </w:footnote>
  <w:footnote w:type="continuationNotice" w:id="1">
    <w:p w14:paraId="516DF6B2" w14:textId="77777777" w:rsidR="008062E4" w:rsidRDefault="008062E4"/>
  </w:footnote>
</w:footnotes>
</file>

<file path=word/intelligence2.xml><?xml version="1.0" encoding="utf-8"?>
<int2:intelligence xmlns:int2="http://schemas.microsoft.com/office/intelligence/2020/intelligence" xmlns:oel="http://schemas.microsoft.com/office/2019/extlst">
  <int2:observations>
    <int2:textHash int2:hashCode="HlNpNJkVJGqVZH" int2:id="oImUqlVU">
      <int2:state int2:type="spell" int2:value="Rejected"/>
    </int2:textHash>
    <int2:textHash int2:hashCode="5HHsf20QAIJj83" int2:id="3YNWrAop">
      <int2:state int2:type="spell" int2:value="Rejected"/>
    </int2:textHash>
    <int2:textHash int2:hashCode="TXQV4+ozptRHO9" int2:id="iDCW96Ey">
      <int2:state int2:type="spell" int2:value="Rejected"/>
    </int2:textHash>
    <int2:textHash int2:hashCode="iDiVobrO/E4i4c" int2:id="AhjEHXWS">
      <int2:state int2:type="spell" int2:value="Rejected"/>
    </int2:textHash>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5" w15:restartNumberingAfterBreak="0">
    <w:nsid w:val="4E277B2E"/>
    <w:multiLevelType w:val="multilevel"/>
    <w:tmpl w:val="B92448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4"/>
  </w:num>
  <w:num w:numId="2">
    <w:abstractNumId w:val="5"/>
  </w:num>
  <w:num w:numId="3">
    <w:abstractNumId w:val="1"/>
  </w:num>
  <w:num w:numId="4">
    <w:abstractNumId w:val="23"/>
  </w:num>
  <w:num w:numId="5">
    <w:abstractNumId w:val="13"/>
  </w:num>
  <w:num w:numId="6">
    <w:abstractNumId w:val="25"/>
  </w:num>
  <w:num w:numId="7">
    <w:abstractNumId w:val="8"/>
  </w:num>
  <w:num w:numId="8">
    <w:abstractNumId w:val="9"/>
  </w:num>
  <w:num w:numId="9">
    <w:abstractNumId w:val="7"/>
  </w:num>
  <w:num w:numId="10">
    <w:abstractNumId w:val="2"/>
  </w:num>
  <w:num w:numId="11">
    <w:abstractNumId w:val="25"/>
  </w:num>
  <w:num w:numId="12">
    <w:abstractNumId w:val="4"/>
  </w:num>
  <w:num w:numId="13">
    <w:abstractNumId w:val="12"/>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1"/>
  </w:num>
  <w:num w:numId="21">
    <w:abstractNumId w:val="5"/>
  </w:num>
  <w:num w:numId="22">
    <w:abstractNumId w:val="18"/>
  </w:num>
  <w:num w:numId="23">
    <w:abstractNumId w:val="5"/>
  </w:num>
  <w:num w:numId="24">
    <w:abstractNumId w:val="5"/>
  </w:num>
  <w:num w:numId="25">
    <w:abstractNumId w:val="5"/>
  </w:num>
  <w:num w:numId="26">
    <w:abstractNumId w:val="5"/>
  </w:num>
  <w:num w:numId="27">
    <w:abstractNumId w:val="10"/>
  </w:num>
  <w:num w:numId="28">
    <w:abstractNumId w:val="5"/>
  </w:num>
  <w:num w:numId="29">
    <w:abstractNumId w:val="5"/>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19"/>
  </w:num>
  <w:num w:numId="35">
    <w:abstractNumId w:val="5"/>
  </w:num>
  <w:num w:numId="36">
    <w:abstractNumId w:val="6"/>
  </w:num>
  <w:num w:numId="37">
    <w:abstractNumId w:val="24"/>
  </w:num>
  <w:num w:numId="38">
    <w:abstractNumId w:val="5"/>
  </w:num>
  <w:num w:numId="39">
    <w:abstractNumId w:val="5"/>
  </w:num>
  <w:num w:numId="40">
    <w:abstractNumId w:val="5"/>
  </w:num>
  <w:num w:numId="41">
    <w:abstractNumId w:val="15"/>
  </w:num>
  <w:num w:numId="4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88C"/>
    <w:rsid w:val="00224981"/>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614"/>
    <w:rsid w:val="002A3E58"/>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708"/>
    <w:rsid w:val="003B1BCF"/>
    <w:rsid w:val="003B24AA"/>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3A79"/>
    <w:rsid w:val="004847CD"/>
    <w:rsid w:val="0048497A"/>
    <w:rsid w:val="00484FA0"/>
    <w:rsid w:val="0048506B"/>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62EC"/>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A5"/>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846"/>
    <w:rsid w:val="00756A36"/>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7560"/>
    <w:rsid w:val="00AE0416"/>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418D"/>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07E4D"/>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51EF6F"/>
    <w:rsid w:val="6A7D1421"/>
    <w:rsid w:val="6A960506"/>
    <w:rsid w:val="6AC97F38"/>
    <w:rsid w:val="6AD3D5A8"/>
    <w:rsid w:val="6ADC807E"/>
    <w:rsid w:val="6ADCB5D6"/>
    <w:rsid w:val="6B10823E"/>
    <w:rsid w:val="6B1D8CFC"/>
    <w:rsid w:val="6B27C5C8"/>
    <w:rsid w:val="6B51EF3D"/>
    <w:rsid w:val="6B618791"/>
    <w:rsid w:val="6B79A153"/>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C04811"/>
    <w:rsid w:val="6DCDD51D"/>
    <w:rsid w:val="6DCF10D3"/>
    <w:rsid w:val="6DD1E9FE"/>
    <w:rsid w:val="6DD50BF5"/>
    <w:rsid w:val="6DDBC802"/>
    <w:rsid w:val="6DE8512C"/>
    <w:rsid w:val="6E0F1D5A"/>
    <w:rsid w:val="6E1B8A37"/>
    <w:rsid w:val="6E266772"/>
    <w:rsid w:val="6E2796A8"/>
    <w:rsid w:val="6E7F2FDC"/>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E3D417"/>
    <w:rsid w:val="70ED7F5F"/>
    <w:rsid w:val="7126BB0D"/>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semiHidden/>
    <w:unhideWhenUsed/>
    <w:rsid w:val="005C2B26"/>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47"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7301ab323720a436b9e1768ca3052131">
  <xsd:schema xmlns:xsd="http://www.w3.org/2001/XMLSchema" xmlns:xs="http://www.w3.org/2001/XMLSchema" xmlns:p="http://schemas.microsoft.com/office/2006/metadata/properties" xmlns:ns2="084f5cea-6fba-4ec7-8c9f-c5d672ce6ecd" targetNamespace="http://schemas.microsoft.com/office/2006/metadata/properties" ma:root="true" ma:fieldsID="8b79ffedeb8c08b3143385be61e0ca30"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32A2B20D-01F7-4C03-B55B-BD0D76525C09}">
  <ds:schemaRefs>
    <ds:schemaRef ds:uri="http://schemas.openxmlformats.org/package/2006/metadata/core-properties"/>
    <ds:schemaRef ds:uri="http://schemas.microsoft.com/office/2006/documentManagement/types"/>
    <ds:schemaRef ds:uri="http://schemas.microsoft.com/office/infopath/2007/PartnerControls"/>
    <ds:schemaRef ds:uri="084f5cea-6fba-4ec7-8c9f-c5d672ce6ecd"/>
    <ds:schemaRef ds:uri="http://purl.org/dc/dcmitype/"/>
    <ds:schemaRef ds:uri="http://schemas.microsoft.com/office/2006/metadata/properties"/>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BFBB2BF0-ECE7-41BA-87A5-BA06B8305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2</Pages>
  <Words>836</Words>
  <Characters>5133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920</cp:revision>
  <cp:lastPrinted>2024-09-30T13:27:00Z</cp:lastPrinted>
  <dcterms:created xsi:type="dcterms:W3CDTF">2024-07-25T23:24:00Z</dcterms:created>
  <dcterms:modified xsi:type="dcterms:W3CDTF">2025-09-29T10:56:00Z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