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10CB3" w14:textId="05AD9E84" w:rsidR="008E0FD6" w:rsidRDefault="008E0FD6" w:rsidP="008E0FD6">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054954">
        <w:rPr>
          <w:rFonts w:ascii="Arial" w:hAnsi="Arial" w:cs="Arial"/>
          <w:b/>
          <w:sz w:val="24"/>
          <w:szCs w:val="24"/>
          <w:lang w:val="en-US"/>
        </w:rPr>
        <w:t>3GPP TSG-RA</w:t>
      </w:r>
      <w:r>
        <w:rPr>
          <w:rFonts w:ascii="Arial" w:hAnsi="Arial" w:cs="Arial"/>
          <w:b/>
          <w:sz w:val="24"/>
          <w:szCs w:val="24"/>
          <w:lang w:val="en-US"/>
        </w:rPr>
        <w:t>N WG4 Meeting #11</w:t>
      </w:r>
      <w:r w:rsidR="00AD1C4D">
        <w:rPr>
          <w:rFonts w:ascii="Arial" w:hAnsi="Arial" w:cs="Arial"/>
          <w:b/>
          <w:sz w:val="24"/>
          <w:szCs w:val="24"/>
          <w:lang w:val="en-US"/>
        </w:rPr>
        <w:t>6</w:t>
      </w:r>
      <w:r>
        <w:rPr>
          <w:rFonts w:ascii="Arial" w:hAnsi="Arial" w:cs="Arial"/>
          <w:b/>
          <w:sz w:val="24"/>
          <w:szCs w:val="24"/>
          <w:lang w:val="en-US"/>
        </w:rPr>
        <w:tab/>
      </w:r>
      <w:r w:rsidR="00002DE8" w:rsidRPr="00002DE8">
        <w:rPr>
          <w:rFonts w:ascii="Arial" w:hAnsi="Arial" w:cs="Arial"/>
          <w:b/>
          <w:sz w:val="24"/>
          <w:szCs w:val="24"/>
          <w:lang w:val="en-US"/>
        </w:rPr>
        <w:t>R4-2511554</w:t>
      </w:r>
    </w:p>
    <w:p w14:paraId="2340E6A0" w14:textId="207CE9C9" w:rsidR="008E0FD6" w:rsidRPr="00F44C66" w:rsidRDefault="00AD1C4D" w:rsidP="008E0FD6">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Bengaluru</w:t>
      </w:r>
      <w:r w:rsidR="008E0FD6">
        <w:rPr>
          <w:rFonts w:ascii="Arial" w:hAnsi="Arial" w:cs="Arial"/>
          <w:b/>
          <w:sz w:val="24"/>
          <w:szCs w:val="24"/>
          <w:lang w:val="en-US"/>
        </w:rPr>
        <w:t xml:space="preserve">, </w:t>
      </w:r>
      <w:r>
        <w:rPr>
          <w:rFonts w:ascii="Arial" w:hAnsi="Arial" w:cs="Arial"/>
          <w:b/>
          <w:sz w:val="24"/>
          <w:szCs w:val="24"/>
          <w:lang w:val="en-US"/>
        </w:rPr>
        <w:t>India, 25</w:t>
      </w:r>
      <w:r w:rsidR="008E0FD6" w:rsidRPr="00E13633">
        <w:rPr>
          <w:rFonts w:ascii="Arial" w:hAnsi="Arial" w:cs="Arial"/>
          <w:b/>
          <w:sz w:val="24"/>
          <w:szCs w:val="24"/>
        </w:rPr>
        <w:t xml:space="preserve"> –</w:t>
      </w:r>
      <w:r w:rsidR="008E0FD6">
        <w:rPr>
          <w:rFonts w:ascii="Arial" w:hAnsi="Arial" w:cs="Arial"/>
          <w:b/>
          <w:sz w:val="24"/>
          <w:szCs w:val="24"/>
        </w:rPr>
        <w:t xml:space="preserve"> </w:t>
      </w:r>
      <w:r w:rsidR="0002419E">
        <w:rPr>
          <w:rFonts w:ascii="Arial" w:hAnsi="Arial" w:cs="Arial"/>
          <w:b/>
          <w:sz w:val="24"/>
          <w:szCs w:val="24"/>
        </w:rPr>
        <w:t>2</w:t>
      </w:r>
      <w:r>
        <w:rPr>
          <w:rFonts w:ascii="Arial" w:hAnsi="Arial" w:cs="Arial"/>
          <w:b/>
          <w:sz w:val="24"/>
          <w:szCs w:val="24"/>
        </w:rPr>
        <w:t>9</w:t>
      </w:r>
      <w:r w:rsidR="008E0FD6">
        <w:rPr>
          <w:rFonts w:ascii="Arial" w:hAnsi="Arial" w:cs="Arial"/>
          <w:b/>
          <w:sz w:val="24"/>
          <w:szCs w:val="24"/>
        </w:rPr>
        <w:t xml:space="preserve"> </w:t>
      </w:r>
      <w:r>
        <w:rPr>
          <w:rFonts w:ascii="Arial" w:hAnsi="Arial" w:cs="Arial"/>
          <w:b/>
          <w:sz w:val="24"/>
          <w:szCs w:val="24"/>
        </w:rPr>
        <w:t>August</w:t>
      </w:r>
      <w:r w:rsidR="008E0FD6" w:rsidRPr="00E13633">
        <w:rPr>
          <w:rFonts w:ascii="Arial" w:hAnsi="Arial" w:cs="Arial"/>
          <w:b/>
          <w:sz w:val="24"/>
          <w:szCs w:val="24"/>
        </w:rPr>
        <w:t>, 202</w:t>
      </w:r>
      <w:r w:rsidR="008E0FD6">
        <w:rPr>
          <w:rFonts w:ascii="Arial" w:hAnsi="Arial" w:cs="Arial"/>
          <w:b/>
          <w:sz w:val="24"/>
          <w:szCs w:val="24"/>
        </w:rPr>
        <w:t>5</w:t>
      </w:r>
    </w:p>
    <w:p w14:paraId="092141D6" w14:textId="77777777" w:rsidR="00945F77" w:rsidRDefault="00945F77" w:rsidP="00E61455">
      <w:pPr>
        <w:tabs>
          <w:tab w:val="left" w:pos="1985"/>
        </w:tabs>
        <w:jc w:val="both"/>
        <w:rPr>
          <w:rFonts w:ascii="Arial" w:hAnsi="Arial" w:cs="Arial"/>
          <w:b/>
          <w:sz w:val="22"/>
        </w:rPr>
      </w:pPr>
    </w:p>
    <w:p w14:paraId="1226C057" w14:textId="6DA3644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02950" w:rsidRPr="00D02950">
        <w:rPr>
          <w:rFonts w:ascii="Arial" w:hAnsi="Arial" w:cs="Arial"/>
          <w:sz w:val="22"/>
          <w:lang w:eastAsia="zh-CN"/>
        </w:rPr>
        <w:t>Further discussion on Tx spurious emissions co-existence limits re-evaluation</w:t>
      </w:r>
    </w:p>
    <w:p w14:paraId="73AD8CE3" w14:textId="3CF8B11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B7AE6">
        <w:rPr>
          <w:rFonts w:ascii="Arial" w:hAnsi="Arial" w:cs="Arial"/>
          <w:sz w:val="22"/>
          <w:lang w:eastAsia="zh-CN"/>
        </w:rPr>
        <w:t>7.9.3.3</w:t>
      </w:r>
    </w:p>
    <w:p w14:paraId="6402E503" w14:textId="4FC2B1EE"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65DB0" w:rsidRPr="00765DB0">
        <w:rPr>
          <w:rFonts w:ascii="Arial" w:hAnsi="Arial" w:cs="Arial"/>
          <w:sz w:val="22"/>
        </w:rPr>
        <w:t xml:space="preserve">Huawei, </w:t>
      </w:r>
      <w:proofErr w:type="spellStart"/>
      <w:r w:rsidR="00765DB0" w:rsidRPr="00765DB0">
        <w:rPr>
          <w:rFonts w:ascii="Arial" w:hAnsi="Arial" w:cs="Arial"/>
          <w:sz w:val="22"/>
        </w:rPr>
        <w:t>HiSilicon</w:t>
      </w:r>
      <w:proofErr w:type="spellEnd"/>
    </w:p>
    <w:p w14:paraId="5E188A5E" w14:textId="589AC46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E0F61">
        <w:rPr>
          <w:rFonts w:ascii="Arial" w:hAnsi="Arial" w:cs="Arial"/>
          <w:sz w:val="22"/>
          <w:lang w:eastAsia="zh-CN"/>
        </w:rPr>
        <w:t>Discussion</w:t>
      </w:r>
    </w:p>
    <w:p w14:paraId="6842CC97" w14:textId="56A00E89" w:rsidR="00EF3FF4" w:rsidRDefault="00CB7AE6" w:rsidP="000747F0">
      <w:pPr>
        <w:pStyle w:val="Heading1"/>
      </w:pPr>
      <w:r>
        <w:t>1</w:t>
      </w:r>
      <w:r>
        <w:tab/>
      </w:r>
      <w:r w:rsidR="000747F0">
        <w:t>Introduction</w:t>
      </w:r>
    </w:p>
    <w:p w14:paraId="282BE059" w14:textId="630E6AAE" w:rsidR="000747F0" w:rsidRDefault="000747F0" w:rsidP="000747F0">
      <w:r>
        <w:t>In R</w:t>
      </w:r>
      <w:r w:rsidR="00401867">
        <w:t>AN</w:t>
      </w:r>
      <w:r>
        <w:t>4#11</w:t>
      </w:r>
      <w:r w:rsidR="00E17771">
        <w:t>5</w:t>
      </w:r>
      <w:r>
        <w:t xml:space="preserve"> the WF [1] was approved </w:t>
      </w:r>
      <w:r w:rsidR="00E17771">
        <w:t>and it was agreed to continue investigating both the MCL and the system simulation approach (with a 99</w:t>
      </w:r>
      <w:r w:rsidR="0005743B" w:rsidRPr="0005743B">
        <w:rPr>
          <w:vertAlign w:val="superscript"/>
        </w:rPr>
        <w:t>th</w:t>
      </w:r>
      <w:r w:rsidR="0005743B">
        <w:t xml:space="preserve"> </w:t>
      </w:r>
      <w:r w:rsidR="00E17771">
        <w:t>percentile).</w:t>
      </w:r>
    </w:p>
    <w:p w14:paraId="597D48A9" w14:textId="3148AAF3" w:rsidR="002B5C09" w:rsidRDefault="00E17771" w:rsidP="000747F0">
      <w:r>
        <w:t xml:space="preserve">In our previous papers </w:t>
      </w:r>
      <w:r w:rsidR="002B5C09">
        <w:t xml:space="preserve">[2] </w:t>
      </w:r>
      <w:r>
        <w:t xml:space="preserve">we have investigated correlated and uncorrelated gain scenarios for the antenna gains and applied then to the MCL scenario. Using the worst case </w:t>
      </w:r>
      <w:proofErr w:type="gramStart"/>
      <w:r>
        <w:t>assumptions</w:t>
      </w:r>
      <w:proofErr w:type="gramEnd"/>
      <w:r>
        <w:t xml:space="preserve"> we have ar</w:t>
      </w:r>
      <w:r w:rsidR="002B5C09">
        <w:t>g</w:t>
      </w:r>
      <w:r>
        <w:t>ue</w:t>
      </w:r>
      <w:r w:rsidR="002B5C09">
        <w:t>d</w:t>
      </w:r>
      <w:r>
        <w:t xml:space="preserve"> that the existing </w:t>
      </w:r>
      <w:r w:rsidR="002B5C09">
        <w:t>co-existence requirements represent an absolute worst case. It is clear however that due to the dynamic nature of the AAS radiation pattern interference is a statistical parameter as opposed to its fixed nature when considering non-AAS systems, as such it could be argued that a 99</w:t>
      </w:r>
      <w:r w:rsidR="002B5C09" w:rsidRPr="002B5C09">
        <w:rPr>
          <w:vertAlign w:val="superscript"/>
        </w:rPr>
        <w:t>th</w:t>
      </w:r>
      <w:r w:rsidR="002B5C09">
        <w:t xml:space="preserve"> percentile interference level could be more appropriate.</w:t>
      </w:r>
    </w:p>
    <w:p w14:paraId="7EBE3CF4" w14:textId="7B05884D" w:rsidR="002B5C09" w:rsidRDefault="0062317B" w:rsidP="000747F0">
      <w:r w:rsidRPr="0062317B">
        <w:t xml:space="preserve">In this paper we provide updates on the Tx spur co-ex emission limits re-evaluation, investigating further into how a 99th percentile interference requirement could be </w:t>
      </w:r>
      <w:proofErr w:type="gramStart"/>
      <w:r w:rsidRPr="0062317B">
        <w:t>derived.</w:t>
      </w:r>
      <w:r w:rsidR="002B5C09">
        <w:t>.</w:t>
      </w:r>
      <w:proofErr w:type="gramEnd"/>
    </w:p>
    <w:p w14:paraId="594C590E" w14:textId="0F44678E" w:rsidR="000747F0" w:rsidRDefault="00CB7AE6" w:rsidP="000747F0">
      <w:pPr>
        <w:pStyle w:val="Heading1"/>
      </w:pPr>
      <w:r>
        <w:t>2</w:t>
      </w:r>
      <w:r>
        <w:tab/>
      </w:r>
      <w:r w:rsidR="000747F0">
        <w:t>Discussion</w:t>
      </w:r>
    </w:p>
    <w:p w14:paraId="3EB2CAD9" w14:textId="3B415225" w:rsidR="000747F0" w:rsidRDefault="000747F0" w:rsidP="000747F0">
      <w:pPr>
        <w:pStyle w:val="Heading2"/>
      </w:pPr>
      <w:r>
        <w:t>2.1</w:t>
      </w:r>
      <w:r>
        <w:tab/>
        <w:t>Evaluation methodology</w:t>
      </w:r>
    </w:p>
    <w:p w14:paraId="48ACE42C" w14:textId="617C0DBB" w:rsidR="000747F0" w:rsidRDefault="00287AAE" w:rsidP="000747F0">
      <w:r>
        <w:t xml:space="preserve">Worst case </w:t>
      </w:r>
      <w:r w:rsidR="00216694">
        <w:t>analysis in [2] was based on correlated out of band antenna gain assumptions and the aggressor beams pointing directly at the victims.</w:t>
      </w:r>
    </w:p>
    <w:p w14:paraId="6F27A2A9" w14:textId="598E6810" w:rsidR="00216694" w:rsidRDefault="00216694" w:rsidP="000747F0">
      <w:r>
        <w:t xml:space="preserve">In the case of </w:t>
      </w:r>
      <w:proofErr w:type="gramStart"/>
      <w:r>
        <w:t>BS to BS</w:t>
      </w:r>
      <w:proofErr w:type="gramEnd"/>
      <w:r>
        <w:t xml:space="preserve"> interference this resulted in a worst-case calculation which was potentially 3dB more relaxed than existing requirement.</w:t>
      </w:r>
    </w:p>
    <w:p w14:paraId="20973140" w14:textId="71F92226" w:rsidR="00216694" w:rsidRDefault="00216694" w:rsidP="000747F0">
      <w:r>
        <w:t>In the case of the BS-UE interference the level was approximately the same as the existing specification however as both the victim UE and the aggressor beam direction are variable the worst-case assumption was perhaps even lower probability than the BS-BS case.</w:t>
      </w:r>
    </w:p>
    <w:p w14:paraId="7D9FF227" w14:textId="1E4ADDF2" w:rsidR="00216694" w:rsidRDefault="00216694" w:rsidP="0005743B">
      <w:r>
        <w:t xml:space="preserve">If we consider a statistical system simulation </w:t>
      </w:r>
      <w:r w:rsidR="00971A2F">
        <w:t>it’s</w:t>
      </w:r>
      <w:r w:rsidR="0005743B">
        <w:t xml:space="preserve"> clear that the 99</w:t>
      </w:r>
      <w:r w:rsidR="0005743B" w:rsidRPr="0005743B">
        <w:rPr>
          <w:vertAlign w:val="superscript"/>
        </w:rPr>
        <w:t>th</w:t>
      </w:r>
      <w:r w:rsidR="0005743B">
        <w:t xml:space="preserve"> percentile will be lower</w:t>
      </w:r>
      <w:r w:rsidR="00971A2F">
        <w:t xml:space="preserve"> (i.e., relaxed)</w:t>
      </w:r>
      <w:r w:rsidR="0005743B">
        <w:t xml:space="preserve"> than these </w:t>
      </w:r>
      <w:proofErr w:type="gramStart"/>
      <w:r w:rsidR="0005743B">
        <w:t>worst case</w:t>
      </w:r>
      <w:proofErr w:type="gramEnd"/>
      <w:r w:rsidR="0005743B">
        <w:t xml:space="preserve"> assumptions.</w:t>
      </w:r>
    </w:p>
    <w:p w14:paraId="514880B9" w14:textId="77777777" w:rsidR="00216694" w:rsidRDefault="00216694" w:rsidP="000747F0"/>
    <w:p w14:paraId="6701FF73" w14:textId="39315D03" w:rsidR="00CB412D" w:rsidRDefault="00BE4FB1" w:rsidP="005077F1">
      <w:pPr>
        <w:pStyle w:val="Heading2"/>
      </w:pPr>
      <w:r>
        <w:t>2.</w:t>
      </w:r>
      <w:r w:rsidR="00CB7AE6">
        <w:t>2</w:t>
      </w:r>
      <w:r>
        <w:t>.</w:t>
      </w:r>
      <w:r>
        <w:tab/>
      </w:r>
      <w:r w:rsidR="00CB412D">
        <w:t>BS-BS</w:t>
      </w:r>
    </w:p>
    <w:p w14:paraId="1FE1F516" w14:textId="35CA1C99" w:rsidR="009A5F0C" w:rsidRPr="007E4413" w:rsidRDefault="00CB412D" w:rsidP="005077F1">
      <w:pPr>
        <w:rPr>
          <w:rFonts w:ascii="Arial" w:eastAsia="SimSun" w:hAnsi="Arial" w:cs="Arial"/>
          <w:sz w:val="18"/>
          <w:szCs w:val="18"/>
        </w:rPr>
      </w:pPr>
      <w:r>
        <w:t xml:space="preserve">As BS are in fixed locations it </w:t>
      </w:r>
      <w:r w:rsidR="00F35702">
        <w:t xml:space="preserve">is obvious that </w:t>
      </w:r>
      <w:r>
        <w:t>the path loss between them will not change</w:t>
      </w:r>
      <w:r w:rsidR="00F35702">
        <w:t xml:space="preserve">; </w:t>
      </w:r>
      <w:r>
        <w:t xml:space="preserve">BS are </w:t>
      </w:r>
      <w:r w:rsidR="005077F1">
        <w:t>assumed to be placed above building level.</w:t>
      </w:r>
    </w:p>
    <w:p w14:paraId="09CDD1EF" w14:textId="25B7F1A0" w:rsidR="00CB412D" w:rsidRDefault="00BE4FB1" w:rsidP="005077F1">
      <w:pPr>
        <w:pStyle w:val="Heading3"/>
      </w:pPr>
      <w:r>
        <w:t>2.</w:t>
      </w:r>
      <w:r w:rsidR="00CB7AE6">
        <w:t>2</w:t>
      </w:r>
      <w:r>
        <w:t>.1</w:t>
      </w:r>
      <w:r>
        <w:tab/>
      </w:r>
      <w:r w:rsidR="009A5F0C">
        <w:t>Statistical analysis</w:t>
      </w:r>
    </w:p>
    <w:p w14:paraId="6E1BEA89" w14:textId="4DBB8A16" w:rsidR="009A5F0C" w:rsidRDefault="009A5F0C" w:rsidP="000747F0">
      <w:r>
        <w:t>The analysis in [</w:t>
      </w:r>
      <w:r w:rsidR="00E0367D">
        <w:t>3</w:t>
      </w:r>
      <w:r>
        <w:t xml:space="preserve">] suggests a </w:t>
      </w:r>
      <w:r w:rsidR="00741201">
        <w:t>19-site</w:t>
      </w:r>
      <w:r>
        <w:t xml:space="preserve"> full wrap</w:t>
      </w:r>
      <w:r w:rsidR="00741201">
        <w:t>-</w:t>
      </w:r>
      <w:r>
        <w:t xml:space="preserve">around network simulation, however for co-location in </w:t>
      </w:r>
      <w:r w:rsidR="00741201">
        <w:t xml:space="preserve">the </w:t>
      </w:r>
      <w:r>
        <w:t>same geographical area it’s not clear this is necessary (or appropriate). Ne</w:t>
      </w:r>
      <w:r w:rsidR="00741201">
        <w:t>i</w:t>
      </w:r>
      <w:r>
        <w:t xml:space="preserve">ther is it clear if the interference metric at the victim should be the sum </w:t>
      </w:r>
      <w:r w:rsidR="00F325AC">
        <w:t xml:space="preserve">of </w:t>
      </w:r>
      <w:r>
        <w:t>all the BS</w:t>
      </w:r>
      <w:r w:rsidR="00F325AC">
        <w:t>,</w:t>
      </w:r>
      <w:r>
        <w:t xml:space="preserve"> or just the closest one (as is the case with the MCL approach). </w:t>
      </w:r>
    </w:p>
    <w:p w14:paraId="13E3808E" w14:textId="03CBC683" w:rsidR="009A5F0C" w:rsidRDefault="009A5F0C" w:rsidP="000747F0">
      <w:r>
        <w:t>To study the effect of beam forming and UE location on the co-existence in same geographical area interference it is necessary only to examine a single cell with victim and aggressor BS and associated UE’s. The beam directions are based on the UE location.</w:t>
      </w:r>
    </w:p>
    <w:p w14:paraId="3B8B3BA6" w14:textId="5F19F0AB" w:rsidR="005077F1" w:rsidRDefault="005077F1" w:rsidP="000747F0">
      <w:r>
        <w:t xml:space="preserve">The aggressor frequencies have been selected such that they are harmonics of the victim frequency, as such there is a possibility that the emission will be correlated, it can also be argued that emission so far out of band </w:t>
      </w:r>
      <w:r w:rsidR="00F325AC">
        <w:t xml:space="preserve">and </w:t>
      </w:r>
      <w:r>
        <w:t>will be un-correlated. This is an ongoing discussion in a number of forums and not to be answered here, as such both correlated and un-correlated assumptions have been studied. For both correlated and uncorrelated it is assumed that the sub-array uses fixed passive phase shifters and as such the sub-array patterns are always correlated.</w:t>
      </w:r>
    </w:p>
    <w:p w14:paraId="0009383E" w14:textId="1418433E" w:rsidR="005077F1" w:rsidRDefault="005077F1" w:rsidP="000747F0">
      <w:r>
        <w:lastRenderedPageBreak/>
        <w:t>The victim antenna beam pattern operating at the victim frequency is by definition correlated in all cases.</w:t>
      </w:r>
    </w:p>
    <w:p w14:paraId="1CAA4413" w14:textId="2EAD4330" w:rsidR="009A5F0C" w:rsidRDefault="009A5F0C" w:rsidP="0020016B">
      <w:pPr>
        <w:pStyle w:val="Heading4"/>
      </w:pPr>
      <w:r>
        <w:t>2.</w:t>
      </w:r>
      <w:r w:rsidR="00CB7AE6">
        <w:t>2</w:t>
      </w:r>
      <w:r>
        <w:t xml:space="preserve">.1.1 Antenna </w:t>
      </w:r>
      <w:r w:rsidR="002467B9">
        <w:t xml:space="preserve">Array </w:t>
      </w:r>
      <w:r>
        <w:t>models</w:t>
      </w:r>
    </w:p>
    <w:p w14:paraId="71832211" w14:textId="77777777" w:rsidR="001B5C8F" w:rsidRDefault="002467B9" w:rsidP="000747F0">
      <w:r>
        <w:t>The victim is a 6.4GHz antenna</w:t>
      </w:r>
      <w:r w:rsidR="001B5C8F">
        <w:t>,</w:t>
      </w:r>
      <w:r>
        <w:t xml:space="preserve"> the aggressors are</w:t>
      </w:r>
      <w:r w:rsidR="001B5C8F">
        <w:t xml:space="preserve">: </w:t>
      </w:r>
    </w:p>
    <w:p w14:paraId="21D11717" w14:textId="47F75012" w:rsidR="001B5C8F" w:rsidRDefault="001B5C8F" w:rsidP="000747F0">
      <w:r>
        <w:t xml:space="preserve"> </w:t>
      </w:r>
      <w:r w:rsidR="002467B9">
        <w:t>fundamental freq</w:t>
      </w:r>
      <w:r w:rsidR="00CB7AE6">
        <w:t>uency</w:t>
      </w:r>
      <w:r w:rsidR="002467B9">
        <w:t xml:space="preserve"> (6.4GHz)</w:t>
      </w:r>
      <w:r>
        <w:t>,</w:t>
      </w:r>
    </w:p>
    <w:p w14:paraId="445F2147" w14:textId="774C75E7" w:rsidR="001B5C8F" w:rsidRDefault="001B5C8F" w:rsidP="000747F0">
      <w:r>
        <w:t xml:space="preserve">- </w:t>
      </w:r>
      <w:r w:rsidR="002467B9">
        <w:t xml:space="preserve"> 2</w:t>
      </w:r>
      <w:r w:rsidR="002467B9" w:rsidRPr="002467B9">
        <w:rPr>
          <w:vertAlign w:val="superscript"/>
        </w:rPr>
        <w:t>nd</w:t>
      </w:r>
      <w:r w:rsidR="002467B9">
        <w:t xml:space="preserve"> harmonic (3.2GHz)</w:t>
      </w:r>
      <w:r>
        <w:t>,</w:t>
      </w:r>
      <w:r w:rsidR="002467B9">
        <w:t xml:space="preserve"> and</w:t>
      </w:r>
    </w:p>
    <w:p w14:paraId="3F7FDB8D" w14:textId="77777777" w:rsidR="001B5C8F" w:rsidRDefault="001B5C8F" w:rsidP="000747F0">
      <w:r>
        <w:t xml:space="preserve">- </w:t>
      </w:r>
      <w:r w:rsidR="002467B9">
        <w:t xml:space="preserve"> 3</w:t>
      </w:r>
      <w:r w:rsidR="002467B9" w:rsidRPr="002467B9">
        <w:rPr>
          <w:vertAlign w:val="superscript"/>
        </w:rPr>
        <w:t>rd</w:t>
      </w:r>
      <w:r w:rsidR="002467B9">
        <w:t xml:space="preserve"> harmonic (2.1GHz)</w:t>
      </w:r>
    </w:p>
    <w:p w14:paraId="1900D13B" w14:textId="03C19E31" w:rsidR="009A5F0C" w:rsidRDefault="002467B9" w:rsidP="000747F0">
      <w:r>
        <w:t>and are described in figure 2.</w:t>
      </w:r>
      <w:r w:rsidR="00CB7AE6">
        <w:t>2</w:t>
      </w:r>
      <w:r>
        <w:t>.1.1-1.</w:t>
      </w:r>
    </w:p>
    <w:p w14:paraId="24B3D309" w14:textId="35DE7DDE" w:rsidR="002467B9" w:rsidRDefault="002467B9" w:rsidP="002467B9">
      <w:pPr>
        <w:pStyle w:val="TH"/>
      </w:pPr>
      <w:r>
        <w:t>Table 2.</w:t>
      </w:r>
      <w:r w:rsidR="00CB7AE6">
        <w:t>2</w:t>
      </w:r>
      <w:r>
        <w:t>.1.1-1: Antenna Array models</w:t>
      </w:r>
    </w:p>
    <w:tbl>
      <w:tblPr>
        <w:tblW w:w="0" w:type="auto"/>
        <w:tblInd w:w="1980" w:type="dxa"/>
        <w:tblLook w:val="04A0" w:firstRow="1" w:lastRow="0" w:firstColumn="1" w:lastColumn="0" w:noHBand="0" w:noVBand="1"/>
      </w:tblPr>
      <w:tblGrid>
        <w:gridCol w:w="1046"/>
        <w:gridCol w:w="2374"/>
        <w:gridCol w:w="858"/>
        <w:gridCol w:w="858"/>
        <w:gridCol w:w="858"/>
        <w:gridCol w:w="572"/>
      </w:tblGrid>
      <w:tr w:rsidR="002467B9" w:rsidRPr="00BE4FB1" w14:paraId="440DD90E" w14:textId="77777777" w:rsidTr="002D1D3B">
        <w:trPr>
          <w:trHeight w:val="28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1A55C31" w14:textId="77777777" w:rsidR="002467B9" w:rsidRPr="00BE4FB1" w:rsidRDefault="002467B9" w:rsidP="00A6626F">
            <w:pPr>
              <w:overflowPunct/>
              <w:autoSpaceDE/>
              <w:autoSpaceDN/>
              <w:adjustRightInd/>
              <w:spacing w:after="0"/>
              <w:jc w:val="center"/>
              <w:textAlignment w:val="auto"/>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FCE8968" w14:textId="77777777" w:rsidR="002467B9" w:rsidRPr="00BE4FB1" w:rsidRDefault="002467B9" w:rsidP="00A6626F">
            <w:pPr>
              <w:overflowPunct/>
              <w:autoSpaceDE/>
              <w:autoSpaceDN/>
              <w:adjustRightInd/>
              <w:spacing w:after="0"/>
              <w:textAlignment w:val="auto"/>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17A512C" w14:textId="7AA0FFCB" w:rsidR="002467B9" w:rsidRPr="00BE4FB1" w:rsidRDefault="002467B9" w:rsidP="00A6626F">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2.1GHz</w:t>
            </w:r>
          </w:p>
        </w:tc>
        <w:tc>
          <w:tcPr>
            <w:tcW w:w="0" w:type="auto"/>
            <w:tcBorders>
              <w:top w:val="single" w:sz="4" w:space="0" w:color="auto"/>
              <w:left w:val="single" w:sz="4" w:space="0" w:color="auto"/>
              <w:bottom w:val="single" w:sz="4" w:space="0" w:color="auto"/>
              <w:right w:val="single" w:sz="4" w:space="0" w:color="auto"/>
            </w:tcBorders>
          </w:tcPr>
          <w:p w14:paraId="56D50564" w14:textId="72F07894" w:rsidR="002467B9" w:rsidRPr="00BE4FB1" w:rsidRDefault="002467B9" w:rsidP="00A6626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3.2GHz</w:t>
            </w:r>
          </w:p>
        </w:tc>
        <w:tc>
          <w:tcPr>
            <w:tcW w:w="0" w:type="auto"/>
            <w:tcBorders>
              <w:top w:val="single" w:sz="4" w:space="0" w:color="auto"/>
              <w:left w:val="single" w:sz="4" w:space="0" w:color="auto"/>
              <w:bottom w:val="single" w:sz="4" w:space="0" w:color="auto"/>
              <w:right w:val="single" w:sz="4" w:space="0" w:color="auto"/>
            </w:tcBorders>
          </w:tcPr>
          <w:p w14:paraId="70DA3870" w14:textId="2750175A" w:rsidR="002467B9" w:rsidRPr="00BE4FB1" w:rsidRDefault="002467B9" w:rsidP="00A6626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6.4GHz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C88B82A" w14:textId="5DEE332A" w:rsidR="002467B9" w:rsidRPr="00BE4FB1" w:rsidRDefault="002467B9" w:rsidP="00A6626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unit</w:t>
            </w:r>
          </w:p>
        </w:tc>
      </w:tr>
      <w:tr w:rsidR="002467B9" w:rsidRPr="00BE4FB1" w14:paraId="1FCAFB52" w14:textId="77777777" w:rsidTr="002D1D3B">
        <w:trPr>
          <w:trHeight w:val="28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3BACA" w14:textId="77777777"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elevation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1ABE8" w14:textId="77777777"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No elements/sub-arrays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C9290" w14:textId="77777777"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4</w:t>
            </w:r>
          </w:p>
        </w:tc>
        <w:tc>
          <w:tcPr>
            <w:tcW w:w="0" w:type="auto"/>
            <w:tcBorders>
              <w:top w:val="single" w:sz="4" w:space="0" w:color="auto"/>
              <w:left w:val="single" w:sz="4" w:space="0" w:color="auto"/>
              <w:bottom w:val="single" w:sz="4" w:space="0" w:color="auto"/>
              <w:right w:val="single" w:sz="4" w:space="0" w:color="auto"/>
            </w:tcBorders>
            <w:vAlign w:val="bottom"/>
          </w:tcPr>
          <w:p w14:paraId="46894464" w14:textId="683E9A22"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4</w:t>
            </w:r>
          </w:p>
        </w:tc>
        <w:tc>
          <w:tcPr>
            <w:tcW w:w="0" w:type="auto"/>
            <w:tcBorders>
              <w:top w:val="single" w:sz="4" w:space="0" w:color="auto"/>
              <w:left w:val="single" w:sz="4" w:space="0" w:color="auto"/>
              <w:bottom w:val="single" w:sz="4" w:space="0" w:color="auto"/>
              <w:right w:val="single" w:sz="4" w:space="0" w:color="auto"/>
            </w:tcBorders>
          </w:tcPr>
          <w:p w14:paraId="5CDAB98B" w14:textId="0F7CEB34"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8F6964" w14:textId="7EB4101A"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 </w:t>
            </w:r>
          </w:p>
        </w:tc>
      </w:tr>
      <w:tr w:rsidR="002467B9" w:rsidRPr="00BE4FB1" w14:paraId="0FC095A1" w14:textId="77777777" w:rsidTr="002D1D3B">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83209" w14:textId="77777777" w:rsidR="002467B9" w:rsidRPr="00BE4FB1" w:rsidRDefault="002467B9" w:rsidP="002467B9">
            <w:pPr>
              <w:overflowPunct/>
              <w:autoSpaceDE/>
              <w:autoSpaceDN/>
              <w:adjustRightInd/>
              <w:spacing w:after="0"/>
              <w:textAlignment w:val="auto"/>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4546B" w14:textId="77777777"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elements per sub-array</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75BD9" w14:textId="77777777"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3</w:t>
            </w:r>
          </w:p>
        </w:tc>
        <w:tc>
          <w:tcPr>
            <w:tcW w:w="0" w:type="auto"/>
            <w:tcBorders>
              <w:top w:val="single" w:sz="4" w:space="0" w:color="auto"/>
              <w:left w:val="single" w:sz="4" w:space="0" w:color="auto"/>
              <w:bottom w:val="single" w:sz="4" w:space="0" w:color="auto"/>
              <w:right w:val="single" w:sz="4" w:space="0" w:color="auto"/>
            </w:tcBorders>
            <w:vAlign w:val="bottom"/>
          </w:tcPr>
          <w:p w14:paraId="0BFC9924" w14:textId="44ABFD4B"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3</w:t>
            </w:r>
          </w:p>
        </w:tc>
        <w:tc>
          <w:tcPr>
            <w:tcW w:w="0" w:type="auto"/>
            <w:tcBorders>
              <w:top w:val="single" w:sz="4" w:space="0" w:color="auto"/>
              <w:left w:val="single" w:sz="4" w:space="0" w:color="auto"/>
              <w:bottom w:val="single" w:sz="4" w:space="0" w:color="auto"/>
              <w:right w:val="single" w:sz="4" w:space="0" w:color="auto"/>
            </w:tcBorders>
          </w:tcPr>
          <w:p w14:paraId="60D31C65" w14:textId="4657DA25"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B588A" w14:textId="4E0CEC53"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 </w:t>
            </w:r>
          </w:p>
        </w:tc>
      </w:tr>
      <w:tr w:rsidR="002467B9" w:rsidRPr="00BE4FB1" w14:paraId="403CD27C" w14:textId="77777777" w:rsidTr="002D1D3B">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FFC0" w14:textId="77777777" w:rsidR="002467B9" w:rsidRPr="00BE4FB1" w:rsidRDefault="002467B9" w:rsidP="002467B9">
            <w:pPr>
              <w:overflowPunct/>
              <w:autoSpaceDE/>
              <w:autoSpaceDN/>
              <w:adjustRightInd/>
              <w:spacing w:after="0"/>
              <w:textAlignment w:val="auto"/>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B866C8" w14:textId="77777777"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element separation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4BCE10" w14:textId="77777777"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0.7</w:t>
            </w:r>
          </w:p>
        </w:tc>
        <w:tc>
          <w:tcPr>
            <w:tcW w:w="0" w:type="auto"/>
            <w:tcBorders>
              <w:top w:val="single" w:sz="4" w:space="0" w:color="auto"/>
              <w:left w:val="single" w:sz="4" w:space="0" w:color="auto"/>
              <w:bottom w:val="single" w:sz="4" w:space="0" w:color="auto"/>
              <w:right w:val="single" w:sz="4" w:space="0" w:color="auto"/>
            </w:tcBorders>
            <w:vAlign w:val="bottom"/>
          </w:tcPr>
          <w:p w14:paraId="2CECF980" w14:textId="1520F227"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0.7</w:t>
            </w:r>
          </w:p>
        </w:tc>
        <w:tc>
          <w:tcPr>
            <w:tcW w:w="0" w:type="auto"/>
            <w:tcBorders>
              <w:top w:val="single" w:sz="4" w:space="0" w:color="auto"/>
              <w:left w:val="single" w:sz="4" w:space="0" w:color="auto"/>
              <w:bottom w:val="single" w:sz="4" w:space="0" w:color="auto"/>
              <w:right w:val="single" w:sz="4" w:space="0" w:color="auto"/>
            </w:tcBorders>
          </w:tcPr>
          <w:p w14:paraId="61B0749C" w14:textId="5DD62C4B"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D19A0" w14:textId="1DF52C47"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λ</w:t>
            </w:r>
          </w:p>
        </w:tc>
      </w:tr>
      <w:tr w:rsidR="002467B9" w:rsidRPr="00BE4FB1" w14:paraId="362707A2" w14:textId="77777777" w:rsidTr="002D1D3B">
        <w:trPr>
          <w:trHeight w:val="28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3C432" w14:textId="77777777"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Azimuth</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ABA9C" w14:textId="77777777"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No elements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5C3AB" w14:textId="77777777"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8</w:t>
            </w:r>
          </w:p>
        </w:tc>
        <w:tc>
          <w:tcPr>
            <w:tcW w:w="0" w:type="auto"/>
            <w:tcBorders>
              <w:top w:val="single" w:sz="4" w:space="0" w:color="auto"/>
              <w:left w:val="single" w:sz="4" w:space="0" w:color="auto"/>
              <w:bottom w:val="single" w:sz="4" w:space="0" w:color="auto"/>
              <w:right w:val="single" w:sz="4" w:space="0" w:color="auto"/>
            </w:tcBorders>
            <w:vAlign w:val="bottom"/>
          </w:tcPr>
          <w:p w14:paraId="37DCC3C3" w14:textId="2BF675B8"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8</w:t>
            </w:r>
          </w:p>
        </w:tc>
        <w:tc>
          <w:tcPr>
            <w:tcW w:w="0" w:type="auto"/>
            <w:tcBorders>
              <w:top w:val="single" w:sz="4" w:space="0" w:color="auto"/>
              <w:left w:val="single" w:sz="4" w:space="0" w:color="auto"/>
              <w:bottom w:val="single" w:sz="4" w:space="0" w:color="auto"/>
              <w:right w:val="single" w:sz="4" w:space="0" w:color="auto"/>
            </w:tcBorders>
          </w:tcPr>
          <w:p w14:paraId="60A0F065" w14:textId="2DFBB00D"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16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05E86" w14:textId="49767630"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 </w:t>
            </w:r>
          </w:p>
        </w:tc>
      </w:tr>
      <w:tr w:rsidR="002467B9" w:rsidRPr="00BE4FB1" w14:paraId="454CAC3A" w14:textId="77777777" w:rsidTr="002D1D3B">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C9A3C" w14:textId="77777777" w:rsidR="002467B9" w:rsidRPr="00BE4FB1" w:rsidRDefault="002467B9" w:rsidP="002467B9">
            <w:pPr>
              <w:overflowPunct/>
              <w:autoSpaceDE/>
              <w:autoSpaceDN/>
              <w:adjustRightInd/>
              <w:spacing w:after="0"/>
              <w:textAlignment w:val="auto"/>
              <w:rPr>
                <w:rFonts w:ascii="Calibri" w:hAnsi="Calibri" w:cs="Calibri"/>
                <w:color w:val="000000"/>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5B51C" w14:textId="77777777"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element separation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1A752" w14:textId="77777777"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0.5</w:t>
            </w:r>
          </w:p>
        </w:tc>
        <w:tc>
          <w:tcPr>
            <w:tcW w:w="0" w:type="auto"/>
            <w:tcBorders>
              <w:top w:val="single" w:sz="4" w:space="0" w:color="auto"/>
              <w:left w:val="single" w:sz="4" w:space="0" w:color="auto"/>
              <w:bottom w:val="single" w:sz="4" w:space="0" w:color="auto"/>
              <w:right w:val="single" w:sz="4" w:space="0" w:color="auto"/>
            </w:tcBorders>
            <w:vAlign w:val="bottom"/>
          </w:tcPr>
          <w:p w14:paraId="0ADDE71D" w14:textId="290EEC7C"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0.5</w:t>
            </w:r>
          </w:p>
        </w:tc>
        <w:tc>
          <w:tcPr>
            <w:tcW w:w="0" w:type="auto"/>
            <w:tcBorders>
              <w:top w:val="single" w:sz="4" w:space="0" w:color="auto"/>
              <w:left w:val="single" w:sz="4" w:space="0" w:color="auto"/>
              <w:bottom w:val="single" w:sz="4" w:space="0" w:color="auto"/>
              <w:right w:val="single" w:sz="4" w:space="0" w:color="auto"/>
            </w:tcBorders>
          </w:tcPr>
          <w:p w14:paraId="5B7F6C3B" w14:textId="309E347F"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8CDED0" w14:textId="19332E2E"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λ</w:t>
            </w:r>
          </w:p>
        </w:tc>
      </w:tr>
      <w:tr w:rsidR="002467B9" w:rsidRPr="00BE4FB1" w14:paraId="1E2BEFED" w14:textId="77777777" w:rsidTr="002D1D3B">
        <w:trPr>
          <w:trHeight w:val="28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7FEAB" w14:textId="77777777"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Directivity (zero steer)</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71B88A" w14:textId="77777777"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26.3</w:t>
            </w:r>
          </w:p>
        </w:tc>
        <w:tc>
          <w:tcPr>
            <w:tcW w:w="0" w:type="auto"/>
            <w:tcBorders>
              <w:top w:val="single" w:sz="4" w:space="0" w:color="auto"/>
              <w:left w:val="single" w:sz="4" w:space="0" w:color="auto"/>
              <w:bottom w:val="single" w:sz="4" w:space="0" w:color="auto"/>
              <w:right w:val="single" w:sz="4" w:space="0" w:color="auto"/>
            </w:tcBorders>
            <w:vAlign w:val="bottom"/>
          </w:tcPr>
          <w:p w14:paraId="2E52EE2D" w14:textId="4CFA61C1"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26.3</w:t>
            </w:r>
          </w:p>
        </w:tc>
        <w:tc>
          <w:tcPr>
            <w:tcW w:w="0" w:type="auto"/>
            <w:tcBorders>
              <w:top w:val="single" w:sz="4" w:space="0" w:color="auto"/>
              <w:left w:val="single" w:sz="4" w:space="0" w:color="auto"/>
              <w:bottom w:val="single" w:sz="4" w:space="0" w:color="auto"/>
              <w:right w:val="single" w:sz="4" w:space="0" w:color="auto"/>
            </w:tcBorders>
            <w:vAlign w:val="bottom"/>
          </w:tcPr>
          <w:p w14:paraId="2B9E3EB8" w14:textId="348C8559"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32.4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C17ED7" w14:textId="42680540" w:rsidR="002467B9" w:rsidRPr="00BE4FB1" w:rsidRDefault="002467B9" w:rsidP="002467B9">
            <w:pPr>
              <w:overflowPunct/>
              <w:autoSpaceDE/>
              <w:autoSpaceDN/>
              <w:adjustRightInd/>
              <w:spacing w:after="0"/>
              <w:textAlignment w:val="auto"/>
              <w:rPr>
                <w:rFonts w:ascii="Calibri" w:hAnsi="Calibri" w:cs="Calibri"/>
                <w:color w:val="000000"/>
                <w:sz w:val="22"/>
                <w:szCs w:val="22"/>
              </w:rPr>
            </w:pPr>
            <w:proofErr w:type="spellStart"/>
            <w:r w:rsidRPr="00BE4FB1">
              <w:rPr>
                <w:rFonts w:ascii="Calibri" w:hAnsi="Calibri" w:cs="Calibri"/>
                <w:color w:val="000000"/>
                <w:sz w:val="22"/>
                <w:szCs w:val="22"/>
              </w:rPr>
              <w:t>dBi</w:t>
            </w:r>
            <w:proofErr w:type="spellEnd"/>
          </w:p>
        </w:tc>
      </w:tr>
      <w:tr w:rsidR="002467B9" w:rsidRPr="00BE4FB1" w14:paraId="36D83A1B" w14:textId="77777777" w:rsidTr="002D1D3B">
        <w:trPr>
          <w:trHeight w:val="203"/>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120E6" w14:textId="6FE98C0F"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Vertical Beam width</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97C437" w14:textId="77777777"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6</w:t>
            </w:r>
          </w:p>
        </w:tc>
        <w:tc>
          <w:tcPr>
            <w:tcW w:w="0" w:type="auto"/>
            <w:tcBorders>
              <w:top w:val="single" w:sz="4" w:space="0" w:color="auto"/>
              <w:left w:val="single" w:sz="4" w:space="0" w:color="auto"/>
              <w:bottom w:val="single" w:sz="4" w:space="0" w:color="auto"/>
              <w:right w:val="single" w:sz="4" w:space="0" w:color="auto"/>
            </w:tcBorders>
            <w:vAlign w:val="bottom"/>
          </w:tcPr>
          <w:p w14:paraId="0108C1FB" w14:textId="3ED62446"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w:t>
            </w:r>
          </w:p>
        </w:tc>
        <w:tc>
          <w:tcPr>
            <w:tcW w:w="0" w:type="auto"/>
            <w:tcBorders>
              <w:top w:val="single" w:sz="4" w:space="0" w:color="auto"/>
              <w:left w:val="single" w:sz="4" w:space="0" w:color="auto"/>
              <w:bottom w:val="single" w:sz="4" w:space="0" w:color="auto"/>
              <w:right w:val="single" w:sz="4" w:space="0" w:color="auto"/>
            </w:tcBorders>
          </w:tcPr>
          <w:p w14:paraId="4BA9CEDA" w14:textId="383A766F"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F2F59" w14:textId="70D8E3D8" w:rsidR="002467B9" w:rsidRPr="00BE4FB1" w:rsidRDefault="002467B9" w:rsidP="002467B9">
            <w:pPr>
              <w:overflowPunct/>
              <w:autoSpaceDE/>
              <w:autoSpaceDN/>
              <w:adjustRightInd/>
              <w:spacing w:after="0"/>
              <w:textAlignment w:val="auto"/>
              <w:rPr>
                <w:rFonts w:ascii="Calibri" w:hAnsi="Calibri" w:cs="Calibri"/>
                <w:color w:val="000000"/>
                <w:sz w:val="22"/>
                <w:szCs w:val="22"/>
              </w:rPr>
            </w:pPr>
            <w:proofErr w:type="spellStart"/>
            <w:r w:rsidRPr="00BE4FB1">
              <w:rPr>
                <w:rFonts w:ascii="Calibri" w:hAnsi="Calibri" w:cs="Calibri"/>
                <w:color w:val="000000"/>
                <w:sz w:val="22"/>
                <w:szCs w:val="22"/>
              </w:rPr>
              <w:t>deg</w:t>
            </w:r>
            <w:proofErr w:type="spellEnd"/>
          </w:p>
        </w:tc>
      </w:tr>
      <w:tr w:rsidR="002467B9" w:rsidRPr="00BE4FB1" w14:paraId="63640DF8" w14:textId="77777777" w:rsidTr="002D1D3B">
        <w:trPr>
          <w:trHeight w:val="28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9F04F" w14:textId="77777777" w:rsidR="002467B9" w:rsidRPr="00BE4FB1" w:rsidRDefault="002467B9" w:rsidP="002467B9">
            <w:pPr>
              <w:overflowPunct/>
              <w:autoSpaceDE/>
              <w:autoSpaceDN/>
              <w:adjustRightInd/>
              <w:spacing w:after="0"/>
              <w:textAlignment w:val="auto"/>
              <w:rPr>
                <w:rFonts w:ascii="Calibri" w:hAnsi="Calibri" w:cs="Calibri"/>
                <w:color w:val="000000"/>
                <w:sz w:val="22"/>
                <w:szCs w:val="22"/>
              </w:rPr>
            </w:pPr>
            <w:r w:rsidRPr="00BE4FB1">
              <w:rPr>
                <w:rFonts w:ascii="Calibri" w:hAnsi="Calibri" w:cs="Calibri"/>
                <w:color w:val="000000"/>
                <w:sz w:val="22"/>
                <w:szCs w:val="22"/>
              </w:rPr>
              <w:t>Horizontal Beam width</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4B9A6" w14:textId="77777777"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12.7</w:t>
            </w:r>
          </w:p>
        </w:tc>
        <w:tc>
          <w:tcPr>
            <w:tcW w:w="0" w:type="auto"/>
            <w:tcBorders>
              <w:top w:val="single" w:sz="4" w:space="0" w:color="auto"/>
              <w:left w:val="single" w:sz="4" w:space="0" w:color="auto"/>
              <w:bottom w:val="single" w:sz="4" w:space="0" w:color="auto"/>
              <w:right w:val="single" w:sz="4" w:space="0" w:color="auto"/>
            </w:tcBorders>
          </w:tcPr>
          <w:p w14:paraId="39480277" w14:textId="54E926A8"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sidRPr="00BE4FB1">
              <w:rPr>
                <w:rFonts w:ascii="Calibri" w:hAnsi="Calibri" w:cs="Calibri"/>
                <w:color w:val="000000"/>
                <w:sz w:val="22"/>
                <w:szCs w:val="22"/>
              </w:rPr>
              <w:t>12.7</w:t>
            </w:r>
          </w:p>
        </w:tc>
        <w:tc>
          <w:tcPr>
            <w:tcW w:w="0" w:type="auto"/>
            <w:tcBorders>
              <w:top w:val="single" w:sz="4" w:space="0" w:color="auto"/>
              <w:left w:val="single" w:sz="4" w:space="0" w:color="auto"/>
              <w:bottom w:val="single" w:sz="4" w:space="0" w:color="auto"/>
              <w:right w:val="single" w:sz="4" w:space="0" w:color="auto"/>
            </w:tcBorders>
            <w:vAlign w:val="bottom"/>
          </w:tcPr>
          <w:p w14:paraId="3539A8DF" w14:textId="39E6939E" w:rsidR="002467B9" w:rsidRPr="00BE4FB1" w:rsidRDefault="002467B9" w:rsidP="002467B9">
            <w:pPr>
              <w:overflowPunct/>
              <w:autoSpaceDE/>
              <w:autoSpaceDN/>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6.4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1302ED" w14:textId="4C7164ED" w:rsidR="002467B9" w:rsidRPr="00BE4FB1" w:rsidRDefault="002467B9" w:rsidP="002467B9">
            <w:pPr>
              <w:overflowPunct/>
              <w:autoSpaceDE/>
              <w:autoSpaceDN/>
              <w:adjustRightInd/>
              <w:spacing w:after="0"/>
              <w:textAlignment w:val="auto"/>
              <w:rPr>
                <w:rFonts w:ascii="Calibri" w:hAnsi="Calibri" w:cs="Calibri"/>
                <w:color w:val="000000"/>
                <w:sz w:val="22"/>
                <w:szCs w:val="22"/>
              </w:rPr>
            </w:pPr>
            <w:proofErr w:type="spellStart"/>
            <w:r w:rsidRPr="00BE4FB1">
              <w:rPr>
                <w:rFonts w:ascii="Calibri" w:hAnsi="Calibri" w:cs="Calibri"/>
                <w:color w:val="000000"/>
                <w:sz w:val="22"/>
                <w:szCs w:val="22"/>
              </w:rPr>
              <w:t>deg</w:t>
            </w:r>
            <w:proofErr w:type="spellEnd"/>
          </w:p>
        </w:tc>
      </w:tr>
    </w:tbl>
    <w:p w14:paraId="2B3ED666" w14:textId="77777777" w:rsidR="002467B9" w:rsidRDefault="002467B9" w:rsidP="000747F0"/>
    <w:p w14:paraId="619EA83C" w14:textId="5529C8A8" w:rsidR="0020016B" w:rsidRDefault="0020016B" w:rsidP="000747F0">
      <w:r>
        <w:t>Aggressor arrays radiating harmonic signals are scaled based on the frequency ratio and appear as sparse arrays, correlated beam forming weights are treated similarly.</w:t>
      </w:r>
    </w:p>
    <w:p w14:paraId="3F03C786" w14:textId="2055E73C" w:rsidR="005536B1" w:rsidRDefault="005536B1" w:rsidP="000747F0">
      <w:r>
        <w:t>Antennas have an ohmic loss of 1.5dB.</w:t>
      </w:r>
    </w:p>
    <w:p w14:paraId="267A46F5" w14:textId="7219C4C5" w:rsidR="002467B9" w:rsidRDefault="002467B9" w:rsidP="000747F0">
      <w:r>
        <w:t>It is assumed the UE has an omni directional pattern.</w:t>
      </w:r>
    </w:p>
    <w:p w14:paraId="26B49945" w14:textId="338F6CBD" w:rsidR="002467B9" w:rsidRDefault="002467B9" w:rsidP="0020016B">
      <w:pPr>
        <w:pStyle w:val="Heading4"/>
      </w:pPr>
      <w:r>
        <w:t>2.</w:t>
      </w:r>
      <w:r w:rsidR="00CB7AE6">
        <w:t>2</w:t>
      </w:r>
      <w:r>
        <w:t>.1.2</w:t>
      </w:r>
      <w:r>
        <w:tab/>
        <w:t>Element models</w:t>
      </w:r>
    </w:p>
    <w:p w14:paraId="28046F6F" w14:textId="204B6641" w:rsidR="002467B9" w:rsidRDefault="002467B9" w:rsidP="000747F0">
      <w:r>
        <w:t>Previous simulation campaigns have only considered the element model at the fundamental frequency, in general we can assume that:</w:t>
      </w:r>
    </w:p>
    <w:p w14:paraId="4128AB12" w14:textId="5512CD49" w:rsidR="002467B9" w:rsidRDefault="002467B9" w:rsidP="0020016B">
      <w:pPr>
        <w:pStyle w:val="ListParagraph"/>
        <w:numPr>
          <w:ilvl w:val="0"/>
          <w:numId w:val="38"/>
        </w:numPr>
        <w:ind w:firstLineChars="0"/>
      </w:pPr>
      <w:r>
        <w:t>elements radiating signals below their operating frequency tend to be wider but maintain a single radiation lobe in the same direction as the fundamental.</w:t>
      </w:r>
    </w:p>
    <w:p w14:paraId="4D5A51AB" w14:textId="77F342EC" w:rsidR="002467B9" w:rsidRDefault="002467B9" w:rsidP="0020016B">
      <w:pPr>
        <w:pStyle w:val="ListParagraph"/>
        <w:numPr>
          <w:ilvl w:val="0"/>
          <w:numId w:val="38"/>
        </w:numPr>
        <w:ind w:firstLineChars="0"/>
      </w:pPr>
      <w:r>
        <w:t>Elements radiating signal</w:t>
      </w:r>
      <w:r w:rsidR="0020016B">
        <w:t>s</w:t>
      </w:r>
      <w:r>
        <w:t xml:space="preserve"> above their operating frequency tend to be narrower and start to “split” where </w:t>
      </w:r>
      <w:r w:rsidR="0020016B">
        <w:t>a null can appear in the direction of the fundamental.</w:t>
      </w:r>
    </w:p>
    <w:p w14:paraId="417EA026" w14:textId="079E8C0E" w:rsidR="0020016B" w:rsidRDefault="0020016B" w:rsidP="000747F0">
      <w:r>
        <w:t xml:space="preserve">Whilst it is difficult to represent every potential element used in array design a simple </w:t>
      </w:r>
      <w:r w:rsidR="00D559A8">
        <w:t xml:space="preserve">dipole </w:t>
      </w:r>
      <w:r>
        <w:t>model can be used to simulate this effect so we can observe its effect.</w:t>
      </w:r>
    </w:p>
    <w:p w14:paraId="5A47D46F" w14:textId="77777777" w:rsidR="0020016B" w:rsidRDefault="0020016B" w:rsidP="0020016B">
      <w:r>
        <w:t>The simple element pattern of a dipole is given by:</w:t>
      </w:r>
    </w:p>
    <w:p w14:paraId="10AD7E12" w14:textId="77777777" w:rsidR="0020016B" w:rsidRDefault="0020016B" w:rsidP="0020016B">
      <w:pPr>
        <w:pStyle w:val="BodyText"/>
        <w:ind w:firstLine="720"/>
        <w:rPr>
          <w:sz w:val="22"/>
          <w:szCs w:val="22"/>
          <w:lang w:val="en-US" w:eastAsia="ja-JP"/>
        </w:rPr>
      </w:pPr>
      <w:r w:rsidRPr="005C1895">
        <w:rPr>
          <w:position w:val="-62"/>
          <w:sz w:val="22"/>
          <w:szCs w:val="22"/>
          <w:lang w:val="en-US" w:eastAsia="ja-JP"/>
        </w:rPr>
        <w:object w:dxaOrig="3940" w:dyaOrig="1359" w14:anchorId="4EFA4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67.5pt" o:ole="">
            <v:imagedata r:id="rId8" o:title=""/>
          </v:shape>
          <o:OLEObject Type="Embed" ProgID="Equation.3" ShapeID="_x0000_i1025" DrawAspect="Content" ObjectID="_1816802168" r:id="rId9"/>
        </w:object>
      </w:r>
      <w:r>
        <w:rPr>
          <w:sz w:val="22"/>
          <w:szCs w:val="22"/>
          <w:lang w:val="en-US" w:eastAsia="ja-JP"/>
        </w:rPr>
        <w:t xml:space="preserve">, </w:t>
      </w:r>
    </w:p>
    <w:p w14:paraId="6ACA208C" w14:textId="77777777" w:rsidR="0020016B" w:rsidRPr="00890464" w:rsidRDefault="0020016B" w:rsidP="0020016B">
      <w:pPr>
        <w:pStyle w:val="BodyText"/>
        <w:rPr>
          <w:szCs w:val="22"/>
          <w:lang w:val="en-US" w:eastAsia="ja-JP"/>
        </w:rPr>
      </w:pPr>
      <w:r w:rsidRPr="00890464">
        <w:rPr>
          <w:szCs w:val="22"/>
          <w:lang w:val="en-US" w:eastAsia="ja-JP"/>
        </w:rPr>
        <w:t xml:space="preserve">Where, η is the impedance of free space, k is </w:t>
      </w:r>
      <w:r w:rsidRPr="00890464">
        <w:rPr>
          <w:position w:val="-10"/>
          <w:szCs w:val="22"/>
          <w:lang w:val="en-US" w:eastAsia="ja-JP"/>
        </w:rPr>
        <w:object w:dxaOrig="600" w:dyaOrig="340" w14:anchorId="727A5626">
          <v:shape id="_x0000_i1026" type="#_x0000_t75" style="width:30pt;height:17.25pt" o:ole="">
            <v:imagedata r:id="rId10" o:title=""/>
          </v:shape>
          <o:OLEObject Type="Embed" ProgID="Equation.3" ShapeID="_x0000_i1026" DrawAspect="Content" ObjectID="_1816802169" r:id="rId11"/>
        </w:object>
      </w:r>
      <w:r w:rsidRPr="00890464">
        <w:rPr>
          <w:szCs w:val="22"/>
          <w:lang w:val="en-US" w:eastAsia="ja-JP"/>
        </w:rPr>
        <w:t>, I</w:t>
      </w:r>
      <w:r w:rsidRPr="00890464">
        <w:rPr>
          <w:szCs w:val="22"/>
          <w:vertAlign w:val="subscript"/>
          <w:lang w:val="en-US" w:eastAsia="ja-JP"/>
        </w:rPr>
        <w:t>0</w:t>
      </w:r>
      <w:r w:rsidRPr="00890464">
        <w:rPr>
          <w:szCs w:val="22"/>
          <w:lang w:val="en-US" w:eastAsia="ja-JP"/>
        </w:rPr>
        <w:t xml:space="preserve"> is the peak current, θ is the angle and L is the dipole length.</w:t>
      </w:r>
    </w:p>
    <w:p w14:paraId="71E8B18E" w14:textId="1CE2CC3A" w:rsidR="0020016B" w:rsidRDefault="0020016B" w:rsidP="000747F0">
      <w:r>
        <w:t>Analysis was done using both the standard element model and the above dipole model so the potential effect of this effect can be observed.</w:t>
      </w:r>
    </w:p>
    <w:p w14:paraId="2F17E204" w14:textId="686FB0A7" w:rsidR="0020016B" w:rsidRDefault="0020016B" w:rsidP="0020016B">
      <w:pPr>
        <w:pStyle w:val="Heading4"/>
      </w:pPr>
      <w:r>
        <w:t>2.</w:t>
      </w:r>
      <w:r w:rsidR="00CB7AE6">
        <w:t>2</w:t>
      </w:r>
      <w:r>
        <w:t>.1.</w:t>
      </w:r>
      <w:r w:rsidR="00B44C48">
        <w:t>3</w:t>
      </w:r>
      <w:r>
        <w:tab/>
        <w:t>Path loss models</w:t>
      </w:r>
    </w:p>
    <w:p w14:paraId="43C1850B" w14:textId="62AE4FF0" w:rsidR="0020016B" w:rsidRDefault="0020016B" w:rsidP="000747F0">
      <w:r>
        <w:t xml:space="preserve">For 6.4GHz the </w:t>
      </w:r>
      <w:proofErr w:type="spellStart"/>
      <w:r>
        <w:t>UMa</w:t>
      </w:r>
      <w:proofErr w:type="spellEnd"/>
      <w:r>
        <w:t xml:space="preserve"> model in table 7.4.1-1 of TR 38.901 has been used. </w:t>
      </w:r>
    </w:p>
    <w:p w14:paraId="54E3A03B" w14:textId="1FD8E005" w:rsidR="005077F1" w:rsidRDefault="005077F1" w:rsidP="005077F1">
      <w:pPr>
        <w:pStyle w:val="Heading3"/>
      </w:pPr>
      <w:r>
        <w:lastRenderedPageBreak/>
        <w:t>2.</w:t>
      </w:r>
      <w:r w:rsidR="00CB7AE6">
        <w:t>2</w:t>
      </w:r>
      <w:r>
        <w:t>.2</w:t>
      </w:r>
      <w:r>
        <w:tab/>
        <w:t>Results</w:t>
      </w:r>
    </w:p>
    <w:p w14:paraId="0036D077" w14:textId="5E16E220" w:rsidR="005077F1" w:rsidRDefault="005077F1" w:rsidP="00AD2FC7">
      <w:pPr>
        <w:pStyle w:val="Heading4"/>
      </w:pPr>
      <w:r>
        <w:t>2.</w:t>
      </w:r>
      <w:r w:rsidR="00CB7AE6">
        <w:t>2</w:t>
      </w:r>
      <w:r>
        <w:t>.2.1</w:t>
      </w:r>
      <w:r>
        <w:tab/>
        <w:t>Fundamental</w:t>
      </w:r>
      <w:r w:rsidR="00332FE7">
        <w:t xml:space="preserve"> - 6.4GHz aggressor</w:t>
      </w:r>
    </w:p>
    <w:p w14:paraId="7E39B5BD" w14:textId="2EEDDC50" w:rsidR="005077F1" w:rsidRPr="005077F1" w:rsidRDefault="005077F1" w:rsidP="005077F1">
      <w:r>
        <w:t>Considering a</w:t>
      </w:r>
      <w:r w:rsidR="00D62204">
        <w:t>n</w:t>
      </w:r>
      <w:r>
        <w:t xml:space="preserve"> </w:t>
      </w:r>
      <w:r w:rsidR="00D559A8">
        <w:t>in-channel</w:t>
      </w:r>
      <w:r>
        <w:t xml:space="preserve"> aggressor was not one of the use cases as co-existence in same geographical area is not a requirement in-band, however in many previous out of band analysis the </w:t>
      </w:r>
      <w:proofErr w:type="gramStart"/>
      <w:r>
        <w:t>worst case</w:t>
      </w:r>
      <w:proofErr w:type="gramEnd"/>
      <w:r>
        <w:t xml:space="preserve"> assumption was used that antenna models would be the same as in-band. As such it is a useful check point when doing the statistical simulation work (none of the models are operating out of band or as harmonics etc)</w:t>
      </w:r>
      <w:r w:rsidR="00D559A8">
        <w:t>.</w:t>
      </w:r>
    </w:p>
    <w:p w14:paraId="43499D17" w14:textId="7AF7B9F4" w:rsidR="005077F1" w:rsidRDefault="005536B1" w:rsidP="000747F0">
      <w:r w:rsidRPr="005536B1">
        <w:rPr>
          <w:noProof/>
        </w:rPr>
        <w:drawing>
          <wp:inline distT="0" distB="0" distL="0" distR="0" wp14:anchorId="1EB4FE71" wp14:editId="3BED7328">
            <wp:extent cx="6646545" cy="260936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46545" cy="2609369"/>
                    </a:xfrm>
                    <a:prstGeom prst="rect">
                      <a:avLst/>
                    </a:prstGeom>
                    <a:noFill/>
                    <a:ln>
                      <a:noFill/>
                    </a:ln>
                  </pic:spPr>
                </pic:pic>
              </a:graphicData>
            </a:graphic>
          </wp:inline>
        </w:drawing>
      </w:r>
    </w:p>
    <w:p w14:paraId="3CC4C736" w14:textId="51E1943A" w:rsidR="00332FE7" w:rsidRDefault="00D62204" w:rsidP="000747F0">
      <w:r>
        <w:t>The dipole model is very similar to the standard element model at the fundamental frequency (as expected) however there is a clear difference between interference levels depending on the corelated and uncorrelated assumption, this difference is maintained at the 99% percentile.</w:t>
      </w:r>
    </w:p>
    <w:p w14:paraId="56005BF2" w14:textId="77777777" w:rsidR="00D4369F" w:rsidRDefault="00D4369F" w:rsidP="000747F0"/>
    <w:p w14:paraId="6485CB16" w14:textId="7629B81C" w:rsidR="00332FE7" w:rsidRDefault="00332FE7" w:rsidP="00AD2FC7">
      <w:pPr>
        <w:pStyle w:val="Heading4"/>
      </w:pPr>
      <w:r>
        <w:t>2.</w:t>
      </w:r>
      <w:r w:rsidR="00CB7AE6">
        <w:t>2</w:t>
      </w:r>
      <w:r>
        <w:t>.2.</w:t>
      </w:r>
      <w:r w:rsidR="0092288C">
        <w:t>2</w:t>
      </w:r>
      <w:r>
        <w:tab/>
        <w:t>2</w:t>
      </w:r>
      <w:r w:rsidRPr="00332FE7">
        <w:rPr>
          <w:vertAlign w:val="superscript"/>
        </w:rPr>
        <w:t>nd</w:t>
      </w:r>
      <w:r>
        <w:t xml:space="preserve"> Harmonic of 3.2GHz aggressor</w:t>
      </w:r>
    </w:p>
    <w:p w14:paraId="6D6F4B13" w14:textId="2C255D5F" w:rsidR="00332FE7" w:rsidRDefault="005536B1" w:rsidP="000747F0">
      <w:r w:rsidRPr="005536B1">
        <w:rPr>
          <w:noProof/>
        </w:rPr>
        <w:drawing>
          <wp:inline distT="0" distB="0" distL="0" distR="0" wp14:anchorId="350D9ED5" wp14:editId="7C420545">
            <wp:extent cx="6646545" cy="2488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6545" cy="2488360"/>
                    </a:xfrm>
                    <a:prstGeom prst="rect">
                      <a:avLst/>
                    </a:prstGeom>
                    <a:noFill/>
                    <a:ln>
                      <a:noFill/>
                    </a:ln>
                  </pic:spPr>
                </pic:pic>
              </a:graphicData>
            </a:graphic>
          </wp:inline>
        </w:drawing>
      </w:r>
    </w:p>
    <w:p w14:paraId="49C5E18D" w14:textId="3988FC37" w:rsidR="00332FE7" w:rsidRDefault="005E4413" w:rsidP="000747F0">
      <w:r>
        <w:t xml:space="preserve">Once again there </w:t>
      </w:r>
      <w:r w:rsidR="00D559A8">
        <w:t>i</w:t>
      </w:r>
      <w:r w:rsidR="005536B1">
        <w:t xml:space="preserve">s not a big </w:t>
      </w:r>
      <w:r>
        <w:t>difference between the dipole and the standard element model (at 1λ the dipole is still a single lobe)</w:t>
      </w:r>
      <w:r w:rsidR="005536B1">
        <w:t>, although the difference is somewhat exaggerated at the 99% point.</w:t>
      </w:r>
      <w:r>
        <w:t xml:space="preserve"> There is a similar difference between correlated and uncorrelated assumptions, however the delta is smaller than at the fundamental, it is also notable that at the high percentiles the results between correlated and uncorrelated start to converge and even start to cross over.</w:t>
      </w:r>
    </w:p>
    <w:p w14:paraId="11075EE9" w14:textId="57408F23" w:rsidR="0092288C" w:rsidRDefault="0092288C" w:rsidP="00AD2FC7">
      <w:pPr>
        <w:pStyle w:val="Heading4"/>
      </w:pPr>
      <w:r>
        <w:lastRenderedPageBreak/>
        <w:t>2.</w:t>
      </w:r>
      <w:r w:rsidR="00CB7AE6">
        <w:t>2</w:t>
      </w:r>
      <w:r>
        <w:t>.2.3</w:t>
      </w:r>
      <w:r>
        <w:tab/>
        <w:t>3</w:t>
      </w:r>
      <w:r w:rsidRPr="0092288C">
        <w:rPr>
          <w:vertAlign w:val="superscript"/>
        </w:rPr>
        <w:t>rd</w:t>
      </w:r>
      <w:r>
        <w:t xml:space="preserve"> Harmonic of 2.1 GHz aggressor</w:t>
      </w:r>
    </w:p>
    <w:p w14:paraId="4E363748" w14:textId="11228CB9" w:rsidR="00332FE7" w:rsidRDefault="005536B1" w:rsidP="000747F0">
      <w:r w:rsidRPr="005536B1">
        <w:rPr>
          <w:noProof/>
        </w:rPr>
        <w:drawing>
          <wp:inline distT="0" distB="0" distL="0" distR="0" wp14:anchorId="725B24FE" wp14:editId="36EA5BC1">
            <wp:extent cx="6646545" cy="25601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46545" cy="2560112"/>
                    </a:xfrm>
                    <a:prstGeom prst="rect">
                      <a:avLst/>
                    </a:prstGeom>
                    <a:noFill/>
                    <a:ln>
                      <a:noFill/>
                    </a:ln>
                  </pic:spPr>
                </pic:pic>
              </a:graphicData>
            </a:graphic>
          </wp:inline>
        </w:drawing>
      </w:r>
    </w:p>
    <w:p w14:paraId="2A261A0B" w14:textId="1CF3DA7E" w:rsidR="005077F1" w:rsidRDefault="005E4413" w:rsidP="000747F0">
      <w:proofErr w:type="gramStart"/>
      <w:r>
        <w:t>Again</w:t>
      </w:r>
      <w:proofErr w:type="gramEnd"/>
      <w:r>
        <w:t xml:space="preserve"> surprisingly little difference between the standard model and the dipole responses, this implies that in the direction of the victim BS the responses are similar.</w:t>
      </w:r>
      <w:r w:rsidR="005536B1">
        <w:t xml:space="preserve"> As with the 3.2GHz case they start to diverge a bit at the 99% point.</w:t>
      </w:r>
    </w:p>
    <w:p w14:paraId="48AB6ACD" w14:textId="77777777" w:rsidR="005E4413" w:rsidRDefault="005E4413" w:rsidP="005E4413">
      <w:proofErr w:type="gramStart"/>
      <w:r>
        <w:t>Similarly</w:t>
      </w:r>
      <w:proofErr w:type="gramEnd"/>
      <w:r>
        <w:t xml:space="preserve"> to the 2</w:t>
      </w:r>
      <w:r w:rsidRPr="005E4413">
        <w:rPr>
          <w:vertAlign w:val="superscript"/>
        </w:rPr>
        <w:t>nd</w:t>
      </w:r>
      <w:r>
        <w:t xml:space="preserve"> harmonic response the corelated and uncorrelated results converge at the high percentiles and also cross over at some point.</w:t>
      </w:r>
    </w:p>
    <w:p w14:paraId="7FE14368" w14:textId="6E12D4B5" w:rsidR="00AD2FC7" w:rsidRDefault="00AD2FC7" w:rsidP="0092288C">
      <w:r>
        <w:t>Looking at all the results together:</w:t>
      </w:r>
      <w:r w:rsidR="005536B1">
        <w:t xml:space="preserve"> </w:t>
      </w:r>
    </w:p>
    <w:tbl>
      <w:tblPr>
        <w:tblW w:w="0" w:type="auto"/>
        <w:jc w:val="center"/>
        <w:tblLook w:val="04A0" w:firstRow="1" w:lastRow="0" w:firstColumn="1" w:lastColumn="0" w:noHBand="0" w:noVBand="1"/>
      </w:tblPr>
      <w:tblGrid>
        <w:gridCol w:w="2453"/>
        <w:gridCol w:w="695"/>
        <w:gridCol w:w="1553"/>
        <w:gridCol w:w="1328"/>
        <w:gridCol w:w="673"/>
        <w:gridCol w:w="1328"/>
        <w:gridCol w:w="673"/>
      </w:tblGrid>
      <w:tr w:rsidR="005536B1" w:rsidRPr="005536B1" w14:paraId="69520BB5" w14:textId="77777777" w:rsidTr="007D2C64">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7F92C"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22"/>
                <w:szCs w:val="22"/>
              </w:rPr>
            </w:pPr>
            <w:r w:rsidRPr="005536B1">
              <w:rPr>
                <w:rFonts w:ascii="Calibri" w:hAnsi="Calibri" w:cs="Calibri"/>
                <w:color w:val="000000"/>
                <w:sz w:val="22"/>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55ECC13"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22"/>
                <w:szCs w:val="22"/>
              </w:rPr>
            </w:pPr>
            <w:r w:rsidRPr="005536B1">
              <w:rPr>
                <w:rFonts w:ascii="Calibri" w:hAnsi="Calibri" w:cs="Calibri"/>
                <w:color w:val="000000"/>
                <w:sz w:val="22"/>
                <w:szCs w:val="22"/>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C7CC7F"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Coupling Loss (dB)</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BFCE493" w14:textId="77777777" w:rsidR="005536B1" w:rsidRPr="005536B1" w:rsidRDefault="005536B1" w:rsidP="005536B1">
            <w:pPr>
              <w:overflowPunct/>
              <w:autoSpaceDE/>
              <w:autoSpaceDN/>
              <w:adjustRightInd/>
              <w:spacing w:after="0"/>
              <w:textAlignment w:val="auto"/>
              <w:rPr>
                <w:rFonts w:ascii="Calibri" w:hAnsi="Calibri" w:cs="Calibri"/>
                <w:color w:val="000000"/>
                <w:sz w:val="18"/>
                <w:szCs w:val="18"/>
              </w:rPr>
            </w:pPr>
            <w:r w:rsidRPr="005536B1">
              <w:rPr>
                <w:rFonts w:ascii="Calibri" w:hAnsi="Calibri" w:cs="Calibri"/>
                <w:color w:val="000000"/>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FD9BD56" w14:textId="77777777" w:rsidR="005536B1" w:rsidRPr="005536B1" w:rsidRDefault="005536B1" w:rsidP="005536B1">
            <w:pPr>
              <w:overflowPunct/>
              <w:autoSpaceDE/>
              <w:autoSpaceDN/>
              <w:adjustRightInd/>
              <w:spacing w:after="0"/>
              <w:textAlignment w:val="auto"/>
              <w:rPr>
                <w:rFonts w:ascii="Calibri" w:hAnsi="Calibri" w:cs="Calibri"/>
                <w:color w:val="000000"/>
                <w:sz w:val="18"/>
                <w:szCs w:val="18"/>
              </w:rPr>
            </w:pPr>
            <w:r w:rsidRPr="005536B1">
              <w:rPr>
                <w:rFonts w:ascii="Calibri" w:hAnsi="Calibri" w:cs="Calibri"/>
                <w:color w:val="000000"/>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F414F3B" w14:textId="77777777" w:rsidR="005536B1" w:rsidRPr="005536B1" w:rsidRDefault="005536B1" w:rsidP="005536B1">
            <w:pPr>
              <w:overflowPunct/>
              <w:autoSpaceDE/>
              <w:autoSpaceDN/>
              <w:adjustRightInd/>
              <w:spacing w:after="0"/>
              <w:textAlignment w:val="auto"/>
              <w:rPr>
                <w:rFonts w:ascii="Calibri" w:hAnsi="Calibri" w:cs="Calibri"/>
                <w:color w:val="000000"/>
                <w:sz w:val="18"/>
                <w:szCs w:val="18"/>
              </w:rPr>
            </w:pPr>
            <w:r w:rsidRPr="005536B1">
              <w:rPr>
                <w:rFonts w:ascii="Calibri" w:hAnsi="Calibri" w:cs="Calibri"/>
                <w:color w:val="000000"/>
                <w:sz w:val="18"/>
                <w:szCs w:val="18"/>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7894CBE"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 </w:t>
            </w:r>
          </w:p>
        </w:tc>
      </w:tr>
      <w:tr w:rsidR="005536B1" w:rsidRPr="005536B1" w14:paraId="55ECE74B" w14:textId="77777777" w:rsidTr="007D2C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8142C" w14:textId="77777777" w:rsidR="005536B1" w:rsidRPr="005536B1" w:rsidRDefault="005536B1" w:rsidP="005536B1">
            <w:pPr>
              <w:overflowPunct/>
              <w:autoSpaceDE/>
              <w:autoSpaceDN/>
              <w:adjustRightInd/>
              <w:spacing w:after="0"/>
              <w:textAlignment w:val="auto"/>
              <w:rPr>
                <w:rFonts w:ascii="Calibri" w:hAnsi="Calibri" w:cs="Calibri"/>
                <w:color w:val="000000"/>
                <w:sz w:val="22"/>
                <w:szCs w:val="22"/>
              </w:rPr>
            </w:pPr>
          </w:p>
        </w:tc>
        <w:tc>
          <w:tcPr>
            <w:tcW w:w="0" w:type="auto"/>
            <w:tcBorders>
              <w:top w:val="nil"/>
              <w:left w:val="nil"/>
              <w:bottom w:val="single" w:sz="4" w:space="0" w:color="auto"/>
              <w:right w:val="single" w:sz="4" w:space="0" w:color="auto"/>
            </w:tcBorders>
            <w:shd w:val="clear" w:color="auto" w:fill="auto"/>
            <w:noWrap/>
            <w:vAlign w:val="bottom"/>
            <w:hideMark/>
          </w:tcPr>
          <w:p w14:paraId="644A814C"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22"/>
                <w:szCs w:val="22"/>
              </w:rPr>
            </w:pPr>
            <w:r w:rsidRPr="005536B1">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194F2BFC"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MCL</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0D572131"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99th Percentile</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62A10295"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Worst case</w:t>
            </w:r>
          </w:p>
        </w:tc>
      </w:tr>
      <w:tr w:rsidR="005536B1" w:rsidRPr="005536B1" w14:paraId="5C8C6E13" w14:textId="77777777" w:rsidTr="007D2C64">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207ED" w14:textId="77777777" w:rsidR="005536B1" w:rsidRPr="005536B1" w:rsidRDefault="005536B1" w:rsidP="005536B1">
            <w:pPr>
              <w:overflowPunct/>
              <w:autoSpaceDE/>
              <w:autoSpaceDN/>
              <w:adjustRightInd/>
              <w:spacing w:after="0"/>
              <w:textAlignment w:val="auto"/>
              <w:rPr>
                <w:rFonts w:ascii="Calibri" w:hAnsi="Calibri" w:cs="Calibri"/>
                <w:color w:val="000000"/>
                <w:sz w:val="22"/>
                <w:szCs w:val="22"/>
              </w:rPr>
            </w:pPr>
          </w:p>
        </w:tc>
        <w:tc>
          <w:tcPr>
            <w:tcW w:w="0" w:type="auto"/>
            <w:tcBorders>
              <w:top w:val="nil"/>
              <w:left w:val="nil"/>
              <w:bottom w:val="single" w:sz="4" w:space="0" w:color="auto"/>
              <w:right w:val="single" w:sz="4" w:space="0" w:color="auto"/>
            </w:tcBorders>
            <w:shd w:val="clear" w:color="auto" w:fill="auto"/>
            <w:noWrap/>
            <w:vAlign w:val="bottom"/>
            <w:hideMark/>
          </w:tcPr>
          <w:p w14:paraId="3DA70D94"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22"/>
                <w:szCs w:val="22"/>
              </w:rPr>
            </w:pPr>
            <w:r w:rsidRPr="005536B1">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hideMark/>
          </w:tcPr>
          <w:p w14:paraId="4CC0B19E"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FSPL</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176AE5D9"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Pathloss model</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7B007B70"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Pathloss model</w:t>
            </w:r>
          </w:p>
        </w:tc>
      </w:tr>
      <w:tr w:rsidR="005536B1" w:rsidRPr="005536B1" w14:paraId="7A44F34C" w14:textId="77777777" w:rsidTr="007D2C64">
        <w:trPr>
          <w:trHeight w:val="4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7A872" w14:textId="77777777" w:rsidR="005536B1" w:rsidRPr="005536B1" w:rsidRDefault="005536B1" w:rsidP="005536B1">
            <w:pPr>
              <w:overflowPunct/>
              <w:autoSpaceDE/>
              <w:autoSpaceDN/>
              <w:adjustRightInd/>
              <w:spacing w:after="0"/>
              <w:textAlignment w:val="auto"/>
              <w:rPr>
                <w:rFonts w:ascii="Calibri" w:hAnsi="Calibri" w:cs="Calibri"/>
                <w:color w:val="000000"/>
                <w:sz w:val="22"/>
                <w:szCs w:val="22"/>
              </w:rPr>
            </w:pPr>
          </w:p>
        </w:tc>
        <w:tc>
          <w:tcPr>
            <w:tcW w:w="0" w:type="auto"/>
            <w:tcBorders>
              <w:top w:val="nil"/>
              <w:left w:val="nil"/>
              <w:bottom w:val="single" w:sz="4" w:space="0" w:color="auto"/>
              <w:right w:val="single" w:sz="4" w:space="0" w:color="auto"/>
            </w:tcBorders>
            <w:shd w:val="clear" w:color="auto" w:fill="auto"/>
            <w:noWrap/>
            <w:vAlign w:val="bottom"/>
            <w:hideMark/>
          </w:tcPr>
          <w:p w14:paraId="2DB5D337"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22"/>
                <w:szCs w:val="22"/>
              </w:rPr>
            </w:pPr>
            <w:r w:rsidRPr="005536B1">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auto" w:fill="auto"/>
            <w:vAlign w:val="bottom"/>
            <w:hideMark/>
          </w:tcPr>
          <w:p w14:paraId="3374A87E"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dipole</w:t>
            </w:r>
          </w:p>
        </w:tc>
        <w:tc>
          <w:tcPr>
            <w:tcW w:w="0" w:type="auto"/>
            <w:tcBorders>
              <w:top w:val="nil"/>
              <w:left w:val="nil"/>
              <w:bottom w:val="single" w:sz="4" w:space="0" w:color="auto"/>
              <w:right w:val="single" w:sz="4" w:space="0" w:color="auto"/>
            </w:tcBorders>
            <w:shd w:val="clear" w:color="auto" w:fill="auto"/>
            <w:vAlign w:val="bottom"/>
            <w:hideMark/>
          </w:tcPr>
          <w:p w14:paraId="1D70B681"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Element model</w:t>
            </w:r>
          </w:p>
        </w:tc>
        <w:tc>
          <w:tcPr>
            <w:tcW w:w="0" w:type="auto"/>
            <w:tcBorders>
              <w:top w:val="nil"/>
              <w:left w:val="nil"/>
              <w:bottom w:val="single" w:sz="4" w:space="0" w:color="auto"/>
              <w:right w:val="single" w:sz="4" w:space="0" w:color="auto"/>
            </w:tcBorders>
            <w:shd w:val="clear" w:color="auto" w:fill="auto"/>
            <w:vAlign w:val="bottom"/>
            <w:hideMark/>
          </w:tcPr>
          <w:p w14:paraId="08162658"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dipole</w:t>
            </w:r>
          </w:p>
        </w:tc>
        <w:tc>
          <w:tcPr>
            <w:tcW w:w="0" w:type="auto"/>
            <w:tcBorders>
              <w:top w:val="nil"/>
              <w:left w:val="nil"/>
              <w:bottom w:val="single" w:sz="4" w:space="0" w:color="auto"/>
              <w:right w:val="single" w:sz="4" w:space="0" w:color="auto"/>
            </w:tcBorders>
            <w:shd w:val="clear" w:color="auto" w:fill="auto"/>
            <w:vAlign w:val="bottom"/>
            <w:hideMark/>
          </w:tcPr>
          <w:p w14:paraId="54C9A947"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Element model</w:t>
            </w:r>
          </w:p>
        </w:tc>
        <w:tc>
          <w:tcPr>
            <w:tcW w:w="0" w:type="auto"/>
            <w:tcBorders>
              <w:top w:val="nil"/>
              <w:left w:val="nil"/>
              <w:bottom w:val="single" w:sz="4" w:space="0" w:color="auto"/>
              <w:right w:val="single" w:sz="4" w:space="0" w:color="auto"/>
            </w:tcBorders>
            <w:shd w:val="clear" w:color="auto" w:fill="auto"/>
            <w:vAlign w:val="bottom"/>
            <w:hideMark/>
          </w:tcPr>
          <w:p w14:paraId="576FE22E"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dipole</w:t>
            </w:r>
          </w:p>
        </w:tc>
      </w:tr>
      <w:tr w:rsidR="005536B1" w:rsidRPr="005536B1" w14:paraId="3AB42314" w14:textId="77777777" w:rsidTr="007D2C64">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2369CBA"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22"/>
                <w:szCs w:val="22"/>
              </w:rPr>
            </w:pPr>
            <w:r w:rsidRPr="005536B1">
              <w:rPr>
                <w:rFonts w:ascii="Calibri" w:hAnsi="Calibri" w:cs="Calibri"/>
                <w:color w:val="000000"/>
                <w:sz w:val="22"/>
                <w:szCs w:val="22"/>
              </w:rPr>
              <w:t>Tx 2.1GHz AAS @ 6.4GHz</w:t>
            </w:r>
          </w:p>
        </w:tc>
        <w:tc>
          <w:tcPr>
            <w:tcW w:w="0" w:type="auto"/>
            <w:tcBorders>
              <w:top w:val="nil"/>
              <w:left w:val="nil"/>
              <w:bottom w:val="single" w:sz="4" w:space="0" w:color="auto"/>
              <w:right w:val="single" w:sz="4" w:space="0" w:color="auto"/>
            </w:tcBorders>
            <w:shd w:val="clear" w:color="auto" w:fill="auto"/>
            <w:vAlign w:val="bottom"/>
            <w:hideMark/>
          </w:tcPr>
          <w:p w14:paraId="4427579F"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proofErr w:type="spellStart"/>
            <w:r w:rsidRPr="005536B1">
              <w:rPr>
                <w:rFonts w:ascii="Calibri" w:hAnsi="Calibri" w:cs="Calibri"/>
                <w:color w:val="000000"/>
                <w:sz w:val="18"/>
                <w:szCs w:val="18"/>
              </w:rPr>
              <w:t>cor</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3459569D"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68.9</w:t>
            </w:r>
          </w:p>
        </w:tc>
        <w:tc>
          <w:tcPr>
            <w:tcW w:w="0" w:type="auto"/>
            <w:tcBorders>
              <w:top w:val="nil"/>
              <w:left w:val="nil"/>
              <w:bottom w:val="single" w:sz="4" w:space="0" w:color="auto"/>
              <w:right w:val="single" w:sz="4" w:space="0" w:color="auto"/>
            </w:tcBorders>
            <w:shd w:val="clear" w:color="auto" w:fill="auto"/>
            <w:noWrap/>
            <w:vAlign w:val="bottom"/>
            <w:hideMark/>
          </w:tcPr>
          <w:p w14:paraId="625C956E"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79</w:t>
            </w:r>
          </w:p>
        </w:tc>
        <w:tc>
          <w:tcPr>
            <w:tcW w:w="0" w:type="auto"/>
            <w:tcBorders>
              <w:top w:val="nil"/>
              <w:left w:val="nil"/>
              <w:bottom w:val="single" w:sz="4" w:space="0" w:color="auto"/>
              <w:right w:val="single" w:sz="4" w:space="0" w:color="auto"/>
            </w:tcBorders>
            <w:shd w:val="clear" w:color="auto" w:fill="auto"/>
            <w:noWrap/>
            <w:vAlign w:val="bottom"/>
            <w:hideMark/>
          </w:tcPr>
          <w:p w14:paraId="14DD9958"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81.5</w:t>
            </w:r>
          </w:p>
        </w:tc>
        <w:tc>
          <w:tcPr>
            <w:tcW w:w="0" w:type="auto"/>
            <w:tcBorders>
              <w:top w:val="nil"/>
              <w:left w:val="nil"/>
              <w:bottom w:val="single" w:sz="4" w:space="0" w:color="auto"/>
              <w:right w:val="single" w:sz="4" w:space="0" w:color="auto"/>
            </w:tcBorders>
            <w:shd w:val="clear" w:color="auto" w:fill="auto"/>
            <w:noWrap/>
            <w:vAlign w:val="bottom"/>
            <w:hideMark/>
          </w:tcPr>
          <w:p w14:paraId="14508C87"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52.2</w:t>
            </w:r>
          </w:p>
        </w:tc>
        <w:tc>
          <w:tcPr>
            <w:tcW w:w="0" w:type="auto"/>
            <w:tcBorders>
              <w:top w:val="nil"/>
              <w:left w:val="nil"/>
              <w:bottom w:val="single" w:sz="4" w:space="0" w:color="auto"/>
              <w:right w:val="single" w:sz="4" w:space="0" w:color="auto"/>
            </w:tcBorders>
            <w:shd w:val="clear" w:color="auto" w:fill="auto"/>
            <w:noWrap/>
            <w:vAlign w:val="bottom"/>
            <w:hideMark/>
          </w:tcPr>
          <w:p w14:paraId="712BDC6D"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53.2</w:t>
            </w:r>
          </w:p>
        </w:tc>
      </w:tr>
      <w:tr w:rsidR="005536B1" w:rsidRPr="005536B1" w14:paraId="711D797A" w14:textId="77777777" w:rsidTr="007D2C64">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2BB29C3F" w14:textId="77777777" w:rsidR="005536B1" w:rsidRPr="005536B1" w:rsidRDefault="005536B1" w:rsidP="005536B1">
            <w:pPr>
              <w:overflowPunct/>
              <w:autoSpaceDE/>
              <w:autoSpaceDN/>
              <w:adjustRightInd/>
              <w:spacing w:after="0"/>
              <w:textAlignment w:val="auto"/>
              <w:rPr>
                <w:rFonts w:ascii="Calibri" w:hAnsi="Calibri" w:cs="Calibri"/>
                <w:color w:val="000000"/>
                <w:sz w:val="22"/>
                <w:szCs w:val="22"/>
              </w:rPr>
            </w:pPr>
          </w:p>
        </w:tc>
        <w:tc>
          <w:tcPr>
            <w:tcW w:w="0" w:type="auto"/>
            <w:tcBorders>
              <w:top w:val="nil"/>
              <w:left w:val="nil"/>
              <w:bottom w:val="single" w:sz="4" w:space="0" w:color="auto"/>
              <w:right w:val="single" w:sz="4" w:space="0" w:color="auto"/>
            </w:tcBorders>
            <w:shd w:val="clear" w:color="auto" w:fill="auto"/>
            <w:vAlign w:val="bottom"/>
            <w:hideMark/>
          </w:tcPr>
          <w:p w14:paraId="7E20D887"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un-</w:t>
            </w:r>
            <w:proofErr w:type="spellStart"/>
            <w:r w:rsidRPr="005536B1">
              <w:rPr>
                <w:rFonts w:ascii="Calibri" w:hAnsi="Calibri" w:cs="Calibri"/>
                <w:color w:val="000000"/>
                <w:sz w:val="18"/>
                <w:szCs w:val="18"/>
              </w:rPr>
              <w:t>cor</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4D1FA35C"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84.2</w:t>
            </w:r>
          </w:p>
        </w:tc>
        <w:tc>
          <w:tcPr>
            <w:tcW w:w="0" w:type="auto"/>
            <w:tcBorders>
              <w:top w:val="nil"/>
              <w:left w:val="nil"/>
              <w:bottom w:val="single" w:sz="4" w:space="0" w:color="auto"/>
              <w:right w:val="single" w:sz="4" w:space="0" w:color="auto"/>
            </w:tcBorders>
            <w:shd w:val="clear" w:color="auto" w:fill="auto"/>
            <w:noWrap/>
            <w:vAlign w:val="bottom"/>
            <w:hideMark/>
          </w:tcPr>
          <w:p w14:paraId="51CAE50D"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74.5</w:t>
            </w:r>
          </w:p>
        </w:tc>
        <w:tc>
          <w:tcPr>
            <w:tcW w:w="0" w:type="auto"/>
            <w:tcBorders>
              <w:top w:val="nil"/>
              <w:left w:val="nil"/>
              <w:bottom w:val="single" w:sz="4" w:space="0" w:color="auto"/>
              <w:right w:val="single" w:sz="4" w:space="0" w:color="auto"/>
            </w:tcBorders>
            <w:shd w:val="clear" w:color="auto" w:fill="auto"/>
            <w:noWrap/>
            <w:vAlign w:val="bottom"/>
            <w:hideMark/>
          </w:tcPr>
          <w:p w14:paraId="6FC1FB63"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77.5</w:t>
            </w:r>
          </w:p>
        </w:tc>
        <w:tc>
          <w:tcPr>
            <w:tcW w:w="0" w:type="auto"/>
            <w:tcBorders>
              <w:top w:val="nil"/>
              <w:left w:val="nil"/>
              <w:bottom w:val="single" w:sz="4" w:space="0" w:color="auto"/>
              <w:right w:val="single" w:sz="4" w:space="0" w:color="auto"/>
            </w:tcBorders>
            <w:shd w:val="clear" w:color="auto" w:fill="auto"/>
            <w:noWrap/>
            <w:vAlign w:val="bottom"/>
            <w:hideMark/>
          </w:tcPr>
          <w:p w14:paraId="7FD5F2BB"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58.4</w:t>
            </w:r>
          </w:p>
        </w:tc>
        <w:tc>
          <w:tcPr>
            <w:tcW w:w="0" w:type="auto"/>
            <w:tcBorders>
              <w:top w:val="nil"/>
              <w:left w:val="nil"/>
              <w:bottom w:val="single" w:sz="4" w:space="0" w:color="auto"/>
              <w:right w:val="single" w:sz="4" w:space="0" w:color="auto"/>
            </w:tcBorders>
            <w:shd w:val="clear" w:color="auto" w:fill="auto"/>
            <w:noWrap/>
            <w:vAlign w:val="bottom"/>
            <w:hideMark/>
          </w:tcPr>
          <w:p w14:paraId="4DCDF42E"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55</w:t>
            </w:r>
          </w:p>
        </w:tc>
      </w:tr>
      <w:tr w:rsidR="005536B1" w:rsidRPr="005536B1" w14:paraId="5F00F3D8" w14:textId="77777777" w:rsidTr="007D2C64">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2CA2553"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22"/>
                <w:szCs w:val="22"/>
              </w:rPr>
            </w:pPr>
            <w:r w:rsidRPr="005536B1">
              <w:rPr>
                <w:rFonts w:ascii="Calibri" w:hAnsi="Calibri" w:cs="Calibri"/>
                <w:color w:val="000000"/>
                <w:sz w:val="22"/>
                <w:szCs w:val="22"/>
              </w:rPr>
              <w:t>Tx 3.2GHz AAS @ 6.4GHz</w:t>
            </w:r>
          </w:p>
        </w:tc>
        <w:tc>
          <w:tcPr>
            <w:tcW w:w="0" w:type="auto"/>
            <w:tcBorders>
              <w:top w:val="nil"/>
              <w:left w:val="nil"/>
              <w:bottom w:val="single" w:sz="4" w:space="0" w:color="auto"/>
              <w:right w:val="single" w:sz="4" w:space="0" w:color="auto"/>
            </w:tcBorders>
            <w:shd w:val="clear" w:color="auto" w:fill="auto"/>
            <w:vAlign w:val="bottom"/>
            <w:hideMark/>
          </w:tcPr>
          <w:p w14:paraId="7006991F"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proofErr w:type="spellStart"/>
            <w:r w:rsidRPr="005536B1">
              <w:rPr>
                <w:rFonts w:ascii="Calibri" w:hAnsi="Calibri" w:cs="Calibri"/>
                <w:color w:val="000000"/>
                <w:sz w:val="18"/>
                <w:szCs w:val="18"/>
              </w:rPr>
              <w:t>cor</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482D2E67"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85.3</w:t>
            </w:r>
          </w:p>
        </w:tc>
        <w:tc>
          <w:tcPr>
            <w:tcW w:w="0" w:type="auto"/>
            <w:tcBorders>
              <w:top w:val="nil"/>
              <w:left w:val="nil"/>
              <w:bottom w:val="single" w:sz="4" w:space="0" w:color="auto"/>
              <w:right w:val="single" w:sz="4" w:space="0" w:color="auto"/>
            </w:tcBorders>
            <w:shd w:val="clear" w:color="auto" w:fill="auto"/>
            <w:noWrap/>
            <w:vAlign w:val="bottom"/>
            <w:hideMark/>
          </w:tcPr>
          <w:p w14:paraId="0859EDE1"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80.5</w:t>
            </w:r>
          </w:p>
        </w:tc>
        <w:tc>
          <w:tcPr>
            <w:tcW w:w="0" w:type="auto"/>
            <w:tcBorders>
              <w:top w:val="nil"/>
              <w:left w:val="nil"/>
              <w:bottom w:val="single" w:sz="4" w:space="0" w:color="auto"/>
              <w:right w:val="single" w:sz="4" w:space="0" w:color="auto"/>
            </w:tcBorders>
            <w:shd w:val="clear" w:color="auto" w:fill="auto"/>
            <w:noWrap/>
            <w:vAlign w:val="bottom"/>
            <w:hideMark/>
          </w:tcPr>
          <w:p w14:paraId="7D0776A6"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75</w:t>
            </w:r>
          </w:p>
        </w:tc>
        <w:tc>
          <w:tcPr>
            <w:tcW w:w="0" w:type="auto"/>
            <w:tcBorders>
              <w:top w:val="nil"/>
              <w:left w:val="nil"/>
              <w:bottom w:val="single" w:sz="4" w:space="0" w:color="auto"/>
              <w:right w:val="single" w:sz="4" w:space="0" w:color="auto"/>
            </w:tcBorders>
            <w:shd w:val="clear" w:color="auto" w:fill="auto"/>
            <w:noWrap/>
            <w:vAlign w:val="bottom"/>
            <w:hideMark/>
          </w:tcPr>
          <w:p w14:paraId="225FBB10"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60</w:t>
            </w:r>
          </w:p>
        </w:tc>
        <w:tc>
          <w:tcPr>
            <w:tcW w:w="0" w:type="auto"/>
            <w:tcBorders>
              <w:top w:val="nil"/>
              <w:left w:val="nil"/>
              <w:bottom w:val="single" w:sz="4" w:space="0" w:color="auto"/>
              <w:right w:val="single" w:sz="4" w:space="0" w:color="auto"/>
            </w:tcBorders>
            <w:shd w:val="clear" w:color="auto" w:fill="auto"/>
            <w:noWrap/>
            <w:vAlign w:val="bottom"/>
            <w:hideMark/>
          </w:tcPr>
          <w:p w14:paraId="4D9818EC"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47.5</w:t>
            </w:r>
          </w:p>
        </w:tc>
      </w:tr>
      <w:tr w:rsidR="005536B1" w:rsidRPr="005536B1" w14:paraId="3A009EC9" w14:textId="77777777" w:rsidTr="007D2C64">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429784B4" w14:textId="77777777" w:rsidR="005536B1" w:rsidRPr="005536B1" w:rsidRDefault="005536B1" w:rsidP="005536B1">
            <w:pPr>
              <w:overflowPunct/>
              <w:autoSpaceDE/>
              <w:autoSpaceDN/>
              <w:adjustRightInd/>
              <w:spacing w:after="0"/>
              <w:textAlignment w:val="auto"/>
              <w:rPr>
                <w:rFonts w:ascii="Calibri" w:hAnsi="Calibri" w:cs="Calibri"/>
                <w:color w:val="000000"/>
                <w:sz w:val="22"/>
                <w:szCs w:val="22"/>
              </w:rPr>
            </w:pPr>
          </w:p>
        </w:tc>
        <w:tc>
          <w:tcPr>
            <w:tcW w:w="0" w:type="auto"/>
            <w:tcBorders>
              <w:top w:val="nil"/>
              <w:left w:val="nil"/>
              <w:bottom w:val="single" w:sz="4" w:space="0" w:color="auto"/>
              <w:right w:val="single" w:sz="4" w:space="0" w:color="auto"/>
            </w:tcBorders>
            <w:shd w:val="clear" w:color="auto" w:fill="auto"/>
            <w:vAlign w:val="bottom"/>
            <w:hideMark/>
          </w:tcPr>
          <w:p w14:paraId="49CAC20F"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un-</w:t>
            </w:r>
            <w:proofErr w:type="spellStart"/>
            <w:r w:rsidRPr="005536B1">
              <w:rPr>
                <w:rFonts w:ascii="Calibri" w:hAnsi="Calibri" w:cs="Calibri"/>
                <w:color w:val="000000"/>
                <w:sz w:val="18"/>
                <w:szCs w:val="18"/>
              </w:rPr>
              <w:t>cor</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02839D08"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103.6</w:t>
            </w:r>
          </w:p>
        </w:tc>
        <w:tc>
          <w:tcPr>
            <w:tcW w:w="0" w:type="auto"/>
            <w:tcBorders>
              <w:top w:val="nil"/>
              <w:left w:val="nil"/>
              <w:bottom w:val="single" w:sz="4" w:space="0" w:color="auto"/>
              <w:right w:val="single" w:sz="4" w:space="0" w:color="auto"/>
            </w:tcBorders>
            <w:shd w:val="clear" w:color="auto" w:fill="auto"/>
            <w:noWrap/>
            <w:vAlign w:val="bottom"/>
            <w:hideMark/>
          </w:tcPr>
          <w:p w14:paraId="0E2BFEBF"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75</w:t>
            </w:r>
          </w:p>
        </w:tc>
        <w:tc>
          <w:tcPr>
            <w:tcW w:w="0" w:type="auto"/>
            <w:tcBorders>
              <w:top w:val="nil"/>
              <w:left w:val="nil"/>
              <w:bottom w:val="single" w:sz="4" w:space="0" w:color="auto"/>
              <w:right w:val="single" w:sz="4" w:space="0" w:color="auto"/>
            </w:tcBorders>
            <w:shd w:val="clear" w:color="auto" w:fill="auto"/>
            <w:noWrap/>
            <w:vAlign w:val="bottom"/>
            <w:hideMark/>
          </w:tcPr>
          <w:p w14:paraId="48D899C4"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70.5</w:t>
            </w:r>
          </w:p>
        </w:tc>
        <w:tc>
          <w:tcPr>
            <w:tcW w:w="0" w:type="auto"/>
            <w:tcBorders>
              <w:top w:val="nil"/>
              <w:left w:val="nil"/>
              <w:bottom w:val="single" w:sz="4" w:space="0" w:color="auto"/>
              <w:right w:val="single" w:sz="4" w:space="0" w:color="auto"/>
            </w:tcBorders>
            <w:shd w:val="clear" w:color="auto" w:fill="auto"/>
            <w:noWrap/>
            <w:vAlign w:val="bottom"/>
            <w:hideMark/>
          </w:tcPr>
          <w:p w14:paraId="388FBD69"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54.3</w:t>
            </w:r>
          </w:p>
        </w:tc>
        <w:tc>
          <w:tcPr>
            <w:tcW w:w="0" w:type="auto"/>
            <w:tcBorders>
              <w:top w:val="nil"/>
              <w:left w:val="nil"/>
              <w:bottom w:val="single" w:sz="4" w:space="0" w:color="auto"/>
              <w:right w:val="single" w:sz="4" w:space="0" w:color="auto"/>
            </w:tcBorders>
            <w:shd w:val="clear" w:color="auto" w:fill="auto"/>
            <w:noWrap/>
            <w:vAlign w:val="bottom"/>
            <w:hideMark/>
          </w:tcPr>
          <w:p w14:paraId="7D622A60"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44.9</w:t>
            </w:r>
          </w:p>
        </w:tc>
      </w:tr>
      <w:tr w:rsidR="005536B1" w:rsidRPr="005536B1" w14:paraId="1043BBFC" w14:textId="77777777" w:rsidTr="007D2C64">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4D84CE0"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22"/>
                <w:szCs w:val="22"/>
              </w:rPr>
            </w:pPr>
            <w:r w:rsidRPr="005536B1">
              <w:rPr>
                <w:rFonts w:ascii="Calibri" w:hAnsi="Calibri" w:cs="Calibri"/>
                <w:color w:val="000000"/>
                <w:sz w:val="22"/>
                <w:szCs w:val="22"/>
              </w:rPr>
              <w:t>Tx 6.4z AAS @ 6.4GHz</w:t>
            </w:r>
          </w:p>
        </w:tc>
        <w:tc>
          <w:tcPr>
            <w:tcW w:w="0" w:type="auto"/>
            <w:tcBorders>
              <w:top w:val="nil"/>
              <w:left w:val="nil"/>
              <w:bottom w:val="single" w:sz="4" w:space="0" w:color="auto"/>
              <w:right w:val="single" w:sz="4" w:space="0" w:color="auto"/>
            </w:tcBorders>
            <w:shd w:val="clear" w:color="auto" w:fill="auto"/>
            <w:vAlign w:val="bottom"/>
            <w:hideMark/>
          </w:tcPr>
          <w:p w14:paraId="390A0EA2"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proofErr w:type="spellStart"/>
            <w:r w:rsidRPr="005536B1">
              <w:rPr>
                <w:rFonts w:ascii="Calibri" w:hAnsi="Calibri" w:cs="Calibri"/>
                <w:color w:val="000000"/>
                <w:sz w:val="18"/>
                <w:szCs w:val="18"/>
              </w:rPr>
              <w:t>cor</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51E02DD9"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x</w:t>
            </w:r>
          </w:p>
        </w:tc>
        <w:tc>
          <w:tcPr>
            <w:tcW w:w="0" w:type="auto"/>
            <w:tcBorders>
              <w:top w:val="nil"/>
              <w:left w:val="nil"/>
              <w:bottom w:val="single" w:sz="4" w:space="0" w:color="auto"/>
              <w:right w:val="single" w:sz="4" w:space="0" w:color="auto"/>
            </w:tcBorders>
            <w:shd w:val="clear" w:color="auto" w:fill="auto"/>
            <w:noWrap/>
            <w:vAlign w:val="bottom"/>
            <w:hideMark/>
          </w:tcPr>
          <w:p w14:paraId="204BC53C"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91.5</w:t>
            </w:r>
          </w:p>
        </w:tc>
        <w:tc>
          <w:tcPr>
            <w:tcW w:w="0" w:type="auto"/>
            <w:tcBorders>
              <w:top w:val="nil"/>
              <w:left w:val="nil"/>
              <w:bottom w:val="single" w:sz="4" w:space="0" w:color="auto"/>
              <w:right w:val="single" w:sz="4" w:space="0" w:color="auto"/>
            </w:tcBorders>
            <w:shd w:val="clear" w:color="auto" w:fill="auto"/>
            <w:noWrap/>
            <w:vAlign w:val="bottom"/>
            <w:hideMark/>
          </w:tcPr>
          <w:p w14:paraId="15DA5BC0"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91.5</w:t>
            </w:r>
          </w:p>
        </w:tc>
        <w:tc>
          <w:tcPr>
            <w:tcW w:w="0" w:type="auto"/>
            <w:tcBorders>
              <w:top w:val="nil"/>
              <w:left w:val="nil"/>
              <w:bottom w:val="single" w:sz="4" w:space="0" w:color="auto"/>
              <w:right w:val="single" w:sz="4" w:space="0" w:color="auto"/>
            </w:tcBorders>
            <w:shd w:val="clear" w:color="auto" w:fill="auto"/>
            <w:noWrap/>
            <w:vAlign w:val="bottom"/>
            <w:hideMark/>
          </w:tcPr>
          <w:p w14:paraId="74FE9D21"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56.6</w:t>
            </w:r>
          </w:p>
        </w:tc>
        <w:tc>
          <w:tcPr>
            <w:tcW w:w="0" w:type="auto"/>
            <w:tcBorders>
              <w:top w:val="nil"/>
              <w:left w:val="nil"/>
              <w:bottom w:val="single" w:sz="4" w:space="0" w:color="auto"/>
              <w:right w:val="single" w:sz="4" w:space="0" w:color="auto"/>
            </w:tcBorders>
            <w:shd w:val="clear" w:color="auto" w:fill="auto"/>
            <w:noWrap/>
            <w:vAlign w:val="bottom"/>
            <w:hideMark/>
          </w:tcPr>
          <w:p w14:paraId="66DEE6A8"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61.7</w:t>
            </w:r>
          </w:p>
        </w:tc>
      </w:tr>
      <w:tr w:rsidR="005536B1" w:rsidRPr="005536B1" w14:paraId="1E1DFF03" w14:textId="77777777" w:rsidTr="007D2C64">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118F7D2E" w14:textId="77777777" w:rsidR="005536B1" w:rsidRPr="005536B1" w:rsidRDefault="005536B1" w:rsidP="005536B1">
            <w:pPr>
              <w:overflowPunct/>
              <w:autoSpaceDE/>
              <w:autoSpaceDN/>
              <w:adjustRightInd/>
              <w:spacing w:after="0"/>
              <w:textAlignment w:val="auto"/>
              <w:rPr>
                <w:rFonts w:ascii="Calibri" w:hAnsi="Calibri" w:cs="Calibri"/>
                <w:color w:val="000000"/>
                <w:sz w:val="22"/>
                <w:szCs w:val="22"/>
              </w:rPr>
            </w:pPr>
          </w:p>
        </w:tc>
        <w:tc>
          <w:tcPr>
            <w:tcW w:w="0" w:type="auto"/>
            <w:tcBorders>
              <w:top w:val="nil"/>
              <w:left w:val="nil"/>
              <w:bottom w:val="single" w:sz="4" w:space="0" w:color="auto"/>
              <w:right w:val="single" w:sz="4" w:space="0" w:color="auto"/>
            </w:tcBorders>
            <w:shd w:val="clear" w:color="auto" w:fill="auto"/>
            <w:vAlign w:val="bottom"/>
            <w:hideMark/>
          </w:tcPr>
          <w:p w14:paraId="48C1FDE4"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un-</w:t>
            </w:r>
            <w:proofErr w:type="spellStart"/>
            <w:r w:rsidRPr="005536B1">
              <w:rPr>
                <w:rFonts w:ascii="Calibri" w:hAnsi="Calibri" w:cs="Calibri"/>
                <w:color w:val="000000"/>
                <w:sz w:val="18"/>
                <w:szCs w:val="18"/>
              </w:rPr>
              <w:t>cor</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5535E5CC"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x</w:t>
            </w:r>
          </w:p>
        </w:tc>
        <w:tc>
          <w:tcPr>
            <w:tcW w:w="0" w:type="auto"/>
            <w:tcBorders>
              <w:top w:val="nil"/>
              <w:left w:val="nil"/>
              <w:bottom w:val="single" w:sz="4" w:space="0" w:color="auto"/>
              <w:right w:val="single" w:sz="4" w:space="0" w:color="auto"/>
            </w:tcBorders>
            <w:shd w:val="clear" w:color="auto" w:fill="auto"/>
            <w:noWrap/>
            <w:vAlign w:val="bottom"/>
            <w:hideMark/>
          </w:tcPr>
          <w:p w14:paraId="0FBDB860"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78.5</w:t>
            </w:r>
          </w:p>
        </w:tc>
        <w:tc>
          <w:tcPr>
            <w:tcW w:w="0" w:type="auto"/>
            <w:tcBorders>
              <w:top w:val="nil"/>
              <w:left w:val="nil"/>
              <w:bottom w:val="single" w:sz="4" w:space="0" w:color="auto"/>
              <w:right w:val="single" w:sz="4" w:space="0" w:color="auto"/>
            </w:tcBorders>
            <w:shd w:val="clear" w:color="auto" w:fill="auto"/>
            <w:noWrap/>
            <w:vAlign w:val="bottom"/>
            <w:hideMark/>
          </w:tcPr>
          <w:p w14:paraId="7C56F89D"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79.5</w:t>
            </w:r>
          </w:p>
        </w:tc>
        <w:tc>
          <w:tcPr>
            <w:tcW w:w="0" w:type="auto"/>
            <w:tcBorders>
              <w:top w:val="nil"/>
              <w:left w:val="nil"/>
              <w:bottom w:val="single" w:sz="4" w:space="0" w:color="auto"/>
              <w:right w:val="single" w:sz="4" w:space="0" w:color="auto"/>
            </w:tcBorders>
            <w:shd w:val="clear" w:color="auto" w:fill="auto"/>
            <w:noWrap/>
            <w:vAlign w:val="bottom"/>
            <w:hideMark/>
          </w:tcPr>
          <w:p w14:paraId="2F8C92A7"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57.9</w:t>
            </w:r>
          </w:p>
        </w:tc>
        <w:tc>
          <w:tcPr>
            <w:tcW w:w="0" w:type="auto"/>
            <w:tcBorders>
              <w:top w:val="nil"/>
              <w:left w:val="nil"/>
              <w:bottom w:val="single" w:sz="4" w:space="0" w:color="auto"/>
              <w:right w:val="single" w:sz="4" w:space="0" w:color="auto"/>
            </w:tcBorders>
            <w:shd w:val="clear" w:color="auto" w:fill="auto"/>
            <w:noWrap/>
            <w:vAlign w:val="bottom"/>
            <w:hideMark/>
          </w:tcPr>
          <w:p w14:paraId="3EE2CEA2" w14:textId="77777777" w:rsidR="005536B1" w:rsidRPr="005536B1" w:rsidRDefault="005536B1" w:rsidP="005536B1">
            <w:pPr>
              <w:overflowPunct/>
              <w:autoSpaceDE/>
              <w:autoSpaceDN/>
              <w:adjustRightInd/>
              <w:spacing w:after="0"/>
              <w:jc w:val="center"/>
              <w:textAlignment w:val="auto"/>
              <w:rPr>
                <w:rFonts w:ascii="Calibri" w:hAnsi="Calibri" w:cs="Calibri"/>
                <w:color w:val="000000"/>
                <w:sz w:val="18"/>
                <w:szCs w:val="18"/>
              </w:rPr>
            </w:pPr>
            <w:r w:rsidRPr="005536B1">
              <w:rPr>
                <w:rFonts w:ascii="Calibri" w:hAnsi="Calibri" w:cs="Calibri"/>
                <w:color w:val="000000"/>
                <w:sz w:val="18"/>
                <w:szCs w:val="18"/>
              </w:rPr>
              <w:t>56.3</w:t>
            </w:r>
          </w:p>
        </w:tc>
      </w:tr>
    </w:tbl>
    <w:p w14:paraId="10E75EF9" w14:textId="77777777" w:rsidR="005536B1" w:rsidRDefault="005536B1" w:rsidP="000747F0"/>
    <w:p w14:paraId="22B63B25" w14:textId="1733406A" w:rsidR="005E4413" w:rsidRDefault="00AD2FC7" w:rsidP="000747F0">
      <w:r>
        <w:t>Due to the remaining relatively large number of variables (correlation, element model, PL model) there are still quite a few results and statistical simulation is time consuming, the results at the 99</w:t>
      </w:r>
      <w:r w:rsidRPr="00AD2FC7">
        <w:rPr>
          <w:vertAlign w:val="superscript"/>
        </w:rPr>
        <w:t>th</w:t>
      </w:r>
      <w:r>
        <w:t xml:space="preserve"> percentile as such are still a bit variable (it can be seen from the CCDF curves that the tail is not smooth).</w:t>
      </w:r>
    </w:p>
    <w:p w14:paraId="1873A3A4" w14:textId="01C9A0F5" w:rsidR="00AD2FC7" w:rsidRDefault="00AD2FC7" w:rsidP="000747F0">
      <w:r>
        <w:t>To reduce the number of variables the results imply:</w:t>
      </w:r>
    </w:p>
    <w:p w14:paraId="6715E3C2" w14:textId="62C024A7" w:rsidR="00AD2FC7" w:rsidRDefault="00AD2FC7" w:rsidP="00AD2FC7">
      <w:pPr>
        <w:pStyle w:val="ListParagraph"/>
        <w:numPr>
          <w:ilvl w:val="0"/>
          <w:numId w:val="40"/>
        </w:numPr>
        <w:ind w:firstLineChars="0"/>
      </w:pPr>
      <w:r>
        <w:t>In this case there is not much difference between the element model and t</w:t>
      </w:r>
      <w:r w:rsidR="00973591">
        <w:t>h</w:t>
      </w:r>
      <w:r>
        <w:t>e dip</w:t>
      </w:r>
      <w:r w:rsidR="00DC5E19">
        <w:t>ol</w:t>
      </w:r>
      <w:r>
        <w:t xml:space="preserve">e model – </w:t>
      </w:r>
      <w:r w:rsidR="005536B1">
        <w:t xml:space="preserve">as it is difficult to accurately simulate any particular element pattern (as they are very design dependent) the purpose of investigating the </w:t>
      </w:r>
      <w:r w:rsidR="002E4F8A">
        <w:t xml:space="preserve">dipole </w:t>
      </w:r>
      <w:r w:rsidR="005536B1">
        <w:t xml:space="preserve">model was to see if the splitting of the element pattern at high frequencies had a significant effect. As it has </w:t>
      </w:r>
      <w:proofErr w:type="gramStart"/>
      <w:r w:rsidR="005536B1">
        <w:t>not</w:t>
      </w:r>
      <w:proofErr w:type="gramEnd"/>
      <w:r w:rsidR="005536B1">
        <w:t xml:space="preserve"> we can </w:t>
      </w:r>
      <w:r w:rsidR="00A22E36">
        <w:t>use the element model only for this simulation.</w:t>
      </w:r>
    </w:p>
    <w:p w14:paraId="64ACD34C" w14:textId="5A3C06BD" w:rsidR="00AD2FC7" w:rsidRDefault="00AD2FC7" w:rsidP="00AD2FC7">
      <w:pPr>
        <w:pStyle w:val="ListParagraph"/>
        <w:numPr>
          <w:ilvl w:val="0"/>
          <w:numId w:val="40"/>
        </w:numPr>
        <w:ind w:firstLineChars="0"/>
      </w:pPr>
      <w:r>
        <w:t xml:space="preserve">Un-correlated results are worse than corelated. </w:t>
      </w:r>
      <w:r w:rsidR="00A22E36">
        <w:t xml:space="preserve">This is slightly unexpected as uncorrelated gain worst case is lower than the corelated gain. However over most of the radiation pattern the correlated gain is higher as such statistically the uncorrelated results have a higher gain. The effect of the higher but statistically improbable correlated gain can be seen where the CCDF curve cross at lower probabilities and the </w:t>
      </w:r>
      <w:proofErr w:type="gramStart"/>
      <w:r w:rsidR="00A22E36">
        <w:t>worst case</w:t>
      </w:r>
      <w:proofErr w:type="gramEnd"/>
      <w:r w:rsidR="00A22E36">
        <w:t xml:space="preserve"> results show the correlated </w:t>
      </w:r>
      <w:r w:rsidR="00761035">
        <w:t>results</w:t>
      </w:r>
      <w:r w:rsidR="00A22E36">
        <w:t xml:space="preserve"> as worse. As such we should perhaps continue to consider both correlation cases and maybe consider a compromise such as ρ=0.5 correlation.</w:t>
      </w:r>
    </w:p>
    <w:p w14:paraId="3FB4B58B" w14:textId="4BEB6306" w:rsidR="00A22E36" w:rsidRDefault="00A22E36" w:rsidP="00A22E36">
      <w:r>
        <w:t>Now we are considering fewer variable</w:t>
      </w:r>
      <w:r w:rsidR="002E4F8A">
        <w:t>s,</w:t>
      </w:r>
      <w:r>
        <w:t xml:space="preserve"> more samples can be </w:t>
      </w:r>
      <w:proofErr w:type="gramStart"/>
      <w:r>
        <w:t>consider</w:t>
      </w:r>
      <w:proofErr w:type="gramEnd"/>
      <w:r>
        <w:t xml:space="preserve"> to smooth the tail and get more stable results</w:t>
      </w:r>
      <w:r w:rsidR="002E4F8A">
        <w:t>.</w:t>
      </w:r>
    </w:p>
    <w:p w14:paraId="25D2A733" w14:textId="5AA732FF" w:rsidR="00E33D80" w:rsidRDefault="00A22E36" w:rsidP="00AD2FC7">
      <w:pPr>
        <w:ind w:left="420"/>
        <w:rPr>
          <w:color w:val="FF0000"/>
        </w:rPr>
      </w:pPr>
      <w:r w:rsidRPr="00A22E36">
        <w:rPr>
          <w:noProof/>
        </w:rPr>
        <w:lastRenderedPageBreak/>
        <w:drawing>
          <wp:inline distT="0" distB="0" distL="0" distR="0" wp14:anchorId="6784F064" wp14:editId="5C186D3C">
            <wp:extent cx="6646545" cy="258187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46545" cy="2581878"/>
                    </a:xfrm>
                    <a:prstGeom prst="rect">
                      <a:avLst/>
                    </a:prstGeom>
                    <a:noFill/>
                    <a:ln>
                      <a:noFill/>
                    </a:ln>
                  </pic:spPr>
                </pic:pic>
              </a:graphicData>
            </a:graphic>
          </wp:inline>
        </w:drawing>
      </w:r>
    </w:p>
    <w:p w14:paraId="5B5C5812" w14:textId="2A576FBA" w:rsidR="00A22E36" w:rsidRDefault="00A22E36" w:rsidP="00AD2FC7">
      <w:pPr>
        <w:ind w:left="420"/>
        <w:rPr>
          <w:color w:val="FF0000"/>
        </w:rPr>
      </w:pPr>
      <w:r w:rsidRPr="00A22E36">
        <w:rPr>
          <w:noProof/>
        </w:rPr>
        <w:drawing>
          <wp:inline distT="0" distB="0" distL="0" distR="0" wp14:anchorId="3390468A" wp14:editId="1A0E276D">
            <wp:extent cx="6646545" cy="257300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46545" cy="2573001"/>
                    </a:xfrm>
                    <a:prstGeom prst="rect">
                      <a:avLst/>
                    </a:prstGeom>
                    <a:noFill/>
                    <a:ln>
                      <a:noFill/>
                    </a:ln>
                  </pic:spPr>
                </pic:pic>
              </a:graphicData>
            </a:graphic>
          </wp:inline>
        </w:drawing>
      </w:r>
    </w:p>
    <w:p w14:paraId="7765FB3F" w14:textId="2B1BE9FC" w:rsidR="00A22E36" w:rsidRDefault="00A22E36" w:rsidP="00AD2FC7">
      <w:pPr>
        <w:ind w:left="420"/>
        <w:rPr>
          <w:color w:val="FF0000"/>
        </w:rPr>
      </w:pPr>
      <w:r w:rsidRPr="00A22E36">
        <w:rPr>
          <w:noProof/>
        </w:rPr>
        <w:drawing>
          <wp:inline distT="0" distB="0" distL="0" distR="0" wp14:anchorId="27A317B6" wp14:editId="286FFE3E">
            <wp:extent cx="6646545" cy="2488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6545" cy="2488360"/>
                    </a:xfrm>
                    <a:prstGeom prst="rect">
                      <a:avLst/>
                    </a:prstGeom>
                    <a:noFill/>
                    <a:ln>
                      <a:noFill/>
                    </a:ln>
                  </pic:spPr>
                </pic:pic>
              </a:graphicData>
            </a:graphic>
          </wp:inline>
        </w:drawing>
      </w:r>
    </w:p>
    <w:p w14:paraId="68EC26E3" w14:textId="4BDB594D" w:rsidR="00A22E36" w:rsidRPr="00A22E36" w:rsidRDefault="00A22E36" w:rsidP="00AD2FC7">
      <w:pPr>
        <w:ind w:left="420"/>
        <w:rPr>
          <w:color w:val="000000" w:themeColor="text1"/>
        </w:rPr>
      </w:pPr>
      <w:r>
        <w:rPr>
          <w:color w:val="000000" w:themeColor="text1"/>
        </w:rPr>
        <w:t xml:space="preserve">The 50% correlation results are very similar to the uncorrelated results, </w:t>
      </w:r>
      <w:r w:rsidR="009F64CD">
        <w:rPr>
          <w:color w:val="000000" w:themeColor="text1"/>
        </w:rPr>
        <w:t xml:space="preserve">although they can be seen on the CCDF plots to be in between the fully correlated and uncorrelated lines. </w:t>
      </w:r>
      <w:proofErr w:type="gramStart"/>
      <w:r w:rsidR="009F64CD">
        <w:rPr>
          <w:color w:val="000000" w:themeColor="text1"/>
        </w:rPr>
        <w:t>Also</w:t>
      </w:r>
      <w:proofErr w:type="gramEnd"/>
      <w:r w:rsidR="009F64CD">
        <w:rPr>
          <w:color w:val="000000" w:themeColor="text1"/>
        </w:rPr>
        <w:t xml:space="preserve"> at very low probabilities they cross over as the </w:t>
      </w:r>
      <w:r w:rsidR="00710294">
        <w:rPr>
          <w:color w:val="000000" w:themeColor="text1"/>
        </w:rPr>
        <w:t>higher</w:t>
      </w:r>
      <w:r w:rsidR="009F64CD">
        <w:rPr>
          <w:color w:val="000000" w:themeColor="text1"/>
        </w:rPr>
        <w:t xml:space="preserve"> peaks gains start to occur.</w:t>
      </w:r>
    </w:p>
    <w:p w14:paraId="788633FD" w14:textId="13295902" w:rsidR="00A22E36" w:rsidRPr="009F64CD" w:rsidRDefault="009F64CD" w:rsidP="00AD2FC7">
      <w:pPr>
        <w:ind w:left="420"/>
        <w:rPr>
          <w:color w:val="000000" w:themeColor="text1"/>
        </w:rPr>
      </w:pPr>
      <w:r w:rsidRPr="009F64CD">
        <w:rPr>
          <w:color w:val="000000" w:themeColor="text1"/>
        </w:rPr>
        <w:t>In summary</w:t>
      </w:r>
      <w:r w:rsidR="00710294">
        <w:rPr>
          <w:color w:val="000000" w:themeColor="text1"/>
        </w:rPr>
        <w:t>:</w:t>
      </w:r>
      <w:r w:rsidRPr="009F64CD">
        <w:rPr>
          <w:color w:val="000000" w:themeColor="text1"/>
        </w:rPr>
        <w:t xml:space="preserve"> </w:t>
      </w:r>
    </w:p>
    <w:tbl>
      <w:tblPr>
        <w:tblW w:w="5620" w:type="dxa"/>
        <w:tblInd w:w="2263" w:type="dxa"/>
        <w:tblLook w:val="04A0" w:firstRow="1" w:lastRow="0" w:firstColumn="1" w:lastColumn="0" w:noHBand="0" w:noVBand="1"/>
      </w:tblPr>
      <w:tblGrid>
        <w:gridCol w:w="2560"/>
        <w:gridCol w:w="1020"/>
        <w:gridCol w:w="1020"/>
        <w:gridCol w:w="1020"/>
      </w:tblGrid>
      <w:tr w:rsidR="00A22E36" w:rsidRPr="00A22E36" w14:paraId="3BBF42C9" w14:textId="77777777" w:rsidTr="00A22E36">
        <w:trPr>
          <w:trHeight w:val="285"/>
        </w:trPr>
        <w:tc>
          <w:tcPr>
            <w:tcW w:w="2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DC1C65" w14:textId="77777777" w:rsidR="00A22E36" w:rsidRPr="00A22E36" w:rsidRDefault="00A22E36" w:rsidP="00A22E36">
            <w:pPr>
              <w:overflowPunct/>
              <w:autoSpaceDE/>
              <w:autoSpaceDN/>
              <w:adjustRightInd/>
              <w:spacing w:after="0"/>
              <w:textAlignment w:val="auto"/>
              <w:rPr>
                <w:rFonts w:ascii="Calibri" w:hAnsi="Calibri" w:cs="Calibri"/>
                <w:color w:val="000000"/>
                <w:sz w:val="22"/>
                <w:szCs w:val="22"/>
              </w:rPr>
            </w:pPr>
            <w:r w:rsidRPr="00A22E36">
              <w:rPr>
                <w:rFonts w:ascii="Calibri" w:hAnsi="Calibri" w:cs="Calibri"/>
                <w:color w:val="000000"/>
                <w:sz w:val="22"/>
                <w:szCs w:val="22"/>
              </w:rPr>
              <w:t> </w:t>
            </w:r>
          </w:p>
        </w:tc>
        <w:tc>
          <w:tcPr>
            <w:tcW w:w="30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513A1187"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Coupling Loss (dB)</w:t>
            </w:r>
          </w:p>
        </w:tc>
      </w:tr>
      <w:tr w:rsidR="00A22E36" w:rsidRPr="00A22E36" w14:paraId="37ACD3E2" w14:textId="77777777" w:rsidTr="00A22E36">
        <w:trPr>
          <w:trHeight w:val="285"/>
        </w:trPr>
        <w:tc>
          <w:tcPr>
            <w:tcW w:w="2560" w:type="dxa"/>
            <w:tcBorders>
              <w:top w:val="nil"/>
              <w:left w:val="single" w:sz="4" w:space="0" w:color="auto"/>
              <w:bottom w:val="single" w:sz="4" w:space="0" w:color="auto"/>
              <w:right w:val="single" w:sz="4" w:space="0" w:color="auto"/>
            </w:tcBorders>
            <w:shd w:val="clear" w:color="auto" w:fill="auto"/>
            <w:noWrap/>
            <w:vAlign w:val="bottom"/>
            <w:hideMark/>
          </w:tcPr>
          <w:p w14:paraId="3371E23A" w14:textId="77777777" w:rsidR="00A22E36" w:rsidRPr="00A22E36" w:rsidRDefault="00A22E36" w:rsidP="00A22E36">
            <w:pPr>
              <w:overflowPunct/>
              <w:autoSpaceDE/>
              <w:autoSpaceDN/>
              <w:adjustRightInd/>
              <w:spacing w:after="0"/>
              <w:textAlignment w:val="auto"/>
              <w:rPr>
                <w:rFonts w:ascii="Calibri" w:hAnsi="Calibri" w:cs="Calibri"/>
                <w:color w:val="000000"/>
                <w:sz w:val="22"/>
                <w:szCs w:val="22"/>
              </w:rPr>
            </w:pPr>
            <w:r w:rsidRPr="00A22E36">
              <w:rPr>
                <w:rFonts w:ascii="Calibri" w:hAnsi="Calibri" w:cs="Calibri"/>
                <w:color w:val="000000"/>
                <w:sz w:val="22"/>
                <w:szCs w:val="22"/>
              </w:rPr>
              <w:t> </w:t>
            </w:r>
          </w:p>
        </w:tc>
        <w:tc>
          <w:tcPr>
            <w:tcW w:w="3060" w:type="dxa"/>
            <w:gridSpan w:val="3"/>
            <w:tcBorders>
              <w:top w:val="single" w:sz="4" w:space="0" w:color="auto"/>
              <w:left w:val="nil"/>
              <w:bottom w:val="single" w:sz="4" w:space="0" w:color="auto"/>
              <w:right w:val="single" w:sz="4" w:space="0" w:color="000000"/>
            </w:tcBorders>
            <w:shd w:val="clear" w:color="auto" w:fill="auto"/>
            <w:vAlign w:val="bottom"/>
            <w:hideMark/>
          </w:tcPr>
          <w:p w14:paraId="3300904E"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99th Percentile</w:t>
            </w:r>
          </w:p>
        </w:tc>
      </w:tr>
      <w:tr w:rsidR="00A22E36" w:rsidRPr="00A22E36" w14:paraId="3CE9726A" w14:textId="77777777" w:rsidTr="00A22E36">
        <w:trPr>
          <w:trHeight w:val="285"/>
        </w:trPr>
        <w:tc>
          <w:tcPr>
            <w:tcW w:w="2560" w:type="dxa"/>
            <w:tcBorders>
              <w:top w:val="nil"/>
              <w:left w:val="single" w:sz="4" w:space="0" w:color="auto"/>
              <w:bottom w:val="single" w:sz="4" w:space="0" w:color="auto"/>
              <w:right w:val="single" w:sz="4" w:space="0" w:color="auto"/>
            </w:tcBorders>
            <w:shd w:val="clear" w:color="auto" w:fill="auto"/>
            <w:noWrap/>
            <w:vAlign w:val="bottom"/>
            <w:hideMark/>
          </w:tcPr>
          <w:p w14:paraId="7C494CE1" w14:textId="34F36019" w:rsidR="00A22E36" w:rsidRPr="00A22E36" w:rsidRDefault="00A22E36" w:rsidP="00A22E36">
            <w:pPr>
              <w:overflowPunct/>
              <w:autoSpaceDE/>
              <w:autoSpaceDN/>
              <w:adjustRightInd/>
              <w:spacing w:after="0"/>
              <w:textAlignment w:val="auto"/>
              <w:rPr>
                <w:rFonts w:ascii="Calibri" w:hAnsi="Calibri" w:cs="Calibri"/>
                <w:color w:val="000000"/>
                <w:sz w:val="22"/>
                <w:szCs w:val="22"/>
              </w:rPr>
            </w:pPr>
            <w:r w:rsidRPr="00A22E36">
              <w:rPr>
                <w:rFonts w:ascii="Calibri" w:hAnsi="Calibri" w:cs="Calibri"/>
                <w:color w:val="000000"/>
                <w:sz w:val="22"/>
                <w:szCs w:val="22"/>
              </w:rPr>
              <w:t>correlation</w:t>
            </w:r>
          </w:p>
        </w:tc>
        <w:tc>
          <w:tcPr>
            <w:tcW w:w="1020" w:type="dxa"/>
            <w:tcBorders>
              <w:top w:val="nil"/>
              <w:left w:val="nil"/>
              <w:bottom w:val="single" w:sz="4" w:space="0" w:color="auto"/>
              <w:right w:val="single" w:sz="4" w:space="0" w:color="auto"/>
            </w:tcBorders>
            <w:shd w:val="clear" w:color="auto" w:fill="auto"/>
            <w:vAlign w:val="bottom"/>
            <w:hideMark/>
          </w:tcPr>
          <w:p w14:paraId="23175464"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1</w:t>
            </w:r>
          </w:p>
        </w:tc>
        <w:tc>
          <w:tcPr>
            <w:tcW w:w="1020" w:type="dxa"/>
            <w:tcBorders>
              <w:top w:val="nil"/>
              <w:left w:val="nil"/>
              <w:bottom w:val="single" w:sz="4" w:space="0" w:color="auto"/>
              <w:right w:val="single" w:sz="4" w:space="0" w:color="auto"/>
            </w:tcBorders>
            <w:shd w:val="clear" w:color="auto" w:fill="auto"/>
            <w:vAlign w:val="bottom"/>
            <w:hideMark/>
          </w:tcPr>
          <w:p w14:paraId="510D5585"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0.5</w:t>
            </w:r>
          </w:p>
        </w:tc>
        <w:tc>
          <w:tcPr>
            <w:tcW w:w="1020" w:type="dxa"/>
            <w:tcBorders>
              <w:top w:val="nil"/>
              <w:left w:val="nil"/>
              <w:bottom w:val="single" w:sz="4" w:space="0" w:color="auto"/>
              <w:right w:val="single" w:sz="4" w:space="0" w:color="auto"/>
            </w:tcBorders>
            <w:shd w:val="clear" w:color="auto" w:fill="auto"/>
            <w:vAlign w:val="bottom"/>
            <w:hideMark/>
          </w:tcPr>
          <w:p w14:paraId="0796BD51"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0</w:t>
            </w:r>
          </w:p>
        </w:tc>
      </w:tr>
      <w:tr w:rsidR="00A22E36" w:rsidRPr="00A22E36" w14:paraId="698FF6B3" w14:textId="77777777" w:rsidTr="00A22E36">
        <w:trPr>
          <w:trHeight w:val="285"/>
        </w:trPr>
        <w:tc>
          <w:tcPr>
            <w:tcW w:w="2560" w:type="dxa"/>
            <w:tcBorders>
              <w:top w:val="nil"/>
              <w:left w:val="single" w:sz="4" w:space="0" w:color="auto"/>
              <w:bottom w:val="single" w:sz="4" w:space="0" w:color="auto"/>
              <w:right w:val="single" w:sz="4" w:space="0" w:color="auto"/>
            </w:tcBorders>
            <w:shd w:val="clear" w:color="auto" w:fill="auto"/>
            <w:noWrap/>
            <w:vAlign w:val="center"/>
            <w:hideMark/>
          </w:tcPr>
          <w:p w14:paraId="62D729DE" w14:textId="77777777" w:rsidR="00A22E36" w:rsidRPr="00A22E36" w:rsidRDefault="00A22E36" w:rsidP="00A22E36">
            <w:pPr>
              <w:overflowPunct/>
              <w:autoSpaceDE/>
              <w:autoSpaceDN/>
              <w:adjustRightInd/>
              <w:spacing w:after="0"/>
              <w:textAlignment w:val="auto"/>
              <w:rPr>
                <w:rFonts w:ascii="Calibri" w:hAnsi="Calibri" w:cs="Calibri"/>
                <w:color w:val="000000"/>
                <w:sz w:val="22"/>
                <w:szCs w:val="22"/>
              </w:rPr>
            </w:pPr>
            <w:r w:rsidRPr="00A22E36">
              <w:rPr>
                <w:rFonts w:ascii="Calibri" w:hAnsi="Calibri" w:cs="Calibri"/>
                <w:color w:val="000000"/>
                <w:sz w:val="22"/>
                <w:szCs w:val="22"/>
              </w:rPr>
              <w:t>Tx 2.1GHz AAS @ 6.4GHz</w:t>
            </w:r>
          </w:p>
        </w:tc>
        <w:tc>
          <w:tcPr>
            <w:tcW w:w="1020" w:type="dxa"/>
            <w:tcBorders>
              <w:top w:val="nil"/>
              <w:left w:val="nil"/>
              <w:bottom w:val="single" w:sz="4" w:space="0" w:color="auto"/>
              <w:right w:val="single" w:sz="4" w:space="0" w:color="auto"/>
            </w:tcBorders>
            <w:shd w:val="clear" w:color="auto" w:fill="auto"/>
            <w:noWrap/>
            <w:vAlign w:val="bottom"/>
            <w:hideMark/>
          </w:tcPr>
          <w:p w14:paraId="736E0FEC"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78</w:t>
            </w:r>
          </w:p>
        </w:tc>
        <w:tc>
          <w:tcPr>
            <w:tcW w:w="1020" w:type="dxa"/>
            <w:tcBorders>
              <w:top w:val="nil"/>
              <w:left w:val="nil"/>
              <w:bottom w:val="single" w:sz="4" w:space="0" w:color="auto"/>
              <w:right w:val="single" w:sz="4" w:space="0" w:color="auto"/>
            </w:tcBorders>
            <w:shd w:val="clear" w:color="auto" w:fill="auto"/>
            <w:noWrap/>
            <w:vAlign w:val="bottom"/>
            <w:hideMark/>
          </w:tcPr>
          <w:p w14:paraId="6065CE9D"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75</w:t>
            </w:r>
          </w:p>
        </w:tc>
        <w:tc>
          <w:tcPr>
            <w:tcW w:w="1020" w:type="dxa"/>
            <w:tcBorders>
              <w:top w:val="nil"/>
              <w:left w:val="nil"/>
              <w:bottom w:val="single" w:sz="4" w:space="0" w:color="auto"/>
              <w:right w:val="single" w:sz="4" w:space="0" w:color="auto"/>
            </w:tcBorders>
            <w:shd w:val="clear" w:color="auto" w:fill="auto"/>
            <w:noWrap/>
            <w:vAlign w:val="bottom"/>
            <w:hideMark/>
          </w:tcPr>
          <w:p w14:paraId="3CB43CDE"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74.5</w:t>
            </w:r>
          </w:p>
        </w:tc>
      </w:tr>
      <w:tr w:rsidR="00A22E36" w:rsidRPr="00A22E36" w14:paraId="7EDE7079" w14:textId="77777777" w:rsidTr="00A22E36">
        <w:trPr>
          <w:trHeight w:val="285"/>
        </w:trPr>
        <w:tc>
          <w:tcPr>
            <w:tcW w:w="2560" w:type="dxa"/>
            <w:tcBorders>
              <w:top w:val="nil"/>
              <w:left w:val="single" w:sz="4" w:space="0" w:color="auto"/>
              <w:bottom w:val="single" w:sz="4" w:space="0" w:color="auto"/>
              <w:right w:val="single" w:sz="4" w:space="0" w:color="auto"/>
            </w:tcBorders>
            <w:shd w:val="clear" w:color="auto" w:fill="auto"/>
            <w:noWrap/>
            <w:vAlign w:val="center"/>
            <w:hideMark/>
          </w:tcPr>
          <w:p w14:paraId="52F81A00" w14:textId="77777777" w:rsidR="00A22E36" w:rsidRPr="00A22E36" w:rsidRDefault="00A22E36" w:rsidP="00A22E36">
            <w:pPr>
              <w:overflowPunct/>
              <w:autoSpaceDE/>
              <w:autoSpaceDN/>
              <w:adjustRightInd/>
              <w:spacing w:after="0"/>
              <w:textAlignment w:val="auto"/>
              <w:rPr>
                <w:rFonts w:ascii="Calibri" w:hAnsi="Calibri" w:cs="Calibri"/>
                <w:color w:val="000000"/>
                <w:sz w:val="22"/>
                <w:szCs w:val="22"/>
              </w:rPr>
            </w:pPr>
            <w:r w:rsidRPr="00A22E36">
              <w:rPr>
                <w:rFonts w:ascii="Calibri" w:hAnsi="Calibri" w:cs="Calibri"/>
                <w:color w:val="000000"/>
                <w:sz w:val="22"/>
                <w:szCs w:val="22"/>
              </w:rPr>
              <w:t>Tx 3.2GHz AAS @ 6.4GHz</w:t>
            </w:r>
          </w:p>
        </w:tc>
        <w:tc>
          <w:tcPr>
            <w:tcW w:w="1020" w:type="dxa"/>
            <w:tcBorders>
              <w:top w:val="nil"/>
              <w:left w:val="nil"/>
              <w:bottom w:val="single" w:sz="4" w:space="0" w:color="auto"/>
              <w:right w:val="single" w:sz="4" w:space="0" w:color="auto"/>
            </w:tcBorders>
            <w:shd w:val="clear" w:color="auto" w:fill="auto"/>
            <w:noWrap/>
            <w:vAlign w:val="bottom"/>
            <w:hideMark/>
          </w:tcPr>
          <w:p w14:paraId="130A5E33"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80</w:t>
            </w:r>
          </w:p>
        </w:tc>
        <w:tc>
          <w:tcPr>
            <w:tcW w:w="1020" w:type="dxa"/>
            <w:tcBorders>
              <w:top w:val="nil"/>
              <w:left w:val="nil"/>
              <w:bottom w:val="single" w:sz="4" w:space="0" w:color="auto"/>
              <w:right w:val="single" w:sz="4" w:space="0" w:color="auto"/>
            </w:tcBorders>
            <w:shd w:val="clear" w:color="auto" w:fill="auto"/>
            <w:noWrap/>
            <w:vAlign w:val="bottom"/>
            <w:hideMark/>
          </w:tcPr>
          <w:p w14:paraId="0FCC8919"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75</w:t>
            </w:r>
          </w:p>
        </w:tc>
        <w:tc>
          <w:tcPr>
            <w:tcW w:w="1020" w:type="dxa"/>
            <w:tcBorders>
              <w:top w:val="nil"/>
              <w:left w:val="nil"/>
              <w:bottom w:val="single" w:sz="4" w:space="0" w:color="auto"/>
              <w:right w:val="single" w:sz="4" w:space="0" w:color="auto"/>
            </w:tcBorders>
            <w:shd w:val="clear" w:color="auto" w:fill="auto"/>
            <w:noWrap/>
            <w:vAlign w:val="bottom"/>
            <w:hideMark/>
          </w:tcPr>
          <w:p w14:paraId="34B42AE5"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75</w:t>
            </w:r>
          </w:p>
        </w:tc>
      </w:tr>
      <w:tr w:rsidR="00A22E36" w:rsidRPr="00A22E36" w14:paraId="4F2E8AEC" w14:textId="77777777" w:rsidTr="00A22E36">
        <w:trPr>
          <w:trHeight w:val="285"/>
        </w:trPr>
        <w:tc>
          <w:tcPr>
            <w:tcW w:w="2560" w:type="dxa"/>
            <w:tcBorders>
              <w:top w:val="nil"/>
              <w:left w:val="single" w:sz="4" w:space="0" w:color="auto"/>
              <w:bottom w:val="single" w:sz="4" w:space="0" w:color="auto"/>
              <w:right w:val="single" w:sz="4" w:space="0" w:color="auto"/>
            </w:tcBorders>
            <w:shd w:val="clear" w:color="auto" w:fill="auto"/>
            <w:noWrap/>
            <w:vAlign w:val="center"/>
            <w:hideMark/>
          </w:tcPr>
          <w:p w14:paraId="368DD7A1" w14:textId="77777777" w:rsidR="00A22E36" w:rsidRPr="00A22E36" w:rsidRDefault="00A22E36" w:rsidP="00A22E36">
            <w:pPr>
              <w:overflowPunct/>
              <w:autoSpaceDE/>
              <w:autoSpaceDN/>
              <w:adjustRightInd/>
              <w:spacing w:after="0"/>
              <w:textAlignment w:val="auto"/>
              <w:rPr>
                <w:rFonts w:ascii="Calibri" w:hAnsi="Calibri" w:cs="Calibri"/>
                <w:color w:val="000000"/>
                <w:sz w:val="22"/>
                <w:szCs w:val="22"/>
              </w:rPr>
            </w:pPr>
            <w:r w:rsidRPr="00A22E36">
              <w:rPr>
                <w:rFonts w:ascii="Calibri" w:hAnsi="Calibri" w:cs="Calibri"/>
                <w:color w:val="000000"/>
                <w:sz w:val="22"/>
                <w:szCs w:val="22"/>
              </w:rPr>
              <w:lastRenderedPageBreak/>
              <w:t>Tx 6.4z AAS @ 6.4GHz</w:t>
            </w:r>
          </w:p>
        </w:tc>
        <w:tc>
          <w:tcPr>
            <w:tcW w:w="1020" w:type="dxa"/>
            <w:tcBorders>
              <w:top w:val="nil"/>
              <w:left w:val="nil"/>
              <w:bottom w:val="single" w:sz="4" w:space="0" w:color="auto"/>
              <w:right w:val="single" w:sz="4" w:space="0" w:color="auto"/>
            </w:tcBorders>
            <w:shd w:val="clear" w:color="auto" w:fill="auto"/>
            <w:noWrap/>
            <w:vAlign w:val="bottom"/>
            <w:hideMark/>
          </w:tcPr>
          <w:p w14:paraId="7A96171F"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91.5</w:t>
            </w:r>
          </w:p>
        </w:tc>
        <w:tc>
          <w:tcPr>
            <w:tcW w:w="1020" w:type="dxa"/>
            <w:tcBorders>
              <w:top w:val="nil"/>
              <w:left w:val="nil"/>
              <w:bottom w:val="single" w:sz="4" w:space="0" w:color="auto"/>
              <w:right w:val="single" w:sz="4" w:space="0" w:color="auto"/>
            </w:tcBorders>
            <w:shd w:val="clear" w:color="auto" w:fill="auto"/>
            <w:noWrap/>
            <w:vAlign w:val="bottom"/>
            <w:hideMark/>
          </w:tcPr>
          <w:p w14:paraId="6B020615"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79</w:t>
            </w:r>
          </w:p>
        </w:tc>
        <w:tc>
          <w:tcPr>
            <w:tcW w:w="1020" w:type="dxa"/>
            <w:tcBorders>
              <w:top w:val="nil"/>
              <w:left w:val="nil"/>
              <w:bottom w:val="single" w:sz="4" w:space="0" w:color="auto"/>
              <w:right w:val="single" w:sz="4" w:space="0" w:color="auto"/>
            </w:tcBorders>
            <w:shd w:val="clear" w:color="auto" w:fill="auto"/>
            <w:noWrap/>
            <w:vAlign w:val="bottom"/>
            <w:hideMark/>
          </w:tcPr>
          <w:p w14:paraId="47B03D5A" w14:textId="77777777" w:rsidR="00A22E36" w:rsidRPr="00A22E36" w:rsidRDefault="00A22E36" w:rsidP="00A22E36">
            <w:pPr>
              <w:overflowPunct/>
              <w:autoSpaceDE/>
              <w:autoSpaceDN/>
              <w:adjustRightInd/>
              <w:spacing w:after="0"/>
              <w:jc w:val="center"/>
              <w:textAlignment w:val="auto"/>
              <w:rPr>
                <w:rFonts w:ascii="Calibri" w:hAnsi="Calibri" w:cs="Calibri"/>
                <w:color w:val="000000"/>
                <w:sz w:val="18"/>
                <w:szCs w:val="18"/>
              </w:rPr>
            </w:pPr>
            <w:r w:rsidRPr="00A22E36">
              <w:rPr>
                <w:rFonts w:ascii="Calibri" w:hAnsi="Calibri" w:cs="Calibri"/>
                <w:color w:val="000000"/>
                <w:sz w:val="18"/>
                <w:szCs w:val="18"/>
              </w:rPr>
              <w:t>79</w:t>
            </w:r>
          </w:p>
        </w:tc>
      </w:tr>
    </w:tbl>
    <w:p w14:paraId="4ED545E6" w14:textId="77777777" w:rsidR="00A22E36" w:rsidRDefault="00A22E36" w:rsidP="00AD2FC7">
      <w:pPr>
        <w:ind w:left="420"/>
        <w:rPr>
          <w:color w:val="FF0000"/>
        </w:rPr>
      </w:pPr>
    </w:p>
    <w:p w14:paraId="0493B2F7" w14:textId="11A54E36" w:rsidR="009F64CD" w:rsidRDefault="009F64CD" w:rsidP="009F64CD">
      <w:r>
        <w:t>From this data we can take a 99%-tile coupling loss of 75dB.</w:t>
      </w:r>
    </w:p>
    <w:p w14:paraId="0CBA490D" w14:textId="7A20644A" w:rsidR="00AD2FC7" w:rsidRDefault="00AD2FC7" w:rsidP="00AD2FC7">
      <w:pPr>
        <w:pStyle w:val="Heading3"/>
      </w:pPr>
      <w:r>
        <w:t>2.</w:t>
      </w:r>
      <w:r w:rsidR="00CB7AE6">
        <w:t>2</w:t>
      </w:r>
      <w:r>
        <w:t>.</w:t>
      </w:r>
      <w:r w:rsidR="00CB7AE6">
        <w:t>3</w:t>
      </w:r>
      <w:r>
        <w:tab/>
        <w:t>Summary</w:t>
      </w:r>
    </w:p>
    <w:p w14:paraId="193FFD27" w14:textId="53E904C6" w:rsidR="00AD2FC7" w:rsidRDefault="00AD2FC7" w:rsidP="00AD2FC7">
      <w:pPr>
        <w:pStyle w:val="B1"/>
        <w:ind w:left="0" w:firstLine="0"/>
      </w:pPr>
      <w:r>
        <w:t xml:space="preserve">The </w:t>
      </w:r>
      <w:r w:rsidR="00F177D3">
        <w:t>existing co-existence spurious power requirement in the UL is -49dBm and this assumes a coupling loss of 67dB</w:t>
      </w:r>
      <w:r w:rsidR="005121D8">
        <w:t xml:space="preserve"> and </w:t>
      </w:r>
      <w:proofErr w:type="spellStart"/>
      <w:r w:rsidR="005121D8">
        <w:t>desense</w:t>
      </w:r>
      <w:proofErr w:type="spellEnd"/>
      <w:r w:rsidR="005121D8">
        <w:t xml:space="preserve"> of 0.8dB at the victim BS.</w:t>
      </w:r>
    </w:p>
    <w:p w14:paraId="2375E180" w14:textId="5CEA7B8F" w:rsidR="00F177D3" w:rsidRDefault="00F177D3" w:rsidP="00AD2FC7">
      <w:pPr>
        <w:pStyle w:val="B1"/>
        <w:ind w:left="0" w:firstLine="0"/>
      </w:pPr>
      <w:r>
        <w:t xml:space="preserve">Using the statistical analysis </w:t>
      </w:r>
      <w:proofErr w:type="gramStart"/>
      <w:r>
        <w:t>approach</w:t>
      </w:r>
      <w:proofErr w:type="gramEnd"/>
      <w:r>
        <w:t xml:space="preserve"> </w:t>
      </w:r>
      <w:r w:rsidR="00BF0F0F">
        <w:t xml:space="preserve">we have a 99% percentile coupling loss of </w:t>
      </w:r>
      <w:r w:rsidR="009F64CD">
        <w:t>75</w:t>
      </w:r>
      <w:r w:rsidR="00BF0F0F">
        <w:t>dB</w:t>
      </w:r>
      <w:r w:rsidR="00710294">
        <w:t>.</w:t>
      </w:r>
    </w:p>
    <w:p w14:paraId="46DF7B76" w14:textId="270A80F4" w:rsidR="00AD2FC7" w:rsidRDefault="00BF0F0F" w:rsidP="00AD2FC7">
      <w:pPr>
        <w:pStyle w:val="B1"/>
        <w:ind w:left="0" w:firstLine="0"/>
      </w:pPr>
      <w:r>
        <w:t>The emission requirement is hence:</w:t>
      </w:r>
      <w:r w:rsidR="00AD2FC7">
        <w:t xml:space="preserve"> </w:t>
      </w:r>
    </w:p>
    <w:p w14:paraId="069043D9" w14:textId="3AAFDFFE" w:rsidR="00AD2FC7" w:rsidRPr="00710294" w:rsidRDefault="00682CB8" w:rsidP="00AD2FC7">
      <w:pPr>
        <w:ind w:left="1988" w:firstLine="284"/>
        <w:rPr>
          <w:lang w:val="pl-PL"/>
        </w:rPr>
      </w:pPr>
      <m:oMath>
        <m:sSub>
          <m:sSubPr>
            <m:ctrlPr>
              <w:rPr>
                <w:rFonts w:ascii="Cambria Math" w:hAnsi="Cambria Math"/>
                <w:i/>
                <w:iCs/>
              </w:rPr>
            </m:ctrlPr>
          </m:sSubPr>
          <m:e>
            <m:r>
              <w:rPr>
                <w:rFonts w:ascii="Cambria Math" w:hAnsi="Cambria Math"/>
              </w:rPr>
              <m:t>P</m:t>
            </m:r>
          </m:e>
          <m:sub>
            <m:r>
              <w:rPr>
                <w:rFonts w:ascii="Cambria Math" w:hAnsi="Cambria Math"/>
              </w:rPr>
              <m:t>co</m:t>
            </m:r>
            <m:r>
              <w:rPr>
                <w:rFonts w:ascii="Cambria Math" w:hAnsi="Cambria Math"/>
                <w:lang w:val="pl-PL"/>
              </w:rPr>
              <m:t>-</m:t>
            </m:r>
            <m:r>
              <w:rPr>
                <w:rFonts w:ascii="Cambria Math" w:hAnsi="Cambria Math"/>
              </w:rPr>
              <m:t>existence</m:t>
            </m:r>
            <m:r>
              <w:rPr>
                <w:rFonts w:ascii="Cambria Math" w:hAnsi="Cambria Math"/>
                <w:lang w:val="pl-PL"/>
              </w:rPr>
              <m:t>_</m:t>
            </m:r>
            <m:r>
              <w:rPr>
                <w:rFonts w:ascii="Cambria Math" w:hAnsi="Cambria Math"/>
              </w:rPr>
              <m:t>UL</m:t>
            </m:r>
          </m:sub>
        </m:sSub>
        <m:r>
          <w:rPr>
            <w:rFonts w:ascii="Cambria Math" w:hAnsi="Cambria Math"/>
            <w:lang w:val="pl-PL"/>
          </w:rPr>
          <m:t>=-174+60+6+75-7</m:t>
        </m:r>
      </m:oMath>
      <w:r w:rsidR="00710294">
        <w:rPr>
          <w:lang w:val="pl-PL"/>
        </w:rPr>
        <w:t xml:space="preserve"> </w:t>
      </w:r>
      <w:r w:rsidR="00AD2FC7" w:rsidRPr="00710294">
        <w:rPr>
          <w:lang w:val="pl-PL"/>
        </w:rPr>
        <w:t>=</w:t>
      </w:r>
      <w:r w:rsidR="00710294">
        <w:rPr>
          <w:lang w:val="pl-PL"/>
        </w:rPr>
        <w:t xml:space="preserve"> </w:t>
      </w:r>
      <w:r w:rsidR="00AD2FC7" w:rsidRPr="00710294">
        <w:rPr>
          <w:lang w:val="pl-PL"/>
        </w:rPr>
        <w:t>-</w:t>
      </w:r>
      <w:r w:rsidR="009F64CD" w:rsidRPr="00710294">
        <w:rPr>
          <w:lang w:val="pl-PL"/>
        </w:rPr>
        <w:t>40</w:t>
      </w:r>
      <w:r w:rsidR="00AD2FC7" w:rsidRPr="00710294">
        <w:rPr>
          <w:lang w:val="pl-PL"/>
        </w:rPr>
        <w:t>dBm/MHz</w:t>
      </w:r>
    </w:p>
    <w:p w14:paraId="67879779" w14:textId="77777777" w:rsidR="00AD2FC7" w:rsidRDefault="00AD2FC7" w:rsidP="00AD2FC7">
      <w:pPr>
        <w:pStyle w:val="B1"/>
        <w:ind w:left="0" w:firstLine="0"/>
      </w:pPr>
      <w:r>
        <w:t>(</w:t>
      </w:r>
      <w:proofErr w:type="gramStart"/>
      <w:r>
        <w:t>note</w:t>
      </w:r>
      <w:proofErr w:type="gramEnd"/>
      <w:r>
        <w:t xml:space="preserve"> BS NF is 6dB @ 6.4GHz)</w:t>
      </w:r>
    </w:p>
    <w:p w14:paraId="0A9F3850" w14:textId="47B467DD" w:rsidR="00AD2FC7" w:rsidRPr="00BF0F0F" w:rsidRDefault="009F64CD" w:rsidP="000747F0">
      <w:r>
        <w:rPr>
          <w:b/>
        </w:rPr>
        <w:t>Observation</w:t>
      </w:r>
      <w:r w:rsidR="00BF0F0F" w:rsidRPr="00BF0F0F">
        <w:rPr>
          <w:b/>
        </w:rPr>
        <w:t xml:space="preserve"> 1:</w:t>
      </w:r>
      <w:r w:rsidR="00BF0F0F" w:rsidRPr="00BF0F0F">
        <w:t xml:space="preserve"> using the 99% percentile approach the coexistence spurious emission output power in UL could be changed t</w:t>
      </w:r>
      <w:r>
        <w:t>o -40</w:t>
      </w:r>
      <w:r w:rsidR="00BF0F0F" w:rsidRPr="00BF0F0F">
        <w:t>dBm</w:t>
      </w:r>
      <w:r w:rsidR="00710294">
        <w:t>.</w:t>
      </w:r>
    </w:p>
    <w:p w14:paraId="517968AC" w14:textId="77777777" w:rsidR="00AD2FC7" w:rsidRPr="00AD2FC7" w:rsidRDefault="00AD2FC7" w:rsidP="000747F0">
      <w:pPr>
        <w:rPr>
          <w:color w:val="FF0000"/>
        </w:rPr>
      </w:pPr>
    </w:p>
    <w:p w14:paraId="032F6771" w14:textId="6F016239" w:rsidR="0092288C" w:rsidRDefault="0092288C" w:rsidP="0092288C">
      <w:pPr>
        <w:pStyle w:val="Heading2"/>
      </w:pPr>
      <w:r>
        <w:t>2.</w:t>
      </w:r>
      <w:r w:rsidR="00CB7AE6">
        <w:t>3</w:t>
      </w:r>
      <w:r>
        <w:t>.</w:t>
      </w:r>
      <w:r>
        <w:tab/>
        <w:t>BS-UE</w:t>
      </w:r>
    </w:p>
    <w:p w14:paraId="2BF578FE" w14:textId="1E602119" w:rsidR="0092288C" w:rsidRDefault="00F44299" w:rsidP="000747F0">
      <w:r>
        <w:t>It is assumed that the UE has an omni directional antenna, so if the BS aggressor is assumed to have a non-correlated radiation pattern the variation in the analysis comes from the location of the victim UE alone, the variation occurs in both the PL (due to distance and shadow fading) and direction. If the aggressor BS radiation pattern is assumed to be correlated then the aggressor network UE direction will affect the aggressor antenna gain pattern and this will be an additional variable.</w:t>
      </w:r>
    </w:p>
    <w:p w14:paraId="68E27D58" w14:textId="3720FA9F" w:rsidR="00D24D18" w:rsidRDefault="00D24D18" w:rsidP="000747F0">
      <w:r>
        <w:t xml:space="preserve">As the victim UE is at ground level and well within the range of the </w:t>
      </w:r>
      <w:proofErr w:type="spellStart"/>
      <w:r>
        <w:t>UMa</w:t>
      </w:r>
      <w:proofErr w:type="spellEnd"/>
      <w:r>
        <w:t xml:space="preserve"> PL model only the path loss model is considered.</w:t>
      </w:r>
    </w:p>
    <w:p w14:paraId="0E1165D9" w14:textId="77777777" w:rsidR="00FE76BD" w:rsidRDefault="00FE76BD" w:rsidP="00FE76BD">
      <w:r>
        <w:t>In the original analysis for BS-UE coupling the MR MCL of 53dB was used, for MR the minimum antenna distance is 5m not 35m, the 17dB difference being a rather simplistic difference in FSPL at 2GHz.</w:t>
      </w:r>
    </w:p>
    <w:p w14:paraId="4C7CF37F" w14:textId="232215DA" w:rsidR="00FE76BD" w:rsidRDefault="00FE76BD" w:rsidP="00FE76BD">
      <w:r>
        <w:t xml:space="preserve">Whilst there </w:t>
      </w:r>
      <w:r w:rsidR="005110D4">
        <w:t>is</w:t>
      </w:r>
      <w:r>
        <w:t xml:space="preserve"> difference to antenna heights and definitions (and PL models) between WA and MR the effect of reducing the UE minimum distance to 5m was also investigated.</w:t>
      </w:r>
    </w:p>
    <w:p w14:paraId="073B6EAC" w14:textId="77777777" w:rsidR="00FE76BD" w:rsidRDefault="00FE76BD" w:rsidP="000747F0"/>
    <w:p w14:paraId="1588DA21" w14:textId="6DAD0A75" w:rsidR="00F44299" w:rsidRDefault="00F44299" w:rsidP="00F44299">
      <w:pPr>
        <w:pStyle w:val="Heading3"/>
      </w:pPr>
      <w:r>
        <w:t>2.</w:t>
      </w:r>
      <w:r w:rsidR="00CB7AE6">
        <w:t>3</w:t>
      </w:r>
      <w:r>
        <w:t>.1</w:t>
      </w:r>
      <w:r>
        <w:tab/>
        <w:t>Results</w:t>
      </w:r>
    </w:p>
    <w:p w14:paraId="6AAA6FF2" w14:textId="0D653A10" w:rsidR="00FE76BD" w:rsidRPr="00FE76BD" w:rsidRDefault="005D55AC" w:rsidP="00FE76BD">
      <w:r>
        <w:t>Results</w:t>
      </w:r>
      <w:r w:rsidR="00FE76BD">
        <w:t xml:space="preserve"> were captured for 35m and 5m minimum distance, the difference was undetectable, this is because the probability of a UE falling closer than 35m is quite small, combined with the fading and the antenna gain variations it could not be detected in the number of samples investigated (it would no doubt show up in the worst-case figure if enough samples were run but the difference was not important at the 99% value</w:t>
      </w:r>
      <w:r w:rsidR="005110D4">
        <w:t>)</w:t>
      </w:r>
      <w:r w:rsidR="00FE76BD">
        <w:t>. All results are captured with a 5m minimum distance.</w:t>
      </w:r>
    </w:p>
    <w:p w14:paraId="29B90835" w14:textId="22772889" w:rsidR="00F44299" w:rsidRDefault="00F44299" w:rsidP="005121D8">
      <w:pPr>
        <w:pStyle w:val="Heading4"/>
      </w:pPr>
      <w:r>
        <w:t>2.</w:t>
      </w:r>
      <w:r w:rsidR="00CB7AE6">
        <w:t>3</w:t>
      </w:r>
      <w:r>
        <w:t>.1.1</w:t>
      </w:r>
      <w:r>
        <w:tab/>
        <w:t>Fundamental - 6.4GHz aggressor</w:t>
      </w:r>
    </w:p>
    <w:p w14:paraId="4D39492C" w14:textId="77777777" w:rsidR="00F44299" w:rsidRPr="00F44299" w:rsidRDefault="00F44299" w:rsidP="00F44299"/>
    <w:p w14:paraId="7448661B" w14:textId="0E1C6AA3" w:rsidR="00F44299" w:rsidRDefault="00F44299" w:rsidP="00F44299">
      <w:r w:rsidRPr="00F44299">
        <w:rPr>
          <w:noProof/>
        </w:rPr>
        <w:drawing>
          <wp:inline distT="0" distB="0" distL="0" distR="0" wp14:anchorId="334120B3" wp14:editId="3403E20A">
            <wp:extent cx="6646545" cy="249102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646545" cy="2491024"/>
                    </a:xfrm>
                    <a:prstGeom prst="rect">
                      <a:avLst/>
                    </a:prstGeom>
                    <a:noFill/>
                    <a:ln>
                      <a:noFill/>
                    </a:ln>
                  </pic:spPr>
                </pic:pic>
              </a:graphicData>
            </a:graphic>
          </wp:inline>
        </w:drawing>
      </w:r>
    </w:p>
    <w:p w14:paraId="7333AA7B" w14:textId="505AD753" w:rsidR="00F44299" w:rsidRDefault="009F64CD" w:rsidP="00F44299">
      <w:r>
        <w:lastRenderedPageBreak/>
        <w:t xml:space="preserve">As the UE has an omni directional antenna we are seeing less variation, specifically for the uncorrelated where the BS </w:t>
      </w:r>
      <w:r w:rsidR="005110D4">
        <w:t xml:space="preserve">antenna </w:t>
      </w:r>
      <w:r>
        <w:t>pattern is effectively fixed and the LOS/NLOS kin</w:t>
      </w:r>
      <w:r w:rsidR="000762EB">
        <w:t>d</w:t>
      </w:r>
      <w:r>
        <w:t xml:space="preserve"> of the PL model can be identified in the results.</w:t>
      </w:r>
    </w:p>
    <w:p w14:paraId="6B4D399F" w14:textId="77777777" w:rsidR="00FE76BD" w:rsidRDefault="009F64CD" w:rsidP="00F44299">
      <w:proofErr w:type="gramStart"/>
      <w:r>
        <w:t>Similarly</w:t>
      </w:r>
      <w:proofErr w:type="gramEnd"/>
      <w:r>
        <w:t xml:space="preserve"> as the BS-BS </w:t>
      </w:r>
      <w:r w:rsidR="00FE76BD">
        <w:t>results</w:t>
      </w:r>
      <w:r>
        <w:t xml:space="preserve"> the uncorrelated is generally higher but</w:t>
      </w:r>
      <w:r w:rsidR="00FE76BD">
        <w:t xml:space="preserve"> in this case by the</w:t>
      </w:r>
      <w:r>
        <w:t xml:space="preserve"> 99</w:t>
      </w:r>
      <w:r w:rsidRPr="009F64CD">
        <w:rPr>
          <w:vertAlign w:val="superscript"/>
        </w:rPr>
        <w:t>th</w:t>
      </w:r>
      <w:r>
        <w:t xml:space="preserve"> percentile the lines </w:t>
      </w:r>
      <w:r w:rsidR="00FE76BD">
        <w:t>have already crossed so the correlated case is worse.</w:t>
      </w:r>
    </w:p>
    <w:p w14:paraId="1B2D27A7" w14:textId="60A68F37" w:rsidR="009F64CD" w:rsidRDefault="00FE76BD" w:rsidP="00F44299">
      <w:r>
        <w:t>As with the BS-BS the effect of the dipole model is minimal.</w:t>
      </w:r>
      <w:r w:rsidR="009F64CD">
        <w:t xml:space="preserve"> </w:t>
      </w:r>
    </w:p>
    <w:p w14:paraId="0B7973BA" w14:textId="480376E6" w:rsidR="00F44299" w:rsidRDefault="00F44299" w:rsidP="005121D8">
      <w:pPr>
        <w:pStyle w:val="Heading4"/>
      </w:pPr>
      <w:r>
        <w:t>2.</w:t>
      </w:r>
      <w:r w:rsidR="00CB7AE6">
        <w:t>3</w:t>
      </w:r>
      <w:r>
        <w:t>.1.2</w:t>
      </w:r>
      <w:r>
        <w:tab/>
        <w:t>2</w:t>
      </w:r>
      <w:r w:rsidRPr="00F44299">
        <w:rPr>
          <w:vertAlign w:val="superscript"/>
        </w:rPr>
        <w:t>nd</w:t>
      </w:r>
      <w:r>
        <w:t xml:space="preserve"> harmonic – 3.2GHz aggressor</w:t>
      </w:r>
    </w:p>
    <w:p w14:paraId="111FC947" w14:textId="70D11A07" w:rsidR="00F44299" w:rsidRDefault="00F44299" w:rsidP="00F44299">
      <w:r w:rsidRPr="00F44299">
        <w:rPr>
          <w:noProof/>
        </w:rPr>
        <w:drawing>
          <wp:inline distT="0" distB="0" distL="0" distR="0" wp14:anchorId="3CB52BE7" wp14:editId="060E8FF9">
            <wp:extent cx="6646545" cy="242843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46545" cy="2428434"/>
                    </a:xfrm>
                    <a:prstGeom prst="rect">
                      <a:avLst/>
                    </a:prstGeom>
                    <a:noFill/>
                    <a:ln>
                      <a:noFill/>
                    </a:ln>
                  </pic:spPr>
                </pic:pic>
              </a:graphicData>
            </a:graphic>
          </wp:inline>
        </w:drawing>
      </w:r>
    </w:p>
    <w:p w14:paraId="20E071B6" w14:textId="00AD1EFE" w:rsidR="00FE76BD" w:rsidRDefault="00FE76BD" w:rsidP="00F44299">
      <w:r>
        <w:t>Similar pattern to the fundamental results, the effect of the dipole model in this case is a bit more pronounced but still not great.</w:t>
      </w:r>
    </w:p>
    <w:p w14:paraId="30CF006A" w14:textId="47F53709" w:rsidR="00F44299" w:rsidRDefault="00F44299" w:rsidP="005121D8">
      <w:pPr>
        <w:pStyle w:val="Heading4"/>
      </w:pPr>
      <w:r>
        <w:t>2.</w:t>
      </w:r>
      <w:r w:rsidR="00CB7AE6">
        <w:t>3</w:t>
      </w:r>
      <w:r>
        <w:t>.1.3</w:t>
      </w:r>
      <w:r>
        <w:tab/>
        <w:t>3</w:t>
      </w:r>
      <w:r w:rsidRPr="00F44299">
        <w:rPr>
          <w:vertAlign w:val="superscript"/>
        </w:rPr>
        <w:t>rd</w:t>
      </w:r>
      <w:r>
        <w:t xml:space="preserve"> harmonic – 2.1GHz aggressor</w:t>
      </w:r>
    </w:p>
    <w:p w14:paraId="75CF67D3" w14:textId="77777777" w:rsidR="00F44299" w:rsidRDefault="00F44299" w:rsidP="00F44299"/>
    <w:p w14:paraId="65155D8B" w14:textId="3F3C4A71" w:rsidR="00F44299" w:rsidRPr="00F44299" w:rsidRDefault="00F44299" w:rsidP="00F44299">
      <w:r w:rsidRPr="00F44299">
        <w:rPr>
          <w:noProof/>
        </w:rPr>
        <w:drawing>
          <wp:inline distT="0" distB="0" distL="0" distR="0" wp14:anchorId="50E38157" wp14:editId="379021A2">
            <wp:extent cx="6646545" cy="251122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6545" cy="2511227"/>
                    </a:xfrm>
                    <a:prstGeom prst="rect">
                      <a:avLst/>
                    </a:prstGeom>
                    <a:noFill/>
                    <a:ln>
                      <a:noFill/>
                    </a:ln>
                  </pic:spPr>
                </pic:pic>
              </a:graphicData>
            </a:graphic>
          </wp:inline>
        </w:drawing>
      </w:r>
    </w:p>
    <w:p w14:paraId="3EDAC37E" w14:textId="5C5BE965" w:rsidR="00F44299" w:rsidRDefault="00FE76BD" w:rsidP="000747F0">
      <w:r>
        <w:t>Similar pattern to the fundamental results, the effect of the dipole model in this case is a bit more pronounced but still not great.</w:t>
      </w:r>
    </w:p>
    <w:p w14:paraId="2D9A8A5D" w14:textId="254D3A2D" w:rsidR="00D24D18" w:rsidRDefault="00D24D18" w:rsidP="005121D8">
      <w:pPr>
        <w:pStyle w:val="Heading4"/>
      </w:pPr>
      <w:r>
        <w:t>2.</w:t>
      </w:r>
      <w:r w:rsidR="00CB7AE6">
        <w:t>3</w:t>
      </w:r>
      <w:r>
        <w:t>.1</w:t>
      </w:r>
      <w:r w:rsidR="00CB7AE6">
        <w:t>.</w:t>
      </w:r>
      <w:r>
        <w:t>4</w:t>
      </w:r>
      <w:r>
        <w:tab/>
        <w:t>Summary</w:t>
      </w:r>
    </w:p>
    <w:p w14:paraId="6A5C4E1B" w14:textId="1EBD8506" w:rsidR="00002BAC" w:rsidRPr="00273DFA" w:rsidRDefault="00AB1CA5" w:rsidP="00273DFA">
      <w:pPr>
        <w:jc w:val="center"/>
        <w:rPr>
          <w:b/>
          <w:bCs/>
        </w:rPr>
      </w:pPr>
      <w:r w:rsidRPr="00273DFA">
        <w:rPr>
          <w:b/>
          <w:bCs/>
        </w:rPr>
        <w:t>Table 2.</w:t>
      </w:r>
      <w:r w:rsidR="00273DFA">
        <w:rPr>
          <w:b/>
          <w:bCs/>
        </w:rPr>
        <w:t>3</w:t>
      </w:r>
      <w:r w:rsidRPr="00273DFA">
        <w:rPr>
          <w:b/>
          <w:bCs/>
        </w:rPr>
        <w:t>.1.4. BS-UE coupling summary</w:t>
      </w:r>
    </w:p>
    <w:p w14:paraId="36BDDA03" w14:textId="417B9D5F" w:rsidR="00002BAC" w:rsidRDefault="00D24D18" w:rsidP="000762EB">
      <w:pPr>
        <w:jc w:val="center"/>
      </w:pPr>
      <w:r>
        <w:object w:dxaOrig="7667" w:dyaOrig="2843" w14:anchorId="471310E3">
          <v:shape id="_x0000_i1027" type="#_x0000_t75" style="width:383.25pt;height:141.75pt" o:ole="">
            <v:imagedata r:id="rId21" o:title=""/>
          </v:shape>
          <o:OLEObject Type="Embed" ProgID="Excel.Sheet.12" ShapeID="_x0000_i1027" DrawAspect="Content" ObjectID="_1816802170" r:id="rId22"/>
        </w:object>
      </w:r>
    </w:p>
    <w:p w14:paraId="3E51153C" w14:textId="28FF1F12" w:rsidR="00D24D18" w:rsidRDefault="00D24D18" w:rsidP="000747F0">
      <w:r>
        <w:t>Looking at the results we can see:</w:t>
      </w:r>
    </w:p>
    <w:p w14:paraId="70E5B732" w14:textId="5774E44D" w:rsidR="00D24D18" w:rsidRDefault="00AD2FC7" w:rsidP="00D24D18">
      <w:pPr>
        <w:pStyle w:val="ListParagraph"/>
        <w:numPr>
          <w:ilvl w:val="0"/>
          <w:numId w:val="39"/>
        </w:numPr>
        <w:ind w:firstLineChars="0"/>
      </w:pPr>
      <w:r>
        <w:t>Uncorrelated coupling is generally higher but at the high percentiles the CCDF curve cross over and at 99% the correlated results have higher coupling (for the BS-BS this cross over happens at even higher percentile values)</w:t>
      </w:r>
    </w:p>
    <w:p w14:paraId="2C035142" w14:textId="17D28A5C" w:rsidR="00D24D18" w:rsidRDefault="00AD2FC7" w:rsidP="00D24D18">
      <w:pPr>
        <w:pStyle w:val="ListParagraph"/>
        <w:numPr>
          <w:ilvl w:val="0"/>
          <w:numId w:val="39"/>
        </w:numPr>
        <w:ind w:firstLineChars="0"/>
      </w:pPr>
      <w:r>
        <w:t xml:space="preserve">As the direction of the victim is no longer fixed the impact of the element model is greater. </w:t>
      </w:r>
      <w:r w:rsidR="00D24D18">
        <w:t>The dipole model has most impact when considering correlated worst case.</w:t>
      </w:r>
      <w:r>
        <w:t xml:space="preserve"> </w:t>
      </w:r>
      <w:proofErr w:type="gramStart"/>
      <w:r>
        <w:t>However</w:t>
      </w:r>
      <w:proofErr w:type="gramEnd"/>
      <w:r>
        <w:t xml:space="preserve"> at 99</w:t>
      </w:r>
      <w:r w:rsidRPr="00AD2FC7">
        <w:rPr>
          <w:vertAlign w:val="superscript"/>
        </w:rPr>
        <w:t>th</w:t>
      </w:r>
      <w:r>
        <w:t xml:space="preserve"> percentile the impact is minimal.</w:t>
      </w:r>
    </w:p>
    <w:p w14:paraId="76698A52" w14:textId="3F180CA4" w:rsidR="00D24D18" w:rsidRDefault="00D24D18" w:rsidP="00D24D18">
      <w:pPr>
        <w:pStyle w:val="ListParagraph"/>
        <w:numPr>
          <w:ilvl w:val="0"/>
          <w:numId w:val="39"/>
        </w:numPr>
        <w:ind w:firstLineChars="0"/>
      </w:pPr>
      <w:r>
        <w:t>In almost all cases the statistical assumptions demonstrate lower coupling than the worst case MCL assumptions [</w:t>
      </w:r>
      <w:r w:rsidR="00E0367D">
        <w:t>2</w:t>
      </w:r>
      <w:r>
        <w:t>]</w:t>
      </w:r>
    </w:p>
    <w:p w14:paraId="18A9B411" w14:textId="0A8AB340" w:rsidR="00FE76BD" w:rsidRDefault="005D55AC" w:rsidP="00D24D18">
      <w:pPr>
        <w:pStyle w:val="ListParagraph"/>
        <w:numPr>
          <w:ilvl w:val="0"/>
          <w:numId w:val="39"/>
        </w:numPr>
        <w:ind w:firstLineChars="0"/>
      </w:pPr>
      <w:r>
        <w:t>Same frequency co-existence is not a use case but yields the highest coupling – a close frequency in a nearby band could be a use case so we should consider if this should be included.</w:t>
      </w:r>
    </w:p>
    <w:p w14:paraId="060B4C69" w14:textId="77777777" w:rsidR="00C75CC0" w:rsidRDefault="00C75CC0" w:rsidP="00C75CC0">
      <w:pPr>
        <w:pStyle w:val="ListParagraph"/>
        <w:ind w:left="1140" w:firstLineChars="0" w:firstLine="0"/>
      </w:pPr>
    </w:p>
    <w:p w14:paraId="578CC88C" w14:textId="67A50541" w:rsidR="005121D8" w:rsidRDefault="005121D8" w:rsidP="005121D8">
      <w:pPr>
        <w:pStyle w:val="Heading3"/>
      </w:pPr>
      <w:r>
        <w:t>2.</w:t>
      </w:r>
      <w:r w:rsidR="00CB7AE6">
        <w:t>3</w:t>
      </w:r>
      <w:r>
        <w:t>.2</w:t>
      </w:r>
      <w:r>
        <w:tab/>
        <w:t>Summary</w:t>
      </w:r>
    </w:p>
    <w:p w14:paraId="4EF69905" w14:textId="281CB76E" w:rsidR="005121D8" w:rsidRDefault="005121D8" w:rsidP="005121D8">
      <w:pPr>
        <w:pStyle w:val="B1"/>
        <w:ind w:left="0" w:firstLine="0"/>
      </w:pPr>
      <w:r>
        <w:t xml:space="preserve">The existing co-existence spurious power requirement in the DL is -52dBm and this assumes a coupling loss of 53dB and </w:t>
      </w:r>
      <w:proofErr w:type="spellStart"/>
      <w:r>
        <w:t>des</w:t>
      </w:r>
      <w:r w:rsidR="005D55AC">
        <w:t>e</w:t>
      </w:r>
      <w:r>
        <w:t>nse</w:t>
      </w:r>
      <w:proofErr w:type="spellEnd"/>
      <w:r>
        <w:t xml:space="preserve"> of 3dB at the victim UE.</w:t>
      </w:r>
    </w:p>
    <w:p w14:paraId="65593FD0" w14:textId="7A7F076C" w:rsidR="005121D8" w:rsidRDefault="005121D8" w:rsidP="005121D8">
      <w:pPr>
        <w:pStyle w:val="B1"/>
        <w:ind w:left="0" w:firstLine="0"/>
      </w:pPr>
      <w:r>
        <w:t xml:space="preserve">Using the statistical analysis </w:t>
      </w:r>
      <w:proofErr w:type="gramStart"/>
      <w:r>
        <w:t>approach</w:t>
      </w:r>
      <w:proofErr w:type="gramEnd"/>
      <w:r>
        <w:t xml:space="preserve"> we have a 99% percentile coupling loss of </w:t>
      </w:r>
      <w:r w:rsidR="005D55AC">
        <w:t>66d</w:t>
      </w:r>
      <w:r>
        <w:t>B</w:t>
      </w:r>
      <w:r w:rsidR="00C75CC0">
        <w:t>.</w:t>
      </w:r>
    </w:p>
    <w:p w14:paraId="2BF1F717" w14:textId="77777777" w:rsidR="005121D8" w:rsidRDefault="005121D8" w:rsidP="005121D8">
      <w:pPr>
        <w:pStyle w:val="B1"/>
        <w:ind w:left="0" w:firstLine="0"/>
      </w:pPr>
      <w:r>
        <w:t xml:space="preserve">The emission requirement is hence: </w:t>
      </w:r>
    </w:p>
    <w:p w14:paraId="7CA0EFBD" w14:textId="7662E5FC" w:rsidR="005121D8" w:rsidRPr="00002DE8" w:rsidRDefault="00682CB8" w:rsidP="005121D8">
      <w:pPr>
        <w:ind w:left="1988" w:firstLine="284"/>
        <w:rPr>
          <w:lang w:val="pl-PL"/>
        </w:rPr>
      </w:pPr>
      <m:oMath>
        <m:sSub>
          <m:sSubPr>
            <m:ctrlPr>
              <w:rPr>
                <w:rFonts w:ascii="Cambria Math" w:hAnsi="Cambria Math"/>
                <w:i/>
                <w:iCs/>
              </w:rPr>
            </m:ctrlPr>
          </m:sSubPr>
          <m:e>
            <m:r>
              <w:rPr>
                <w:rFonts w:ascii="Cambria Math" w:hAnsi="Cambria Math"/>
              </w:rPr>
              <m:t>P</m:t>
            </m:r>
          </m:e>
          <m:sub>
            <m:r>
              <w:rPr>
                <w:rFonts w:ascii="Cambria Math" w:hAnsi="Cambria Math"/>
              </w:rPr>
              <m:t>co</m:t>
            </m:r>
            <m:r>
              <w:rPr>
                <w:rFonts w:ascii="Cambria Math" w:hAnsi="Cambria Math"/>
                <w:lang w:val="pl-PL"/>
              </w:rPr>
              <m:t>-</m:t>
            </m:r>
            <m:r>
              <w:rPr>
                <w:rFonts w:ascii="Cambria Math" w:hAnsi="Cambria Math"/>
              </w:rPr>
              <m:t>existence</m:t>
            </m:r>
            <m:r>
              <w:rPr>
                <w:rFonts w:ascii="Cambria Math" w:hAnsi="Cambria Math"/>
                <w:lang w:val="pl-PL"/>
              </w:rPr>
              <m:t>_</m:t>
            </m:r>
            <m:r>
              <w:rPr>
                <w:rFonts w:ascii="Cambria Math" w:hAnsi="Cambria Math"/>
              </w:rPr>
              <m:t>DL</m:t>
            </m:r>
          </m:sub>
        </m:sSub>
        <m:r>
          <w:rPr>
            <w:rFonts w:ascii="Cambria Math" w:hAnsi="Cambria Math"/>
            <w:lang w:val="pl-PL"/>
          </w:rPr>
          <m:t>=-174+60+9+75-0</m:t>
        </m:r>
      </m:oMath>
      <w:r w:rsidR="00C75CC0">
        <w:rPr>
          <w:lang w:val="pl-PL"/>
        </w:rPr>
        <w:t xml:space="preserve"> </w:t>
      </w:r>
      <w:r w:rsidR="005121D8" w:rsidRPr="00002DE8">
        <w:rPr>
          <w:lang w:val="pl-PL"/>
        </w:rPr>
        <w:t>=</w:t>
      </w:r>
      <w:r w:rsidR="00C75CC0">
        <w:rPr>
          <w:lang w:val="pl-PL"/>
        </w:rPr>
        <w:t xml:space="preserve"> </w:t>
      </w:r>
      <w:r w:rsidR="005121D8" w:rsidRPr="00002DE8">
        <w:rPr>
          <w:lang w:val="pl-PL"/>
        </w:rPr>
        <w:t>-</w:t>
      </w:r>
      <w:r w:rsidR="005D55AC" w:rsidRPr="00002DE8">
        <w:rPr>
          <w:lang w:val="pl-PL"/>
        </w:rPr>
        <w:t>39</w:t>
      </w:r>
      <w:r w:rsidR="005121D8" w:rsidRPr="00002DE8">
        <w:rPr>
          <w:lang w:val="pl-PL"/>
        </w:rPr>
        <w:t>dBm/MHz</w:t>
      </w:r>
    </w:p>
    <w:p w14:paraId="451A2351" w14:textId="0AFB64FE" w:rsidR="005121D8" w:rsidRDefault="005121D8" w:rsidP="005121D8">
      <w:pPr>
        <w:pStyle w:val="B1"/>
        <w:ind w:left="0" w:firstLine="0"/>
      </w:pPr>
      <w:r>
        <w:t>(</w:t>
      </w:r>
      <w:proofErr w:type="gramStart"/>
      <w:r>
        <w:t>note</w:t>
      </w:r>
      <w:proofErr w:type="gramEnd"/>
      <w:r>
        <w:t xml:space="preserve"> UE NF is 9dB @ 6.4GHz)</w:t>
      </w:r>
    </w:p>
    <w:p w14:paraId="16C9A56F" w14:textId="4B1DE22B" w:rsidR="005121D8" w:rsidRDefault="005D55AC" w:rsidP="005121D8">
      <w:r>
        <w:rPr>
          <w:b/>
        </w:rPr>
        <w:t>Observation</w:t>
      </w:r>
      <w:r w:rsidR="005121D8" w:rsidRPr="00BF0F0F">
        <w:rPr>
          <w:b/>
        </w:rPr>
        <w:t xml:space="preserve"> </w:t>
      </w:r>
      <w:r w:rsidR="005121D8">
        <w:rPr>
          <w:b/>
        </w:rPr>
        <w:t>2</w:t>
      </w:r>
      <w:r w:rsidR="005121D8" w:rsidRPr="00BF0F0F">
        <w:rPr>
          <w:b/>
        </w:rPr>
        <w:t>:</w:t>
      </w:r>
      <w:r w:rsidR="005121D8" w:rsidRPr="00BF0F0F">
        <w:t xml:space="preserve"> using the 99% percentile approach the coexistence spurious emission output power in </w:t>
      </w:r>
      <w:r w:rsidR="005121D8">
        <w:t>D</w:t>
      </w:r>
      <w:r w:rsidR="005121D8" w:rsidRPr="00BF0F0F">
        <w:t>L could be changed to</w:t>
      </w:r>
      <w:r>
        <w:t xml:space="preserve">      -39</w:t>
      </w:r>
      <w:r w:rsidR="005121D8" w:rsidRPr="00BF0F0F">
        <w:t>dBm</w:t>
      </w:r>
      <w:r w:rsidR="00C75CC0">
        <w:t>.</w:t>
      </w:r>
    </w:p>
    <w:p w14:paraId="2F8CF40F" w14:textId="35FE7BA4" w:rsidR="005D55AC" w:rsidRDefault="005D55AC" w:rsidP="005121D8">
      <w:r>
        <w:t>It has been noted that the existing requirement is based on the MR MCL value, it should be further discussed if simulations should be carried out for MR or micro cell scenarios.</w:t>
      </w:r>
    </w:p>
    <w:p w14:paraId="7EDA0243" w14:textId="3A872C88" w:rsidR="005D55AC" w:rsidRDefault="005D55AC" w:rsidP="005121D8">
      <w:r w:rsidRPr="001A33FC">
        <w:rPr>
          <w:b/>
        </w:rPr>
        <w:t>Observation 3</w:t>
      </w:r>
      <w:r>
        <w:t xml:space="preserve">: </w:t>
      </w:r>
      <w:r w:rsidR="001A33FC">
        <w:t>It should be discussed further if micro cell scenarios should be investigated</w:t>
      </w:r>
    </w:p>
    <w:p w14:paraId="6486AEAA" w14:textId="40C772CB" w:rsidR="005D55AC" w:rsidRDefault="005D55AC" w:rsidP="00002DE8">
      <w:pPr>
        <w:pStyle w:val="Heading3"/>
      </w:pPr>
      <w:r>
        <w:t>2.</w:t>
      </w:r>
      <w:r w:rsidR="00C75CC0">
        <w:t>4</w:t>
      </w:r>
      <w:r>
        <w:tab/>
        <w:t>TDD</w:t>
      </w:r>
    </w:p>
    <w:p w14:paraId="5F3737E9" w14:textId="3E8BA9F7" w:rsidR="005D55AC" w:rsidRDefault="005D55AC" w:rsidP="005121D8">
      <w:r>
        <w:t xml:space="preserve">As n104 is a TDD band the interference from FDD (or unsynchronised TDD) could be from either </w:t>
      </w:r>
      <w:r w:rsidR="00C75CC0">
        <w:t xml:space="preserve">DL </w:t>
      </w:r>
      <w:r>
        <w:t>or UL as such we take the toughest requirement and apply it.</w:t>
      </w:r>
    </w:p>
    <w:p w14:paraId="4F3A3EB7" w14:textId="695FEFC1" w:rsidR="005D55AC" w:rsidRDefault="005D55AC" w:rsidP="005121D8">
      <w:r>
        <w:t>In the existing specification the UL requirement is -49dBm and the DL requirement is -52dBm. The TDD requirement is hence    -52dBm</w:t>
      </w:r>
      <w:r w:rsidR="00C75CC0">
        <w:t>.</w:t>
      </w:r>
    </w:p>
    <w:p w14:paraId="24FB1BE7" w14:textId="54962361" w:rsidR="005D55AC" w:rsidRDefault="005D55AC" w:rsidP="005121D8">
      <w:r>
        <w:t xml:space="preserve">In the simulations done here </w:t>
      </w:r>
    </w:p>
    <w:p w14:paraId="09207A1D" w14:textId="4FEB3AF3" w:rsidR="005D55AC" w:rsidRDefault="005D55AC" w:rsidP="005121D8">
      <w:r>
        <w:tab/>
        <w:t>The UL requirement is -40dBm</w:t>
      </w:r>
    </w:p>
    <w:p w14:paraId="0E4160D6" w14:textId="1ED83162" w:rsidR="005D55AC" w:rsidRDefault="005D55AC" w:rsidP="005121D8">
      <w:r>
        <w:tab/>
        <w:t>The DL requirement is -39dBm</w:t>
      </w:r>
    </w:p>
    <w:p w14:paraId="66EB3AB7" w14:textId="5E1911C0" w:rsidR="005D55AC" w:rsidRDefault="005D55AC" w:rsidP="005121D8">
      <w:r>
        <w:t>The TDD requirement would therefore be -40dBm.</w:t>
      </w:r>
    </w:p>
    <w:p w14:paraId="7DF44D00" w14:textId="207DAC70" w:rsidR="005D55AC" w:rsidRDefault="005D55AC" w:rsidP="005D55AC">
      <w:r>
        <w:rPr>
          <w:b/>
        </w:rPr>
        <w:t>Observation</w:t>
      </w:r>
      <w:r w:rsidRPr="00BF0F0F">
        <w:rPr>
          <w:b/>
        </w:rPr>
        <w:t xml:space="preserve"> </w:t>
      </w:r>
      <w:r w:rsidR="001A33FC">
        <w:rPr>
          <w:b/>
        </w:rPr>
        <w:t>4</w:t>
      </w:r>
      <w:r w:rsidRPr="00BF0F0F">
        <w:rPr>
          <w:b/>
        </w:rPr>
        <w:t>:</w:t>
      </w:r>
      <w:r w:rsidRPr="00BF0F0F">
        <w:t xml:space="preserve"> using the 99% percentile approach the coexistence spurious emission output power in </w:t>
      </w:r>
      <w:r>
        <w:t>TDD band</w:t>
      </w:r>
      <w:r w:rsidRPr="00BF0F0F">
        <w:t xml:space="preserve"> could be changed to</w:t>
      </w:r>
      <w:r>
        <w:t xml:space="preserve"> -40</w:t>
      </w:r>
      <w:r w:rsidRPr="00BF0F0F">
        <w:t>dBm</w:t>
      </w:r>
      <w:r w:rsidR="00C75CC0">
        <w:t>.</w:t>
      </w:r>
    </w:p>
    <w:p w14:paraId="0A83D2CC" w14:textId="77FAC24E" w:rsidR="005121D8" w:rsidRDefault="00971A2F" w:rsidP="005121D8">
      <w:pPr>
        <w:pStyle w:val="Heading1"/>
      </w:pPr>
      <w:r>
        <w:lastRenderedPageBreak/>
        <w:t>3</w:t>
      </w:r>
      <w:r>
        <w:tab/>
      </w:r>
      <w:r w:rsidR="00002DE8">
        <w:t>Conclusions</w:t>
      </w:r>
    </w:p>
    <w:p w14:paraId="13C4FF51" w14:textId="09A2DB4C" w:rsidR="005121D8" w:rsidRDefault="005121D8" w:rsidP="005121D8">
      <w:r>
        <w:t>In this paper we have looked at the simulation approach to obtaining coupling loss assumptions between BS and UE of co-existing bands in the same geographical area.</w:t>
      </w:r>
    </w:p>
    <w:p w14:paraId="47C39860" w14:textId="68F809D7" w:rsidR="005121D8" w:rsidRDefault="005121D8" w:rsidP="005121D8">
      <w:r>
        <w:t>In our previous paper [</w:t>
      </w:r>
      <w:r w:rsidR="00E0367D">
        <w:t>2</w:t>
      </w:r>
      <w:r>
        <w:t xml:space="preserve">] we used the MCL approach with modified assumptions about the AAS antennas and identified that this </w:t>
      </w:r>
      <w:proofErr w:type="gramStart"/>
      <w:r>
        <w:t>worst case</w:t>
      </w:r>
      <w:proofErr w:type="gramEnd"/>
      <w:r>
        <w:t xml:space="preserve"> approach yielded values similar to the existing requirements.</w:t>
      </w:r>
    </w:p>
    <w:p w14:paraId="758029B7" w14:textId="1CE5E1E5" w:rsidR="005121D8" w:rsidRDefault="005121D8" w:rsidP="005121D8">
      <w:r>
        <w:t>As AAS performance is more varied than the static MCL approach is able to incorporate a statistical simulation has been proposed and we have further investigated this.</w:t>
      </w:r>
    </w:p>
    <w:p w14:paraId="5401F5EB" w14:textId="0428EFC6" w:rsidR="000D55CE" w:rsidRDefault="001A33FC" w:rsidP="00BC7699">
      <w:pPr>
        <w:pStyle w:val="B1"/>
        <w:ind w:left="0" w:firstLine="0"/>
      </w:pPr>
      <w:r>
        <w:t>Based on urban macro simulations we have made the following observations:</w:t>
      </w:r>
    </w:p>
    <w:p w14:paraId="7CF796F3" w14:textId="326C21D9" w:rsidR="001A33FC" w:rsidRDefault="001A33FC" w:rsidP="001A33FC">
      <w:pPr>
        <w:ind w:left="420"/>
      </w:pPr>
      <w:r>
        <w:rPr>
          <w:b/>
        </w:rPr>
        <w:t>Observation</w:t>
      </w:r>
      <w:r w:rsidRPr="00BF0F0F">
        <w:rPr>
          <w:b/>
        </w:rPr>
        <w:t xml:space="preserve"> 1:</w:t>
      </w:r>
      <w:r w:rsidRPr="00BF0F0F">
        <w:t xml:space="preserve"> using the 99% percentile approach the coexistence spurious emission output power in UL could be changed t</w:t>
      </w:r>
      <w:r>
        <w:t>o -40</w:t>
      </w:r>
      <w:r w:rsidRPr="00BF0F0F">
        <w:t>dBm</w:t>
      </w:r>
      <w:r w:rsidR="00B00EFB">
        <w:t>.</w:t>
      </w:r>
    </w:p>
    <w:p w14:paraId="26883648" w14:textId="795B5A52" w:rsidR="001A33FC" w:rsidRDefault="001A33FC" w:rsidP="001A33FC">
      <w:pPr>
        <w:ind w:left="420"/>
      </w:pPr>
      <w:r>
        <w:rPr>
          <w:b/>
        </w:rPr>
        <w:t>Observation</w:t>
      </w:r>
      <w:r w:rsidRPr="00BF0F0F">
        <w:rPr>
          <w:b/>
        </w:rPr>
        <w:t xml:space="preserve"> </w:t>
      </w:r>
      <w:r>
        <w:rPr>
          <w:b/>
        </w:rPr>
        <w:t>2</w:t>
      </w:r>
      <w:r w:rsidRPr="00BF0F0F">
        <w:rPr>
          <w:b/>
        </w:rPr>
        <w:t>:</w:t>
      </w:r>
      <w:r w:rsidRPr="00BF0F0F">
        <w:t xml:space="preserve"> using the 99% percentile approach the coexistence spurious emission output power in </w:t>
      </w:r>
      <w:r>
        <w:t>D</w:t>
      </w:r>
      <w:r w:rsidRPr="00BF0F0F">
        <w:t>L could be changed to</w:t>
      </w:r>
      <w:r>
        <w:t xml:space="preserve"> -39</w:t>
      </w:r>
      <w:r w:rsidRPr="00BF0F0F">
        <w:t>dBm</w:t>
      </w:r>
      <w:r w:rsidR="00B00EFB">
        <w:t>.</w:t>
      </w:r>
    </w:p>
    <w:p w14:paraId="0EEE4F45" w14:textId="6E010DDF" w:rsidR="001A33FC" w:rsidRDefault="001A33FC" w:rsidP="001A33FC">
      <w:pPr>
        <w:ind w:left="420"/>
      </w:pPr>
      <w:r w:rsidRPr="001A33FC">
        <w:rPr>
          <w:b/>
        </w:rPr>
        <w:t>Observation 3</w:t>
      </w:r>
      <w:r>
        <w:t>: It should be discussed further if micro cell scenarios should be investigated</w:t>
      </w:r>
      <w:r w:rsidR="00B00EFB">
        <w:t>.</w:t>
      </w:r>
    </w:p>
    <w:p w14:paraId="23171DCD" w14:textId="397E04F8" w:rsidR="001A33FC" w:rsidRDefault="001A33FC" w:rsidP="001A33FC">
      <w:pPr>
        <w:ind w:left="420"/>
      </w:pPr>
      <w:r>
        <w:rPr>
          <w:b/>
        </w:rPr>
        <w:t>Observation</w:t>
      </w:r>
      <w:r w:rsidRPr="00BF0F0F">
        <w:rPr>
          <w:b/>
        </w:rPr>
        <w:t xml:space="preserve"> </w:t>
      </w:r>
      <w:r>
        <w:rPr>
          <w:b/>
        </w:rPr>
        <w:t>4</w:t>
      </w:r>
      <w:r w:rsidRPr="00BF0F0F">
        <w:rPr>
          <w:b/>
        </w:rPr>
        <w:t>:</w:t>
      </w:r>
      <w:r w:rsidRPr="00BF0F0F">
        <w:t xml:space="preserve"> using the 99% percentile approach the coexistence spurious emission output power in </w:t>
      </w:r>
      <w:r>
        <w:t>TDD band</w:t>
      </w:r>
      <w:r w:rsidRPr="00BF0F0F">
        <w:t xml:space="preserve"> could be changed to</w:t>
      </w:r>
      <w:r>
        <w:t xml:space="preserve"> -40</w:t>
      </w:r>
      <w:r w:rsidRPr="00BF0F0F">
        <w:t>dBm</w:t>
      </w:r>
      <w:r w:rsidR="00B00EFB">
        <w:t>.</w:t>
      </w:r>
    </w:p>
    <w:p w14:paraId="659ADAF0" w14:textId="6C8217E6" w:rsidR="001A33FC" w:rsidRDefault="001A33FC" w:rsidP="00BC7699">
      <w:pPr>
        <w:pStyle w:val="B1"/>
        <w:ind w:left="0" w:firstLine="0"/>
      </w:pPr>
      <w:r>
        <w:t>Based on these results the co-existence spurious emissions requirement in band n104 (and above) could be modified to -40dBm</w:t>
      </w:r>
      <w:r w:rsidR="00B00EFB">
        <w:t>:</w:t>
      </w:r>
    </w:p>
    <w:p w14:paraId="3914C428" w14:textId="55DBD022" w:rsidR="001A33FC" w:rsidRDefault="001A33FC" w:rsidP="00BC7699">
      <w:pPr>
        <w:pStyle w:val="B1"/>
        <w:ind w:left="0" w:firstLine="0"/>
      </w:pPr>
      <w:r>
        <w:tab/>
      </w:r>
      <w:r w:rsidRPr="001A33FC">
        <w:rPr>
          <w:b/>
        </w:rPr>
        <w:t>Proposal 1</w:t>
      </w:r>
      <w:r>
        <w:t>: The co-existence spurious emissions requirement in band n104 could be -40dBm</w:t>
      </w:r>
      <w:r w:rsidR="00B00EFB">
        <w:t>.</w:t>
      </w:r>
    </w:p>
    <w:p w14:paraId="675262F9" w14:textId="77777777" w:rsidR="000747F0" w:rsidRPr="00883F32" w:rsidRDefault="000747F0" w:rsidP="000747F0">
      <w:pPr>
        <w:pStyle w:val="Heading1"/>
        <w:ind w:left="0" w:firstLine="0"/>
        <w:rPr>
          <w:rFonts w:eastAsia="Arial" w:cs="Arial"/>
        </w:rPr>
      </w:pPr>
      <w:r w:rsidRPr="00883F32">
        <w:rPr>
          <w:rFonts w:cs="Arial"/>
        </w:rPr>
        <w:t>References</w:t>
      </w:r>
    </w:p>
    <w:p w14:paraId="5BA0C688" w14:textId="45CC49DA" w:rsidR="00D97338" w:rsidRDefault="000747F0" w:rsidP="000747F0">
      <w:r>
        <w:t>[1]</w:t>
      </w:r>
      <w:r w:rsidR="00E0367D">
        <w:tab/>
      </w:r>
      <w:r w:rsidR="00E0367D" w:rsidRPr="00447925">
        <w:t>R4-250</w:t>
      </w:r>
      <w:r w:rsidR="00E0367D">
        <w:t>8762</w:t>
      </w:r>
      <w:r w:rsidR="00E0367D" w:rsidRPr="00447925">
        <w:t xml:space="preserve"> </w:t>
      </w:r>
      <w:r w:rsidR="00E0367D" w:rsidRPr="00E0367D">
        <w:t>Way Forward for [115][303] NR_BS_RF_Part2_CLTA_SE: Tx spur co-ex</w:t>
      </w:r>
      <w:r>
        <w:tab/>
      </w:r>
      <w:r w:rsidR="00E0367D">
        <w:t xml:space="preserve"> Huawei</w:t>
      </w:r>
    </w:p>
    <w:p w14:paraId="7D3A1D54" w14:textId="5E8BF302" w:rsidR="000747F0" w:rsidRDefault="00E0367D" w:rsidP="000747F0">
      <w:r>
        <w:t>[2]</w:t>
      </w:r>
      <w:r>
        <w:tab/>
      </w:r>
      <w:r w:rsidR="000747F0" w:rsidRPr="00447925">
        <w:t>R4-250</w:t>
      </w:r>
      <w:r w:rsidR="00401867">
        <w:t>7446</w:t>
      </w:r>
      <w:r w:rsidR="000747F0" w:rsidRPr="00447925">
        <w:t xml:space="preserve"> </w:t>
      </w:r>
      <w:r w:rsidR="00401867" w:rsidRPr="00401867">
        <w:t>Tx spurious emissions co-existence limits re-evaluation</w:t>
      </w:r>
      <w:r w:rsidR="00401867">
        <w:t xml:space="preserve">, </w:t>
      </w:r>
      <w:r w:rsidR="000747F0">
        <w:t xml:space="preserve">Huawei </w:t>
      </w:r>
    </w:p>
    <w:p w14:paraId="02FD3697" w14:textId="41347E8D" w:rsidR="000747F0" w:rsidRDefault="000747F0" w:rsidP="000747F0">
      <w:r>
        <w:t>[</w:t>
      </w:r>
      <w:r w:rsidR="00E0367D">
        <w:t>3</w:t>
      </w:r>
      <w:r>
        <w:t>]</w:t>
      </w:r>
      <w:r>
        <w:tab/>
      </w:r>
      <w:r w:rsidR="00C85B3D">
        <w:t>R4-250</w:t>
      </w:r>
      <w:r w:rsidR="00401867">
        <w:t>7670</w:t>
      </w:r>
      <w:r w:rsidR="00C85B3D">
        <w:t xml:space="preserve"> </w:t>
      </w:r>
      <w:r w:rsidR="00401867" w:rsidRPr="00401867">
        <w:t>On Transmitter Spurious Emission Co-existence discussion</w:t>
      </w:r>
      <w:r w:rsidR="00C85B3D">
        <w:tab/>
        <w:t xml:space="preserve"> </w:t>
      </w:r>
      <w:r w:rsidR="00401867">
        <w:t>Ericsson</w:t>
      </w:r>
    </w:p>
    <w:p w14:paraId="3794D748" w14:textId="77777777" w:rsidR="008B52D3" w:rsidRDefault="008B52D3" w:rsidP="008B52D3">
      <w:pPr>
        <w:pStyle w:val="B1"/>
        <w:ind w:left="0" w:firstLine="0"/>
      </w:pPr>
    </w:p>
    <w:sectPr w:rsidR="008B52D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F4AD0" w14:textId="77777777" w:rsidR="00682CB8" w:rsidRPr="00A10429" w:rsidRDefault="00682CB8" w:rsidP="0064547A">
      <w:pPr>
        <w:spacing w:after="0"/>
        <w:rPr>
          <w:kern w:val="2"/>
          <w:lang w:eastAsia="zh-CN"/>
        </w:rPr>
      </w:pPr>
      <w:r>
        <w:separator/>
      </w:r>
    </w:p>
  </w:endnote>
  <w:endnote w:type="continuationSeparator" w:id="0">
    <w:p w14:paraId="3DF15368" w14:textId="77777777" w:rsidR="00682CB8" w:rsidRPr="00A10429" w:rsidRDefault="00682CB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A292E" w14:textId="77777777" w:rsidR="00682CB8" w:rsidRPr="00A10429" w:rsidRDefault="00682CB8" w:rsidP="0064547A">
      <w:pPr>
        <w:spacing w:after="0"/>
        <w:rPr>
          <w:kern w:val="2"/>
          <w:lang w:eastAsia="zh-CN"/>
        </w:rPr>
      </w:pPr>
      <w:r>
        <w:separator/>
      </w:r>
    </w:p>
  </w:footnote>
  <w:footnote w:type="continuationSeparator" w:id="0">
    <w:p w14:paraId="622BB09E" w14:textId="77777777" w:rsidR="00682CB8" w:rsidRPr="00A10429" w:rsidRDefault="00682CB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4E7EE5"/>
    <w:multiLevelType w:val="hybridMultilevel"/>
    <w:tmpl w:val="13C84920"/>
    <w:lvl w:ilvl="0" w:tplc="FFE6AEB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AA7C0A"/>
    <w:multiLevelType w:val="hybridMultilevel"/>
    <w:tmpl w:val="AA06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A2E57"/>
    <w:multiLevelType w:val="hybridMultilevel"/>
    <w:tmpl w:val="E2CA0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FE"/>
    <w:multiLevelType w:val="hybridMultilevel"/>
    <w:tmpl w:val="E1DC7276"/>
    <w:lvl w:ilvl="0" w:tplc="08090001">
      <w:start w:val="1"/>
      <w:numFmt w:val="bullet"/>
      <w:lvlText w:val=""/>
      <w:lvlJc w:val="left"/>
      <w:pPr>
        <w:ind w:left="1140" w:hanging="360"/>
      </w:pPr>
      <w:rPr>
        <w:rFonts w:ascii="Symbol" w:hAnsi="Symbol"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1F5388F"/>
    <w:multiLevelType w:val="hybridMultilevel"/>
    <w:tmpl w:val="FBD6F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475A5A"/>
    <w:multiLevelType w:val="multilevel"/>
    <w:tmpl w:val="E738F4D6"/>
    <w:lvl w:ilvl="0">
      <w:start w:val="1"/>
      <w:numFmt w:val="decimal"/>
      <w:lvlText w:val="%1.0"/>
      <w:lvlJc w:val="left"/>
      <w:pPr>
        <w:ind w:left="1133" w:hanging="1133"/>
      </w:pPr>
      <w:rPr>
        <w:rFonts w:hint="default"/>
      </w:rPr>
    </w:lvl>
    <w:lvl w:ilvl="1">
      <w:start w:val="1"/>
      <w:numFmt w:val="decimal"/>
      <w:lvlText w:val="%1.%2"/>
      <w:lvlJc w:val="left"/>
      <w:pPr>
        <w:ind w:left="1553" w:hanging="1133"/>
      </w:pPr>
      <w:rPr>
        <w:rFonts w:hint="default"/>
      </w:rPr>
    </w:lvl>
    <w:lvl w:ilvl="2">
      <w:start w:val="1"/>
      <w:numFmt w:val="decimal"/>
      <w:lvlText w:val="%1.%2.%3"/>
      <w:lvlJc w:val="left"/>
      <w:pPr>
        <w:ind w:left="1973" w:hanging="1133"/>
      </w:pPr>
      <w:rPr>
        <w:rFonts w:hint="default"/>
      </w:rPr>
    </w:lvl>
    <w:lvl w:ilvl="3">
      <w:start w:val="1"/>
      <w:numFmt w:val="decimal"/>
      <w:lvlText w:val="%1.%2.%3.%4"/>
      <w:lvlJc w:val="left"/>
      <w:pPr>
        <w:ind w:left="2393" w:hanging="1133"/>
      </w:pPr>
      <w:rPr>
        <w:rFonts w:hint="default"/>
      </w:rPr>
    </w:lvl>
    <w:lvl w:ilvl="4">
      <w:start w:val="1"/>
      <w:numFmt w:val="decimal"/>
      <w:lvlText w:val="%1.%2.%3.%4.%5"/>
      <w:lvlJc w:val="left"/>
      <w:pPr>
        <w:ind w:left="2813" w:hanging="1133"/>
      </w:pPr>
      <w:rPr>
        <w:rFonts w:hint="default"/>
      </w:rPr>
    </w:lvl>
    <w:lvl w:ilvl="5">
      <w:start w:val="1"/>
      <w:numFmt w:val="decimal"/>
      <w:lvlText w:val="%1.%2.%3.%4.%5.%6"/>
      <w:lvlJc w:val="left"/>
      <w:pPr>
        <w:ind w:left="3233" w:hanging="1133"/>
      </w:pPr>
      <w:rPr>
        <w:rFonts w:hint="default"/>
      </w:rPr>
    </w:lvl>
    <w:lvl w:ilvl="6">
      <w:start w:val="1"/>
      <w:numFmt w:val="decimal"/>
      <w:lvlText w:val="%1.%2.%3.%4.%5.%6.%7"/>
      <w:lvlJc w:val="left"/>
      <w:pPr>
        <w:ind w:left="3653" w:hanging="1133"/>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0" w15:restartNumberingAfterBreak="0">
    <w:nsid w:val="652803D4"/>
    <w:multiLevelType w:val="hybridMultilevel"/>
    <w:tmpl w:val="1C7E729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4"/>
  </w:num>
  <w:num w:numId="3">
    <w:abstractNumId w:val="28"/>
  </w:num>
  <w:num w:numId="4">
    <w:abstractNumId w:val="12"/>
  </w:num>
  <w:num w:numId="5">
    <w:abstractNumId w:val="5"/>
  </w:num>
  <w:num w:numId="6">
    <w:abstractNumId w:val="20"/>
  </w:num>
  <w:num w:numId="7">
    <w:abstractNumId w:val="4"/>
  </w:num>
  <w:num w:numId="8">
    <w:abstractNumId w:val="19"/>
  </w:num>
  <w:num w:numId="9">
    <w:abstractNumId w:val="31"/>
  </w:num>
  <w:num w:numId="10">
    <w:abstractNumId w:val="31"/>
  </w:num>
  <w:num w:numId="11">
    <w:abstractNumId w:val="1"/>
  </w:num>
  <w:num w:numId="12">
    <w:abstractNumId w:val="8"/>
  </w:num>
  <w:num w:numId="13">
    <w:abstractNumId w:val="7"/>
  </w:num>
  <w:num w:numId="14">
    <w:abstractNumId w:val="26"/>
  </w:num>
  <w:num w:numId="15">
    <w:abstractNumId w:val="31"/>
  </w:num>
  <w:num w:numId="16">
    <w:abstractNumId w:val="31"/>
  </w:num>
  <w:num w:numId="17">
    <w:abstractNumId w:val="18"/>
  </w:num>
  <w:num w:numId="18">
    <w:abstractNumId w:val="32"/>
  </w:num>
  <w:num w:numId="19">
    <w:abstractNumId w:val="31"/>
  </w:num>
  <w:num w:numId="20">
    <w:abstractNumId w:val="6"/>
  </w:num>
  <w:num w:numId="21">
    <w:abstractNumId w:val="31"/>
  </w:num>
  <w:num w:numId="22">
    <w:abstractNumId w:val="31"/>
  </w:num>
  <w:num w:numId="23">
    <w:abstractNumId w:val="9"/>
  </w:num>
  <w:num w:numId="24">
    <w:abstractNumId w:val="2"/>
  </w:num>
  <w:num w:numId="25">
    <w:abstractNumId w:val="0"/>
  </w:num>
  <w:num w:numId="26">
    <w:abstractNumId w:val="10"/>
  </w:num>
  <w:num w:numId="27">
    <w:abstractNumId w:val="11"/>
  </w:num>
  <w:num w:numId="28">
    <w:abstractNumId w:val="21"/>
  </w:num>
  <w:num w:numId="29">
    <w:abstractNumId w:val="24"/>
  </w:num>
  <w:num w:numId="30">
    <w:abstractNumId w:val="17"/>
  </w:num>
  <w:num w:numId="31">
    <w:abstractNumId w:val="16"/>
  </w:num>
  <w:num w:numId="32">
    <w:abstractNumId w:val="25"/>
  </w:num>
  <w:num w:numId="33">
    <w:abstractNumId w:val="15"/>
  </w:num>
  <w:num w:numId="34">
    <w:abstractNumId w:val="3"/>
  </w:num>
  <w:num w:numId="35">
    <w:abstractNumId w:val="27"/>
  </w:num>
  <w:num w:numId="36">
    <w:abstractNumId w:val="29"/>
  </w:num>
  <w:num w:numId="37">
    <w:abstractNumId w:val="13"/>
  </w:num>
  <w:num w:numId="38">
    <w:abstractNumId w:val="22"/>
  </w:num>
  <w:num w:numId="39">
    <w:abstractNumId w:val="23"/>
  </w:num>
  <w:num w:numId="4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AC"/>
    <w:rsid w:val="00002DE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BB2"/>
    <w:rsid w:val="00031F4A"/>
    <w:rsid w:val="0003209A"/>
    <w:rsid w:val="000322E7"/>
    <w:rsid w:val="000328AD"/>
    <w:rsid w:val="0003379A"/>
    <w:rsid w:val="00033BBF"/>
    <w:rsid w:val="000346D6"/>
    <w:rsid w:val="000363CC"/>
    <w:rsid w:val="000371E4"/>
    <w:rsid w:val="00037A80"/>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43B"/>
    <w:rsid w:val="0006018C"/>
    <w:rsid w:val="00060FE3"/>
    <w:rsid w:val="00061483"/>
    <w:rsid w:val="0006280E"/>
    <w:rsid w:val="00064870"/>
    <w:rsid w:val="00065C39"/>
    <w:rsid w:val="00065D20"/>
    <w:rsid w:val="00065F75"/>
    <w:rsid w:val="00065F76"/>
    <w:rsid w:val="00067448"/>
    <w:rsid w:val="00070CA9"/>
    <w:rsid w:val="0007125D"/>
    <w:rsid w:val="00071F1A"/>
    <w:rsid w:val="000722A2"/>
    <w:rsid w:val="00072DEC"/>
    <w:rsid w:val="00073A13"/>
    <w:rsid w:val="00073F9A"/>
    <w:rsid w:val="0007426D"/>
    <w:rsid w:val="000742F1"/>
    <w:rsid w:val="000747F0"/>
    <w:rsid w:val="00075063"/>
    <w:rsid w:val="00075248"/>
    <w:rsid w:val="0007587D"/>
    <w:rsid w:val="000762EB"/>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A0B"/>
    <w:rsid w:val="00092B72"/>
    <w:rsid w:val="00093417"/>
    <w:rsid w:val="00093796"/>
    <w:rsid w:val="00094102"/>
    <w:rsid w:val="00094284"/>
    <w:rsid w:val="00095015"/>
    <w:rsid w:val="00097F7D"/>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5F70"/>
    <w:rsid w:val="000F632A"/>
    <w:rsid w:val="000F73D2"/>
    <w:rsid w:val="000F78F0"/>
    <w:rsid w:val="0010029A"/>
    <w:rsid w:val="00100E5C"/>
    <w:rsid w:val="00101494"/>
    <w:rsid w:val="00101C27"/>
    <w:rsid w:val="00103A28"/>
    <w:rsid w:val="0010582B"/>
    <w:rsid w:val="00106F66"/>
    <w:rsid w:val="00107163"/>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07C"/>
    <w:rsid w:val="00123821"/>
    <w:rsid w:val="00124289"/>
    <w:rsid w:val="00124E13"/>
    <w:rsid w:val="00126CA6"/>
    <w:rsid w:val="001308F6"/>
    <w:rsid w:val="0013169D"/>
    <w:rsid w:val="00132700"/>
    <w:rsid w:val="0013378D"/>
    <w:rsid w:val="00133D05"/>
    <w:rsid w:val="00136061"/>
    <w:rsid w:val="00136834"/>
    <w:rsid w:val="00136D29"/>
    <w:rsid w:val="00136F3D"/>
    <w:rsid w:val="00137982"/>
    <w:rsid w:val="001402F2"/>
    <w:rsid w:val="00140C8D"/>
    <w:rsid w:val="0014152A"/>
    <w:rsid w:val="00141FC0"/>
    <w:rsid w:val="00144511"/>
    <w:rsid w:val="00145CDD"/>
    <w:rsid w:val="001460F4"/>
    <w:rsid w:val="0014612A"/>
    <w:rsid w:val="0014615A"/>
    <w:rsid w:val="001467B0"/>
    <w:rsid w:val="001467CE"/>
    <w:rsid w:val="00146A28"/>
    <w:rsid w:val="00146C80"/>
    <w:rsid w:val="00146F82"/>
    <w:rsid w:val="0015432E"/>
    <w:rsid w:val="00154449"/>
    <w:rsid w:val="00154782"/>
    <w:rsid w:val="001559C7"/>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BCA"/>
    <w:rsid w:val="00183889"/>
    <w:rsid w:val="00183CEE"/>
    <w:rsid w:val="00184F92"/>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3FC"/>
    <w:rsid w:val="001A3878"/>
    <w:rsid w:val="001A4100"/>
    <w:rsid w:val="001A49E4"/>
    <w:rsid w:val="001A4FA5"/>
    <w:rsid w:val="001A678E"/>
    <w:rsid w:val="001A76D9"/>
    <w:rsid w:val="001B0B5B"/>
    <w:rsid w:val="001B0E71"/>
    <w:rsid w:val="001B1F60"/>
    <w:rsid w:val="001B2301"/>
    <w:rsid w:val="001B32C5"/>
    <w:rsid w:val="001B3718"/>
    <w:rsid w:val="001B3849"/>
    <w:rsid w:val="001B39CE"/>
    <w:rsid w:val="001B3C61"/>
    <w:rsid w:val="001B4C1A"/>
    <w:rsid w:val="001B54DB"/>
    <w:rsid w:val="001B5C8F"/>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E73"/>
    <w:rsid w:val="001D10AC"/>
    <w:rsid w:val="001D2063"/>
    <w:rsid w:val="001D2361"/>
    <w:rsid w:val="001D273C"/>
    <w:rsid w:val="001D36C0"/>
    <w:rsid w:val="001D4516"/>
    <w:rsid w:val="001D4FDF"/>
    <w:rsid w:val="001D59D0"/>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D9D"/>
    <w:rsid w:val="001F769A"/>
    <w:rsid w:val="001F7B0F"/>
    <w:rsid w:val="0020016B"/>
    <w:rsid w:val="00200D69"/>
    <w:rsid w:val="002013B0"/>
    <w:rsid w:val="002019EC"/>
    <w:rsid w:val="00202016"/>
    <w:rsid w:val="00203620"/>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94"/>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7B9"/>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347"/>
    <w:rsid w:val="0027165B"/>
    <w:rsid w:val="00272043"/>
    <w:rsid w:val="002733D6"/>
    <w:rsid w:val="00273DFA"/>
    <w:rsid w:val="00274A7B"/>
    <w:rsid w:val="002753F6"/>
    <w:rsid w:val="002758E6"/>
    <w:rsid w:val="00275C6C"/>
    <w:rsid w:val="00275EAD"/>
    <w:rsid w:val="002765B2"/>
    <w:rsid w:val="00276AD0"/>
    <w:rsid w:val="00276FF1"/>
    <w:rsid w:val="00280D59"/>
    <w:rsid w:val="0028151D"/>
    <w:rsid w:val="00281711"/>
    <w:rsid w:val="00281A16"/>
    <w:rsid w:val="00281AE9"/>
    <w:rsid w:val="002829F6"/>
    <w:rsid w:val="00282BA4"/>
    <w:rsid w:val="002834E2"/>
    <w:rsid w:val="0028397A"/>
    <w:rsid w:val="0028649D"/>
    <w:rsid w:val="0028787D"/>
    <w:rsid w:val="002878A1"/>
    <w:rsid w:val="00287AAE"/>
    <w:rsid w:val="00290438"/>
    <w:rsid w:val="00290469"/>
    <w:rsid w:val="00290AC3"/>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ABA"/>
    <w:rsid w:val="002B3FCC"/>
    <w:rsid w:val="002B4EF5"/>
    <w:rsid w:val="002B58D7"/>
    <w:rsid w:val="002B5C09"/>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1D3B"/>
    <w:rsid w:val="002D3534"/>
    <w:rsid w:val="002D3E08"/>
    <w:rsid w:val="002D49F9"/>
    <w:rsid w:val="002D506B"/>
    <w:rsid w:val="002D509E"/>
    <w:rsid w:val="002D7E4C"/>
    <w:rsid w:val="002E0814"/>
    <w:rsid w:val="002E0B43"/>
    <w:rsid w:val="002E0C68"/>
    <w:rsid w:val="002E1AA9"/>
    <w:rsid w:val="002E1F02"/>
    <w:rsid w:val="002E2071"/>
    <w:rsid w:val="002E23DF"/>
    <w:rsid w:val="002E2404"/>
    <w:rsid w:val="002E2F7F"/>
    <w:rsid w:val="002E35B8"/>
    <w:rsid w:val="002E36ED"/>
    <w:rsid w:val="002E38AA"/>
    <w:rsid w:val="002E3B3A"/>
    <w:rsid w:val="002E3F07"/>
    <w:rsid w:val="002E4F8A"/>
    <w:rsid w:val="002E51B9"/>
    <w:rsid w:val="002E5846"/>
    <w:rsid w:val="002E591F"/>
    <w:rsid w:val="002E5B82"/>
    <w:rsid w:val="002E5DEC"/>
    <w:rsid w:val="002E6047"/>
    <w:rsid w:val="002E750D"/>
    <w:rsid w:val="002F047B"/>
    <w:rsid w:val="002F09A2"/>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7E7"/>
    <w:rsid w:val="00301F58"/>
    <w:rsid w:val="00302D41"/>
    <w:rsid w:val="003030A0"/>
    <w:rsid w:val="00303292"/>
    <w:rsid w:val="003041DD"/>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FE7"/>
    <w:rsid w:val="00333C95"/>
    <w:rsid w:val="00334004"/>
    <w:rsid w:val="003349CB"/>
    <w:rsid w:val="00335508"/>
    <w:rsid w:val="0033553F"/>
    <w:rsid w:val="00335EE4"/>
    <w:rsid w:val="00336D82"/>
    <w:rsid w:val="00337698"/>
    <w:rsid w:val="003408F4"/>
    <w:rsid w:val="00342FF0"/>
    <w:rsid w:val="0034357C"/>
    <w:rsid w:val="00343E64"/>
    <w:rsid w:val="00346AC1"/>
    <w:rsid w:val="0034792E"/>
    <w:rsid w:val="00347EE4"/>
    <w:rsid w:val="003516D1"/>
    <w:rsid w:val="0035188A"/>
    <w:rsid w:val="00351E6A"/>
    <w:rsid w:val="0035237C"/>
    <w:rsid w:val="0035447E"/>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C6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867"/>
    <w:rsid w:val="0040193A"/>
    <w:rsid w:val="00401B84"/>
    <w:rsid w:val="0040266A"/>
    <w:rsid w:val="00402879"/>
    <w:rsid w:val="00403C32"/>
    <w:rsid w:val="004048E8"/>
    <w:rsid w:val="00404FC1"/>
    <w:rsid w:val="00405461"/>
    <w:rsid w:val="0040649A"/>
    <w:rsid w:val="0040652B"/>
    <w:rsid w:val="00406B36"/>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A4D"/>
    <w:rsid w:val="0044560C"/>
    <w:rsid w:val="004465DF"/>
    <w:rsid w:val="0044753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74"/>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67E"/>
    <w:rsid w:val="004F4D22"/>
    <w:rsid w:val="004F5A68"/>
    <w:rsid w:val="004F62CD"/>
    <w:rsid w:val="004F7322"/>
    <w:rsid w:val="004F7894"/>
    <w:rsid w:val="005006E2"/>
    <w:rsid w:val="00500FBE"/>
    <w:rsid w:val="0050146B"/>
    <w:rsid w:val="00501878"/>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7F1"/>
    <w:rsid w:val="00510DD2"/>
    <w:rsid w:val="00510F21"/>
    <w:rsid w:val="005110D4"/>
    <w:rsid w:val="005121D8"/>
    <w:rsid w:val="005124E5"/>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6B1"/>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5AC"/>
    <w:rsid w:val="005D608F"/>
    <w:rsid w:val="005E023C"/>
    <w:rsid w:val="005E05CD"/>
    <w:rsid w:val="005E0E55"/>
    <w:rsid w:val="005E249C"/>
    <w:rsid w:val="005E28F0"/>
    <w:rsid w:val="005E2A5C"/>
    <w:rsid w:val="005E2D24"/>
    <w:rsid w:val="005E2F3F"/>
    <w:rsid w:val="005E3919"/>
    <w:rsid w:val="005E3EA2"/>
    <w:rsid w:val="005E43FC"/>
    <w:rsid w:val="005E4413"/>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26E1"/>
    <w:rsid w:val="0062317B"/>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2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CB8"/>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DCD"/>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235"/>
    <w:rsid w:val="006B287B"/>
    <w:rsid w:val="006B2D11"/>
    <w:rsid w:val="006B47DB"/>
    <w:rsid w:val="006B7E5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2F8"/>
    <w:rsid w:val="0070636B"/>
    <w:rsid w:val="007068DB"/>
    <w:rsid w:val="007069F7"/>
    <w:rsid w:val="00707848"/>
    <w:rsid w:val="007078E7"/>
    <w:rsid w:val="00707CC0"/>
    <w:rsid w:val="00707D7A"/>
    <w:rsid w:val="00710294"/>
    <w:rsid w:val="00710CE0"/>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201"/>
    <w:rsid w:val="007414B5"/>
    <w:rsid w:val="0074165F"/>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696"/>
    <w:rsid w:val="00761035"/>
    <w:rsid w:val="00761D2B"/>
    <w:rsid w:val="00762396"/>
    <w:rsid w:val="00762891"/>
    <w:rsid w:val="00763D3E"/>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C74"/>
    <w:rsid w:val="007A798B"/>
    <w:rsid w:val="007A7F62"/>
    <w:rsid w:val="007B043E"/>
    <w:rsid w:val="007B0B23"/>
    <w:rsid w:val="007B10C8"/>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2C64"/>
    <w:rsid w:val="007D30B6"/>
    <w:rsid w:val="007D3354"/>
    <w:rsid w:val="007D421D"/>
    <w:rsid w:val="007D44B6"/>
    <w:rsid w:val="007D46BF"/>
    <w:rsid w:val="007D474D"/>
    <w:rsid w:val="007D51E1"/>
    <w:rsid w:val="007D573E"/>
    <w:rsid w:val="007D660E"/>
    <w:rsid w:val="007D6C4C"/>
    <w:rsid w:val="007E0188"/>
    <w:rsid w:val="007E0248"/>
    <w:rsid w:val="007E030D"/>
    <w:rsid w:val="007E045E"/>
    <w:rsid w:val="007E06F7"/>
    <w:rsid w:val="007E0F61"/>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3AD"/>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CC2"/>
    <w:rsid w:val="008825A5"/>
    <w:rsid w:val="00883A32"/>
    <w:rsid w:val="00884ABE"/>
    <w:rsid w:val="00884BB2"/>
    <w:rsid w:val="00885A78"/>
    <w:rsid w:val="0088610D"/>
    <w:rsid w:val="00886459"/>
    <w:rsid w:val="00887509"/>
    <w:rsid w:val="00887BFE"/>
    <w:rsid w:val="00890173"/>
    <w:rsid w:val="0089023D"/>
    <w:rsid w:val="00890464"/>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BD5"/>
    <w:rsid w:val="008D1C18"/>
    <w:rsid w:val="008D2BCE"/>
    <w:rsid w:val="008D4416"/>
    <w:rsid w:val="008D5371"/>
    <w:rsid w:val="008D698E"/>
    <w:rsid w:val="008D6C2B"/>
    <w:rsid w:val="008D70AA"/>
    <w:rsid w:val="008D7176"/>
    <w:rsid w:val="008D7F85"/>
    <w:rsid w:val="008E0015"/>
    <w:rsid w:val="008E0A8B"/>
    <w:rsid w:val="008E0EF1"/>
    <w:rsid w:val="008E0FD6"/>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F14"/>
    <w:rsid w:val="009018E5"/>
    <w:rsid w:val="00901B5F"/>
    <w:rsid w:val="00902927"/>
    <w:rsid w:val="00902D50"/>
    <w:rsid w:val="00903940"/>
    <w:rsid w:val="00903A60"/>
    <w:rsid w:val="009049F1"/>
    <w:rsid w:val="0090527F"/>
    <w:rsid w:val="009053FE"/>
    <w:rsid w:val="00906705"/>
    <w:rsid w:val="00906A6B"/>
    <w:rsid w:val="009072CE"/>
    <w:rsid w:val="00910A50"/>
    <w:rsid w:val="00911A69"/>
    <w:rsid w:val="0091239F"/>
    <w:rsid w:val="0091248D"/>
    <w:rsid w:val="00912B35"/>
    <w:rsid w:val="00912D38"/>
    <w:rsid w:val="00913094"/>
    <w:rsid w:val="0091476C"/>
    <w:rsid w:val="00914AE9"/>
    <w:rsid w:val="00915043"/>
    <w:rsid w:val="009160C0"/>
    <w:rsid w:val="00916340"/>
    <w:rsid w:val="00917385"/>
    <w:rsid w:val="00920CAB"/>
    <w:rsid w:val="009212D0"/>
    <w:rsid w:val="009212EC"/>
    <w:rsid w:val="00921977"/>
    <w:rsid w:val="0092288C"/>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1A2F"/>
    <w:rsid w:val="00973591"/>
    <w:rsid w:val="00973E26"/>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0C"/>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D45"/>
    <w:rsid w:val="009D647A"/>
    <w:rsid w:val="009D7315"/>
    <w:rsid w:val="009E0BCF"/>
    <w:rsid w:val="009E1C4B"/>
    <w:rsid w:val="009E1CBC"/>
    <w:rsid w:val="009E1EBC"/>
    <w:rsid w:val="009E2B24"/>
    <w:rsid w:val="009E3857"/>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4CD"/>
    <w:rsid w:val="009F6FFC"/>
    <w:rsid w:val="009F7866"/>
    <w:rsid w:val="009F7FEF"/>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E36"/>
    <w:rsid w:val="00A2362E"/>
    <w:rsid w:val="00A243A4"/>
    <w:rsid w:val="00A25E14"/>
    <w:rsid w:val="00A260F4"/>
    <w:rsid w:val="00A275FC"/>
    <w:rsid w:val="00A27712"/>
    <w:rsid w:val="00A302C3"/>
    <w:rsid w:val="00A30842"/>
    <w:rsid w:val="00A30ACE"/>
    <w:rsid w:val="00A313FD"/>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26F"/>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08"/>
    <w:rsid w:val="00AB0D58"/>
    <w:rsid w:val="00AB1140"/>
    <w:rsid w:val="00AB1CA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CD5"/>
    <w:rsid w:val="00AC642C"/>
    <w:rsid w:val="00AC64AD"/>
    <w:rsid w:val="00AC6BC9"/>
    <w:rsid w:val="00AC70A2"/>
    <w:rsid w:val="00AC78FE"/>
    <w:rsid w:val="00AD0C64"/>
    <w:rsid w:val="00AD1C4D"/>
    <w:rsid w:val="00AD22F3"/>
    <w:rsid w:val="00AD2A6F"/>
    <w:rsid w:val="00AD2FC7"/>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761"/>
    <w:rsid w:val="00AF7DC1"/>
    <w:rsid w:val="00B00EFB"/>
    <w:rsid w:val="00B013DC"/>
    <w:rsid w:val="00B02258"/>
    <w:rsid w:val="00B02648"/>
    <w:rsid w:val="00B031A5"/>
    <w:rsid w:val="00B04B32"/>
    <w:rsid w:val="00B04F87"/>
    <w:rsid w:val="00B0554E"/>
    <w:rsid w:val="00B056C4"/>
    <w:rsid w:val="00B070A9"/>
    <w:rsid w:val="00B1010C"/>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53B"/>
    <w:rsid w:val="00B413D1"/>
    <w:rsid w:val="00B41DBF"/>
    <w:rsid w:val="00B42566"/>
    <w:rsid w:val="00B425B4"/>
    <w:rsid w:val="00B43044"/>
    <w:rsid w:val="00B43568"/>
    <w:rsid w:val="00B448DC"/>
    <w:rsid w:val="00B44C48"/>
    <w:rsid w:val="00B455A2"/>
    <w:rsid w:val="00B4663B"/>
    <w:rsid w:val="00B46ADC"/>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1BF"/>
    <w:rsid w:val="00BA6D61"/>
    <w:rsid w:val="00BA7D1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99"/>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0F0F"/>
    <w:rsid w:val="00BF125A"/>
    <w:rsid w:val="00BF160C"/>
    <w:rsid w:val="00BF1740"/>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7F0"/>
    <w:rsid w:val="00C51E61"/>
    <w:rsid w:val="00C51ECE"/>
    <w:rsid w:val="00C521CE"/>
    <w:rsid w:val="00C5286F"/>
    <w:rsid w:val="00C538B8"/>
    <w:rsid w:val="00C54448"/>
    <w:rsid w:val="00C551B8"/>
    <w:rsid w:val="00C553B9"/>
    <w:rsid w:val="00C562A3"/>
    <w:rsid w:val="00C57053"/>
    <w:rsid w:val="00C61122"/>
    <w:rsid w:val="00C6138A"/>
    <w:rsid w:val="00C61EA3"/>
    <w:rsid w:val="00C62691"/>
    <w:rsid w:val="00C62F91"/>
    <w:rsid w:val="00C63D8B"/>
    <w:rsid w:val="00C63E03"/>
    <w:rsid w:val="00C63F08"/>
    <w:rsid w:val="00C65997"/>
    <w:rsid w:val="00C65C8F"/>
    <w:rsid w:val="00C66549"/>
    <w:rsid w:val="00C66AD4"/>
    <w:rsid w:val="00C66B47"/>
    <w:rsid w:val="00C675A0"/>
    <w:rsid w:val="00C7041B"/>
    <w:rsid w:val="00C70982"/>
    <w:rsid w:val="00C70A39"/>
    <w:rsid w:val="00C71CB4"/>
    <w:rsid w:val="00C721DD"/>
    <w:rsid w:val="00C72B24"/>
    <w:rsid w:val="00C73D48"/>
    <w:rsid w:val="00C75CC0"/>
    <w:rsid w:val="00C77553"/>
    <w:rsid w:val="00C77637"/>
    <w:rsid w:val="00C779D2"/>
    <w:rsid w:val="00C81043"/>
    <w:rsid w:val="00C820ED"/>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5B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CB0"/>
    <w:rsid w:val="00CB5DA3"/>
    <w:rsid w:val="00CB62C9"/>
    <w:rsid w:val="00CB7567"/>
    <w:rsid w:val="00CB7AE6"/>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59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8D6"/>
    <w:rsid w:val="00D02950"/>
    <w:rsid w:val="00D02EC8"/>
    <w:rsid w:val="00D0359F"/>
    <w:rsid w:val="00D03CD5"/>
    <w:rsid w:val="00D03D8D"/>
    <w:rsid w:val="00D04A8A"/>
    <w:rsid w:val="00D053E2"/>
    <w:rsid w:val="00D057FE"/>
    <w:rsid w:val="00D058CA"/>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D18"/>
    <w:rsid w:val="00D24EAD"/>
    <w:rsid w:val="00D25ED3"/>
    <w:rsid w:val="00D26C0F"/>
    <w:rsid w:val="00D270F9"/>
    <w:rsid w:val="00D27176"/>
    <w:rsid w:val="00D278B0"/>
    <w:rsid w:val="00D30576"/>
    <w:rsid w:val="00D328D3"/>
    <w:rsid w:val="00D329FD"/>
    <w:rsid w:val="00D33280"/>
    <w:rsid w:val="00D34532"/>
    <w:rsid w:val="00D3462D"/>
    <w:rsid w:val="00D34BE3"/>
    <w:rsid w:val="00D34C95"/>
    <w:rsid w:val="00D34EC4"/>
    <w:rsid w:val="00D35884"/>
    <w:rsid w:val="00D36382"/>
    <w:rsid w:val="00D37412"/>
    <w:rsid w:val="00D414BC"/>
    <w:rsid w:val="00D4369F"/>
    <w:rsid w:val="00D446C9"/>
    <w:rsid w:val="00D46EDF"/>
    <w:rsid w:val="00D47A25"/>
    <w:rsid w:val="00D47AEB"/>
    <w:rsid w:val="00D515EE"/>
    <w:rsid w:val="00D525A1"/>
    <w:rsid w:val="00D52A7A"/>
    <w:rsid w:val="00D52F4E"/>
    <w:rsid w:val="00D5446B"/>
    <w:rsid w:val="00D559A8"/>
    <w:rsid w:val="00D55B01"/>
    <w:rsid w:val="00D56B5E"/>
    <w:rsid w:val="00D57275"/>
    <w:rsid w:val="00D5746E"/>
    <w:rsid w:val="00D57F24"/>
    <w:rsid w:val="00D60F75"/>
    <w:rsid w:val="00D615A9"/>
    <w:rsid w:val="00D62204"/>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338"/>
    <w:rsid w:val="00DA016E"/>
    <w:rsid w:val="00DA044E"/>
    <w:rsid w:val="00DA15F8"/>
    <w:rsid w:val="00DA16CB"/>
    <w:rsid w:val="00DA1AF0"/>
    <w:rsid w:val="00DA1E3C"/>
    <w:rsid w:val="00DA224E"/>
    <w:rsid w:val="00DA23A0"/>
    <w:rsid w:val="00DA3C36"/>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5E19"/>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67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771"/>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3D80"/>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7D3"/>
    <w:rsid w:val="00F2043B"/>
    <w:rsid w:val="00F20C9A"/>
    <w:rsid w:val="00F21090"/>
    <w:rsid w:val="00F23494"/>
    <w:rsid w:val="00F23714"/>
    <w:rsid w:val="00F24CF8"/>
    <w:rsid w:val="00F24FBC"/>
    <w:rsid w:val="00F27B6B"/>
    <w:rsid w:val="00F3104E"/>
    <w:rsid w:val="00F31ECA"/>
    <w:rsid w:val="00F325AC"/>
    <w:rsid w:val="00F32DDE"/>
    <w:rsid w:val="00F335A8"/>
    <w:rsid w:val="00F33A72"/>
    <w:rsid w:val="00F34055"/>
    <w:rsid w:val="00F34C43"/>
    <w:rsid w:val="00F35702"/>
    <w:rsid w:val="00F358F9"/>
    <w:rsid w:val="00F3759B"/>
    <w:rsid w:val="00F40A40"/>
    <w:rsid w:val="00F40DCD"/>
    <w:rsid w:val="00F41A12"/>
    <w:rsid w:val="00F41A26"/>
    <w:rsid w:val="00F42D78"/>
    <w:rsid w:val="00F42E7E"/>
    <w:rsid w:val="00F4340D"/>
    <w:rsid w:val="00F4428E"/>
    <w:rsid w:val="00F44299"/>
    <w:rsid w:val="00F44A7C"/>
    <w:rsid w:val="00F44DB5"/>
    <w:rsid w:val="00F4534A"/>
    <w:rsid w:val="00F456F0"/>
    <w:rsid w:val="00F45C18"/>
    <w:rsid w:val="00F45C86"/>
    <w:rsid w:val="00F463CA"/>
    <w:rsid w:val="00F464F1"/>
    <w:rsid w:val="00F4674B"/>
    <w:rsid w:val="00F47C1B"/>
    <w:rsid w:val="00F47D27"/>
    <w:rsid w:val="00F51CD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F5"/>
    <w:rsid w:val="00F61253"/>
    <w:rsid w:val="00F617F9"/>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8180E"/>
    <w:rsid w:val="00F82587"/>
    <w:rsid w:val="00F8261E"/>
    <w:rsid w:val="00F82BF9"/>
    <w:rsid w:val="00F83D10"/>
    <w:rsid w:val="00F83DFD"/>
    <w:rsid w:val="00F856CF"/>
    <w:rsid w:val="00F873D2"/>
    <w:rsid w:val="00F87567"/>
    <w:rsid w:val="00F8765D"/>
    <w:rsid w:val="00F90524"/>
    <w:rsid w:val="00F91CCC"/>
    <w:rsid w:val="00F91DB5"/>
    <w:rsid w:val="00F91EE0"/>
    <w:rsid w:val="00F92112"/>
    <w:rsid w:val="00F92C92"/>
    <w:rsid w:val="00F93043"/>
    <w:rsid w:val="00F9316B"/>
    <w:rsid w:val="00F949CD"/>
    <w:rsid w:val="00F950F9"/>
    <w:rsid w:val="00F95CBC"/>
    <w:rsid w:val="00FA00EE"/>
    <w:rsid w:val="00FA050B"/>
    <w:rsid w:val="00FA0C92"/>
    <w:rsid w:val="00FA1DBA"/>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6BD"/>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A9E42961-07CE-4D21-BB4A-71CCC373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67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PlaceholderText">
    <w:name w:val="Placeholder Text"/>
    <w:basedOn w:val="DefaultParagraphFont"/>
    <w:uiPriority w:val="99"/>
    <w:semiHidden/>
    <w:rsid w:val="006138FB"/>
    <w:rPr>
      <w:color w:val="808080"/>
    </w:rPr>
  </w:style>
  <w:style w:type="paragraph" w:styleId="BodyText">
    <w:name w:val="Body Text"/>
    <w:basedOn w:val="Normal"/>
    <w:link w:val="BodyTextChar"/>
    <w:rsid w:val="00037A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037A80"/>
    <w:rPr>
      <w:rFonts w:ascii="Times New Roman" w:hAnsi="Times New Roman"/>
      <w:lang w:eastAsia="en-US"/>
    </w:rPr>
  </w:style>
  <w:style w:type="character" w:styleId="CommentReference">
    <w:name w:val="annotation reference"/>
    <w:basedOn w:val="DefaultParagraphFont"/>
    <w:uiPriority w:val="99"/>
    <w:semiHidden/>
    <w:unhideWhenUsed/>
    <w:rsid w:val="00D058CA"/>
    <w:rPr>
      <w:sz w:val="16"/>
      <w:szCs w:val="16"/>
    </w:rPr>
  </w:style>
  <w:style w:type="paragraph" w:styleId="CommentText">
    <w:name w:val="annotation text"/>
    <w:basedOn w:val="Normal"/>
    <w:link w:val="CommentTextChar"/>
    <w:uiPriority w:val="99"/>
    <w:semiHidden/>
    <w:unhideWhenUsed/>
    <w:rsid w:val="00D058CA"/>
  </w:style>
  <w:style w:type="character" w:customStyle="1" w:styleId="CommentTextChar">
    <w:name w:val="Comment Text Char"/>
    <w:basedOn w:val="DefaultParagraphFont"/>
    <w:link w:val="CommentText"/>
    <w:uiPriority w:val="99"/>
    <w:semiHidden/>
    <w:rsid w:val="00D058C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058CA"/>
    <w:rPr>
      <w:b/>
      <w:bCs/>
    </w:rPr>
  </w:style>
  <w:style w:type="character" w:customStyle="1" w:styleId="CommentSubjectChar">
    <w:name w:val="Comment Subject Char"/>
    <w:basedOn w:val="CommentTextChar"/>
    <w:link w:val="CommentSubject"/>
    <w:uiPriority w:val="99"/>
    <w:semiHidden/>
    <w:rsid w:val="00D058CA"/>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6763301">
      <w:bodyDiv w:val="1"/>
      <w:marLeft w:val="0"/>
      <w:marRight w:val="0"/>
      <w:marTop w:val="0"/>
      <w:marBottom w:val="0"/>
      <w:divBdr>
        <w:top w:val="none" w:sz="0" w:space="0" w:color="auto"/>
        <w:left w:val="none" w:sz="0" w:space="0" w:color="auto"/>
        <w:bottom w:val="none" w:sz="0" w:space="0" w:color="auto"/>
        <w:right w:val="none" w:sz="0" w:space="0" w:color="auto"/>
      </w:divBdr>
    </w:div>
    <w:div w:id="22788858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2383893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021588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7300572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095445189">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845125684">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622533">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package" Target="embeddings/Microsoft_Excel_Worksheet.xls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09CF-DF36-473D-86B6-47001E1D4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2398</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Michal Szydelko, Huawei</cp:lastModifiedBy>
  <cp:revision>2</cp:revision>
  <dcterms:created xsi:type="dcterms:W3CDTF">2025-08-15T20:30:00Z</dcterms:created>
  <dcterms:modified xsi:type="dcterms:W3CDTF">2025-08-15T20:30:00Z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1755076048</vt:lpwstr>
  </property>
</Properties>
</file>