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6830942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2F8C">
        <w:rPr>
          <w:rFonts w:ascii="Arial" w:eastAsia="SimSun" w:hAnsi="Arial" w:cs="Times New Roman"/>
          <w:b/>
          <w:sz w:val="24"/>
          <w:szCs w:val="20"/>
        </w:rPr>
        <w:t>6</w:t>
      </w:r>
      <w:r w:rsidRPr="008F786B">
        <w:rPr>
          <w:rFonts w:ascii="Arial" w:eastAsia="SimSun" w:hAnsi="Arial" w:cs="Times New Roman"/>
          <w:b/>
          <w:bCs/>
          <w:sz w:val="24"/>
          <w:szCs w:val="20"/>
        </w:rPr>
        <w:tab/>
      </w:r>
      <w:r w:rsidR="00957DC5" w:rsidRPr="00635BFD">
        <w:rPr>
          <w:rFonts w:ascii="Arial" w:eastAsia="SimSun" w:hAnsi="Arial" w:cs="Times New Roman"/>
          <w:b/>
          <w:bCs/>
          <w:sz w:val="24"/>
          <w:szCs w:val="20"/>
          <w:lang w:eastAsia="ja-JP"/>
        </w:rPr>
        <w:t>R4-2</w:t>
      </w:r>
      <w:r w:rsidR="00635BFD" w:rsidRPr="00635BFD">
        <w:rPr>
          <w:rFonts w:ascii="Arial" w:eastAsia="SimSun" w:hAnsi="Arial" w:cs="Times New Roman"/>
          <w:b/>
          <w:bCs/>
          <w:sz w:val="24"/>
          <w:szCs w:val="20"/>
          <w:lang w:eastAsia="ja-JP"/>
        </w:rPr>
        <w:t>5</w:t>
      </w:r>
      <w:r w:rsidR="00F22F8C">
        <w:rPr>
          <w:rFonts w:ascii="Arial" w:eastAsia="SimSun" w:hAnsi="Arial" w:cs="Times New Roman"/>
          <w:b/>
          <w:bCs/>
          <w:sz w:val="24"/>
          <w:szCs w:val="20"/>
          <w:lang w:eastAsia="ja-JP"/>
        </w:rPr>
        <w:t>1</w:t>
      </w:r>
      <w:r w:rsidR="00635BFD" w:rsidRPr="00635BFD">
        <w:rPr>
          <w:rFonts w:ascii="Arial" w:eastAsia="SimSun" w:hAnsi="Arial" w:cs="Times New Roman"/>
          <w:b/>
          <w:bCs/>
          <w:sz w:val="24"/>
          <w:szCs w:val="20"/>
          <w:lang w:eastAsia="ja-JP"/>
        </w:rPr>
        <w:t>0</w:t>
      </w:r>
      <w:r w:rsidR="00F22F8C">
        <w:rPr>
          <w:rFonts w:ascii="Arial" w:eastAsia="SimSun" w:hAnsi="Arial" w:cs="Times New Roman"/>
          <w:b/>
          <w:bCs/>
          <w:sz w:val="24"/>
          <w:szCs w:val="20"/>
          <w:lang w:eastAsia="ja-JP"/>
        </w:rPr>
        <w:t>306</w:t>
      </w:r>
    </w:p>
    <w:bookmarkEnd w:id="0"/>
    <w:bookmarkEnd w:id="1"/>
    <w:p w14:paraId="2776EFAC" w14:textId="77777777" w:rsidR="00F22F8C" w:rsidRPr="00F22F8C" w:rsidRDefault="00F22F8C" w:rsidP="00F22F8C">
      <w:pPr>
        <w:widowControl w:val="0"/>
        <w:overflowPunct w:val="0"/>
        <w:autoSpaceDE w:val="0"/>
        <w:autoSpaceDN w:val="0"/>
        <w:adjustRightInd w:val="0"/>
        <w:spacing w:after="0" w:line="240" w:lineRule="auto"/>
        <w:textAlignment w:val="baseline"/>
        <w:rPr>
          <w:rFonts w:ascii="Arial" w:hAnsi="Arial"/>
          <w:b/>
          <w:bCs/>
          <w:sz w:val="24"/>
          <w:szCs w:val="24"/>
          <w:lang w:eastAsia="zh-CN"/>
        </w:rPr>
      </w:pPr>
      <w:r w:rsidRPr="00F22F8C">
        <w:rPr>
          <w:rFonts w:ascii="Arial" w:hAnsi="Arial"/>
          <w:b/>
          <w:bCs/>
          <w:sz w:val="24"/>
          <w:szCs w:val="24"/>
          <w:lang w:eastAsia="zh-CN"/>
        </w:rPr>
        <w:t xml:space="preserve">Bengaluru, </w:t>
      </w:r>
      <w:r w:rsidRPr="00F22F8C">
        <w:rPr>
          <w:rFonts w:ascii="Arial" w:hAnsi="Arial"/>
          <w:b/>
          <w:bCs/>
          <w:sz w:val="24"/>
          <w:szCs w:val="24"/>
          <w:lang w:eastAsia="zh-CN"/>
        </w:rPr>
        <w:fldChar w:fldCharType="begin"/>
      </w:r>
      <w:r w:rsidRPr="00F22F8C">
        <w:rPr>
          <w:rFonts w:ascii="Arial" w:hAnsi="Arial"/>
          <w:b/>
          <w:bCs/>
          <w:sz w:val="24"/>
          <w:szCs w:val="24"/>
          <w:lang w:eastAsia="zh-CN"/>
        </w:rPr>
        <w:instrText xml:space="preserve"> DOCPROPERTY  Country  \* MERGEFORMAT </w:instrText>
      </w:r>
      <w:r w:rsidRPr="00F22F8C">
        <w:rPr>
          <w:rFonts w:ascii="Arial" w:hAnsi="Arial"/>
          <w:b/>
          <w:bCs/>
          <w:sz w:val="24"/>
          <w:szCs w:val="24"/>
          <w:lang w:eastAsia="zh-CN"/>
        </w:rPr>
        <w:fldChar w:fldCharType="separate"/>
      </w:r>
      <w:r w:rsidRPr="00F22F8C">
        <w:rPr>
          <w:rFonts w:ascii="Arial" w:hAnsi="Arial"/>
          <w:b/>
          <w:bCs/>
          <w:sz w:val="24"/>
          <w:szCs w:val="24"/>
          <w:lang w:eastAsia="zh-CN"/>
        </w:rPr>
        <w:t>India</w:t>
      </w:r>
      <w:r w:rsidRPr="00F22F8C">
        <w:rPr>
          <w:rFonts w:ascii="Arial" w:hAnsi="Arial"/>
          <w:b/>
          <w:bCs/>
          <w:sz w:val="24"/>
          <w:szCs w:val="24"/>
          <w:lang w:eastAsia="zh-CN"/>
        </w:rPr>
        <w:fldChar w:fldCharType="end"/>
      </w:r>
      <w:r w:rsidRPr="00F22F8C">
        <w:rPr>
          <w:rFonts w:ascii="Arial" w:hAnsi="Arial"/>
          <w:b/>
          <w:bCs/>
          <w:sz w:val="24"/>
          <w:szCs w:val="24"/>
          <w:lang w:eastAsia="zh-CN"/>
        </w:rPr>
        <w:t xml:space="preserve">, </w:t>
      </w:r>
      <w:r w:rsidRPr="00F22F8C">
        <w:rPr>
          <w:rFonts w:ascii="Arial" w:hAnsi="Arial"/>
          <w:b/>
          <w:bCs/>
          <w:sz w:val="24"/>
          <w:szCs w:val="24"/>
          <w:lang w:eastAsia="zh-CN"/>
        </w:rPr>
        <w:fldChar w:fldCharType="begin"/>
      </w:r>
      <w:r w:rsidRPr="00F22F8C">
        <w:rPr>
          <w:rFonts w:ascii="Arial" w:hAnsi="Arial"/>
          <w:b/>
          <w:bCs/>
          <w:sz w:val="24"/>
          <w:szCs w:val="24"/>
          <w:lang w:eastAsia="zh-CN"/>
        </w:rPr>
        <w:instrText xml:space="preserve"> DOCPROPERTY  StartDate  \* MERGEFORMAT </w:instrText>
      </w:r>
      <w:r w:rsidRPr="00F22F8C">
        <w:rPr>
          <w:rFonts w:ascii="Arial" w:hAnsi="Arial"/>
          <w:b/>
          <w:bCs/>
          <w:sz w:val="24"/>
          <w:szCs w:val="24"/>
          <w:lang w:eastAsia="zh-CN"/>
        </w:rPr>
        <w:fldChar w:fldCharType="separate"/>
      </w:r>
      <w:r w:rsidRPr="00F22F8C">
        <w:rPr>
          <w:rFonts w:ascii="Arial" w:hAnsi="Arial"/>
          <w:b/>
          <w:bCs/>
          <w:sz w:val="24"/>
          <w:szCs w:val="24"/>
          <w:lang w:eastAsia="zh-CN"/>
        </w:rPr>
        <w:t>25th August 2025</w:t>
      </w:r>
      <w:r w:rsidRPr="00F22F8C">
        <w:rPr>
          <w:rFonts w:ascii="Arial" w:hAnsi="Arial"/>
          <w:b/>
          <w:bCs/>
          <w:sz w:val="24"/>
          <w:szCs w:val="24"/>
          <w:lang w:eastAsia="zh-CN"/>
        </w:rPr>
        <w:fldChar w:fldCharType="end"/>
      </w:r>
      <w:r w:rsidRPr="00F22F8C">
        <w:rPr>
          <w:rFonts w:ascii="Arial" w:hAnsi="Arial"/>
          <w:b/>
          <w:bCs/>
          <w:sz w:val="24"/>
          <w:szCs w:val="24"/>
          <w:lang w:eastAsia="zh-CN"/>
        </w:rPr>
        <w:t xml:space="preserve"> – </w:t>
      </w:r>
      <w:r w:rsidRPr="00F22F8C">
        <w:rPr>
          <w:rFonts w:ascii="Arial" w:hAnsi="Arial"/>
          <w:b/>
          <w:bCs/>
          <w:sz w:val="24"/>
          <w:szCs w:val="24"/>
          <w:lang w:eastAsia="zh-CN"/>
        </w:rPr>
        <w:fldChar w:fldCharType="begin"/>
      </w:r>
      <w:r w:rsidRPr="00F22F8C">
        <w:rPr>
          <w:rFonts w:ascii="Arial" w:hAnsi="Arial"/>
          <w:b/>
          <w:bCs/>
          <w:sz w:val="24"/>
          <w:szCs w:val="24"/>
          <w:lang w:eastAsia="zh-CN"/>
        </w:rPr>
        <w:instrText xml:space="preserve"> DOCPROPERTY  EndDate  \* MERGEFORMAT </w:instrText>
      </w:r>
      <w:r w:rsidRPr="00F22F8C">
        <w:rPr>
          <w:rFonts w:ascii="Arial" w:hAnsi="Arial"/>
          <w:b/>
          <w:bCs/>
          <w:sz w:val="24"/>
          <w:szCs w:val="24"/>
          <w:lang w:eastAsia="zh-CN"/>
        </w:rPr>
        <w:fldChar w:fldCharType="separate"/>
      </w:r>
      <w:r w:rsidRPr="00F22F8C">
        <w:rPr>
          <w:rFonts w:ascii="Arial" w:hAnsi="Arial"/>
          <w:b/>
          <w:bCs/>
          <w:sz w:val="24"/>
          <w:szCs w:val="24"/>
          <w:lang w:eastAsia="zh-CN"/>
        </w:rPr>
        <w:t>29th August 2025</w:t>
      </w:r>
      <w:r w:rsidRPr="00F22F8C">
        <w:rPr>
          <w:rFonts w:ascii="Arial" w:hAnsi="Arial"/>
          <w:b/>
          <w:bCs/>
          <w:sz w:val="24"/>
          <w:szCs w:val="24"/>
          <w:lang w:eastAsia="zh-CN"/>
        </w:rPr>
        <w:fldChar w:fldCharType="end"/>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08532A9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B14D1" w:rsidRPr="00F74E46">
        <w:rPr>
          <w:rFonts w:ascii="Arial" w:eastAsia="Calibri" w:hAnsi="Arial" w:cs="Arial"/>
          <w:b/>
          <w:bCs/>
          <w:sz w:val="24"/>
        </w:rPr>
        <w:t>RedCap NTN UEs</w:t>
      </w:r>
    </w:p>
    <w:p w14:paraId="2C901366" w14:textId="48F5423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sidRPr="00042778">
        <w:rPr>
          <w:rFonts w:ascii="Arial" w:eastAsia="MS Mincho" w:hAnsi="Arial" w:cs="Arial"/>
          <w:b/>
          <w:bCs/>
          <w:sz w:val="24"/>
          <w:szCs w:val="20"/>
        </w:rPr>
        <w:t>7.</w:t>
      </w:r>
      <w:r w:rsidR="00D92B23">
        <w:rPr>
          <w:rFonts w:ascii="Arial" w:eastAsia="MS Mincho" w:hAnsi="Arial" w:cs="Arial"/>
          <w:b/>
          <w:bCs/>
          <w:sz w:val="24"/>
          <w:szCs w:val="20"/>
        </w:rPr>
        <w:t>27</w:t>
      </w:r>
      <w:r w:rsidR="00042778" w:rsidRPr="00231D1C">
        <w:rPr>
          <w:rFonts w:ascii="Arial" w:eastAsia="MS Mincho" w:hAnsi="Arial" w:cs="Arial"/>
          <w:b/>
          <w:bCs/>
          <w:sz w:val="24"/>
          <w:szCs w:val="20"/>
        </w:rPr>
        <w:t>.3.1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0686F02A" w:rsidR="007E4668" w:rsidRPr="00444CD7" w:rsidRDefault="003C68BD" w:rsidP="007E4668">
      <w:pPr>
        <w:rPr>
          <w:lang w:val="en-US"/>
        </w:rPr>
      </w:pPr>
      <w:r>
        <w:rPr>
          <w:lang w:val="en-US"/>
        </w:rPr>
        <w:t xml:space="preserve">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1C511B9B" w14:textId="77777777" w:rsidR="0061375C" w:rsidRDefault="0061375C" w:rsidP="0061375C">
            <w:pPr>
              <w:pStyle w:val="Heading2"/>
            </w:pPr>
            <w:r w:rsidRPr="00A70D92">
              <w:t>Issue 1-</w:t>
            </w:r>
            <w:r>
              <w:t>1</w:t>
            </w:r>
            <w:r w:rsidRPr="00A70D92">
              <w:t xml:space="preserve">: </w:t>
            </w:r>
            <w:r w:rsidRPr="00B3374C">
              <w:t xml:space="preserve">Output power enhancement for NR NTN PC3 </w:t>
            </w:r>
          </w:p>
          <w:p w14:paraId="6E9CD31C" w14:textId="77777777" w:rsidR="0061375C" w:rsidRDefault="0061375C" w:rsidP="0061375C">
            <w:pPr>
              <w:spacing w:after="120"/>
              <w:rPr>
                <w:lang w:eastAsia="zh-CN"/>
              </w:rPr>
            </w:pPr>
            <w:r w:rsidRPr="00A70D92">
              <w:rPr>
                <w:b/>
                <w:lang w:eastAsia="zh-CN"/>
              </w:rPr>
              <w:t>Agreement</w:t>
            </w:r>
            <w:r>
              <w:rPr>
                <w:b/>
                <w:lang w:eastAsia="zh-CN"/>
              </w:rPr>
              <w:t>s</w:t>
            </w:r>
            <w:r w:rsidRPr="00A70D92">
              <w:rPr>
                <w:lang w:eastAsia="zh-CN"/>
              </w:rPr>
              <w:t xml:space="preserve">: </w:t>
            </w:r>
          </w:p>
          <w:p w14:paraId="115BD628" w14:textId="77777777" w:rsidR="0061375C" w:rsidRDefault="0061375C" w:rsidP="0061375C">
            <w:pPr>
              <w:pStyle w:val="ListParagraph"/>
              <w:numPr>
                <w:ilvl w:val="0"/>
                <w:numId w:val="35"/>
              </w:numPr>
              <w:spacing w:after="160" w:line="278" w:lineRule="auto"/>
            </w:pPr>
            <w:r>
              <w:t>If defined, additional output power enhancement will be o</w:t>
            </w:r>
            <w:r w:rsidRPr="00466F29">
              <w:rPr>
                <w:rFonts w:eastAsiaTheme="minorEastAsia"/>
              </w:rPr>
              <w:t>ptional for UE to support.</w:t>
            </w:r>
          </w:p>
          <w:p w14:paraId="0B336F1D" w14:textId="77777777" w:rsidR="0061375C" w:rsidRDefault="0061375C" w:rsidP="0061375C">
            <w:pPr>
              <w:pStyle w:val="ListParagraph"/>
              <w:numPr>
                <w:ilvl w:val="1"/>
                <w:numId w:val="35"/>
              </w:numPr>
              <w:spacing w:after="160" w:line="278" w:lineRule="auto"/>
            </w:pPr>
            <w:r>
              <w:t xml:space="preserve">FFS on need of new </w:t>
            </w:r>
            <w:r w:rsidRPr="00466F29">
              <w:rPr>
                <w:rFonts w:eastAsiaTheme="minorEastAsia"/>
              </w:rPr>
              <w:t>UE capability</w:t>
            </w:r>
          </w:p>
          <w:p w14:paraId="4F3A4FF3" w14:textId="77777777" w:rsidR="0061375C" w:rsidRPr="00466F29" w:rsidRDefault="0061375C" w:rsidP="0061375C">
            <w:pPr>
              <w:pStyle w:val="ListParagraph"/>
              <w:numPr>
                <w:ilvl w:val="0"/>
                <w:numId w:val="35"/>
              </w:numPr>
              <w:spacing w:after="160" w:line="278" w:lineRule="auto"/>
            </w:pPr>
            <w:r>
              <w:t>Evaluate potential to further enhance output power for RAN4#115:</w:t>
            </w:r>
          </w:p>
          <w:p w14:paraId="0B1A01C2" w14:textId="77777777" w:rsidR="0061375C" w:rsidRDefault="0061375C" w:rsidP="0061375C">
            <w:pPr>
              <w:pStyle w:val="ListParagraph"/>
              <w:numPr>
                <w:ilvl w:val="1"/>
                <w:numId w:val="35"/>
              </w:numPr>
              <w:spacing w:after="160" w:line="278" w:lineRule="auto"/>
            </w:pPr>
            <w:r>
              <w:t>Amount of output power enhancement [0.5 to 1 dB]</w:t>
            </w:r>
          </w:p>
          <w:p w14:paraId="7FC23934" w14:textId="77777777" w:rsidR="0061375C" w:rsidRDefault="0061375C" w:rsidP="0061375C">
            <w:pPr>
              <w:pStyle w:val="ListParagraph"/>
              <w:numPr>
                <w:ilvl w:val="2"/>
                <w:numId w:val="35"/>
              </w:numPr>
              <w:spacing w:after="160" w:line="278" w:lineRule="auto"/>
            </w:pPr>
            <w:r>
              <w:t>Less than 0.5 dB improvement is not specified</w:t>
            </w:r>
          </w:p>
          <w:p w14:paraId="591975E7" w14:textId="77777777" w:rsidR="0061375C" w:rsidRPr="00466F29" w:rsidRDefault="0061375C" w:rsidP="0061375C">
            <w:pPr>
              <w:pStyle w:val="ListParagraph"/>
              <w:numPr>
                <w:ilvl w:val="1"/>
                <w:numId w:val="35"/>
              </w:numPr>
              <w:spacing w:after="160" w:line="278" w:lineRule="auto"/>
            </w:pPr>
            <w:r w:rsidRPr="00466F29">
              <w:rPr>
                <w:rFonts w:eastAsiaTheme="minorEastAsia"/>
              </w:rPr>
              <w:t xml:space="preserve">Initially </w:t>
            </w:r>
            <w:r>
              <w:t>consider</w:t>
            </w:r>
            <w:r w:rsidRPr="00466F29">
              <w:rPr>
                <w:rFonts w:eastAsiaTheme="minorEastAsia"/>
              </w:rPr>
              <w:t xml:space="preserve"> all RB allocations and modulation orders</w:t>
            </w:r>
          </w:p>
          <w:p w14:paraId="40CCFC0E" w14:textId="77777777" w:rsidR="0061375C" w:rsidRDefault="0061375C" w:rsidP="0061375C">
            <w:pPr>
              <w:pStyle w:val="ListParagraph"/>
              <w:numPr>
                <w:ilvl w:val="2"/>
                <w:numId w:val="35"/>
              </w:numPr>
              <w:spacing w:after="160" w:line="278" w:lineRule="auto"/>
            </w:pPr>
            <w:r>
              <w:t xml:space="preserve">Consider both </w:t>
            </w:r>
            <w:r w:rsidRPr="00466F29">
              <w:rPr>
                <w:rFonts w:eastAsiaTheme="minorEastAsia"/>
              </w:rPr>
              <w:t xml:space="preserve">MPR reduction </w:t>
            </w:r>
            <w:r>
              <w:t>and</w:t>
            </w:r>
            <w:r w:rsidRPr="00466F29">
              <w:rPr>
                <w:rFonts w:eastAsiaTheme="minorEastAsia"/>
              </w:rPr>
              <w:t xml:space="preserve"> MOP increase</w:t>
            </w:r>
          </w:p>
          <w:p w14:paraId="12EE7676" w14:textId="77777777" w:rsidR="0061375C" w:rsidRPr="00466F29" w:rsidRDefault="0061375C" w:rsidP="0061375C">
            <w:pPr>
              <w:pStyle w:val="ListParagraph"/>
              <w:numPr>
                <w:ilvl w:val="3"/>
                <w:numId w:val="35"/>
              </w:numPr>
              <w:spacing w:after="160" w:line="278" w:lineRule="auto"/>
            </w:pPr>
            <w:r>
              <w:t>FFS how to capture MOP increase in the specification</w:t>
            </w:r>
          </w:p>
          <w:p w14:paraId="61434A62" w14:textId="77777777" w:rsidR="0061375C" w:rsidRPr="00466F29" w:rsidRDefault="0061375C" w:rsidP="0061375C">
            <w:pPr>
              <w:pStyle w:val="ListParagraph"/>
              <w:numPr>
                <w:ilvl w:val="2"/>
                <w:numId w:val="35"/>
              </w:numPr>
              <w:spacing w:after="160" w:line="278" w:lineRule="auto"/>
            </w:pPr>
            <w:r w:rsidRPr="00466F29">
              <w:rPr>
                <w:rFonts w:eastAsiaTheme="minorEastAsia"/>
              </w:rPr>
              <w:t xml:space="preserve">Choice </w:t>
            </w:r>
            <w:r>
              <w:t>between MPR reduction and MOP increase can be different for inner/outer allocations and modulation orders</w:t>
            </w:r>
          </w:p>
          <w:p w14:paraId="6D89704F" w14:textId="77777777" w:rsidR="0061375C" w:rsidRDefault="0061375C" w:rsidP="0061375C">
            <w:pPr>
              <w:pStyle w:val="ListParagraph"/>
              <w:numPr>
                <w:ilvl w:val="1"/>
                <w:numId w:val="35"/>
              </w:numPr>
              <w:spacing w:after="160" w:line="278" w:lineRule="auto"/>
            </w:pPr>
            <w:r w:rsidRPr="00466F29">
              <w:rPr>
                <w:rFonts w:eastAsiaTheme="minorEastAsia"/>
              </w:rPr>
              <w:t>Evaluate both HD-FDD and FD-FDD</w:t>
            </w:r>
          </w:p>
          <w:p w14:paraId="4CA67751" w14:textId="77777777" w:rsidR="0061375C" w:rsidRDefault="0061375C" w:rsidP="0061375C">
            <w:pPr>
              <w:pStyle w:val="ListParagraph"/>
              <w:numPr>
                <w:ilvl w:val="2"/>
                <w:numId w:val="35"/>
              </w:numPr>
              <w:spacing w:after="160" w:line="278" w:lineRule="auto"/>
            </w:pPr>
            <w:r>
              <w:t>Consider at least insertion loss impact</w:t>
            </w:r>
          </w:p>
          <w:p w14:paraId="293C3891" w14:textId="77777777" w:rsidR="0061375C" w:rsidRPr="006912EA" w:rsidRDefault="0061375C" w:rsidP="0061375C">
            <w:pPr>
              <w:pStyle w:val="ListParagraph"/>
              <w:numPr>
                <w:ilvl w:val="2"/>
                <w:numId w:val="35"/>
              </w:numPr>
              <w:spacing w:after="160" w:line="278" w:lineRule="auto"/>
              <w:rPr>
                <w:strike/>
              </w:rPr>
            </w:pPr>
            <w:r>
              <w:t xml:space="preserve">FFS whether to apply same enhancement to both HD-FDD and FD-FDD </w:t>
            </w:r>
          </w:p>
          <w:p w14:paraId="0652D9DD" w14:textId="77777777" w:rsidR="0061375C" w:rsidRDefault="0061375C" w:rsidP="0061375C">
            <w:pPr>
              <w:pStyle w:val="ListParagraph"/>
              <w:numPr>
                <w:ilvl w:val="1"/>
                <w:numId w:val="35"/>
              </w:numPr>
              <w:spacing w:after="160" w:line="278" w:lineRule="auto"/>
            </w:pPr>
            <w:r>
              <w:t>Evaluate the option to support both rel-18 and rel-19 output power enhancement schemes simultaneously</w:t>
            </w:r>
          </w:p>
          <w:p w14:paraId="337C95D4" w14:textId="77777777" w:rsidR="0061375C" w:rsidRDefault="0061375C" w:rsidP="0061375C">
            <w:pPr>
              <w:pStyle w:val="ListParagraph"/>
              <w:numPr>
                <w:ilvl w:val="2"/>
                <w:numId w:val="35"/>
              </w:numPr>
              <w:spacing w:after="160" w:line="278" w:lineRule="auto"/>
            </w:pPr>
            <w:r>
              <w:t>FFS whether simultaneous support is specified</w:t>
            </w:r>
          </w:p>
          <w:p w14:paraId="4D8CB5BD" w14:textId="77777777" w:rsidR="0061375C" w:rsidRDefault="0061375C" w:rsidP="0061375C">
            <w:pPr>
              <w:pStyle w:val="ListParagraph"/>
              <w:numPr>
                <w:ilvl w:val="2"/>
                <w:numId w:val="35"/>
              </w:numPr>
              <w:spacing w:after="160" w:line="278" w:lineRule="auto"/>
            </w:pPr>
            <w:r>
              <w:t>Consider whether PC3 or PC2 ACLR requirement should apply</w:t>
            </w:r>
          </w:p>
          <w:p w14:paraId="2A24F7B1" w14:textId="77777777" w:rsidR="0061375C" w:rsidRPr="00A81E21" w:rsidRDefault="0061375C" w:rsidP="0061375C">
            <w:pPr>
              <w:pStyle w:val="ListParagraph"/>
              <w:numPr>
                <w:ilvl w:val="1"/>
                <w:numId w:val="35"/>
              </w:numPr>
              <w:spacing w:after="160" w:line="278" w:lineRule="auto"/>
            </w:pPr>
            <w:r>
              <w:t xml:space="preserve">FFS </w:t>
            </w:r>
            <w:r w:rsidRPr="00466F29">
              <w:rPr>
                <w:rFonts w:eastAsiaTheme="minorEastAsia"/>
              </w:rPr>
              <w:t xml:space="preserve">Applicability to </w:t>
            </w:r>
            <w:r>
              <w:t xml:space="preserve">PC3 </w:t>
            </w:r>
            <w:r w:rsidRPr="00466F29">
              <w:rPr>
                <w:rFonts w:eastAsiaTheme="minorEastAsia"/>
              </w:rPr>
              <w:t>non-RedCap NR NTN</w:t>
            </w:r>
          </w:p>
          <w:p w14:paraId="673F0795" w14:textId="77777777" w:rsidR="0061375C" w:rsidRPr="00A81E21" w:rsidRDefault="0061375C" w:rsidP="0061375C">
            <w:pPr>
              <w:pStyle w:val="ListParagraph"/>
              <w:spacing w:after="160" w:line="278" w:lineRule="auto"/>
              <w:ind w:left="1440"/>
            </w:pPr>
          </w:p>
          <w:p w14:paraId="7812C780" w14:textId="77777777" w:rsidR="0061375C" w:rsidRPr="00C67061" w:rsidRDefault="0061375C" w:rsidP="0061375C">
            <w:pPr>
              <w:pStyle w:val="Heading2"/>
              <w:rPr>
                <w:lang w:val="sv-SE" w:eastAsia="zh-CN"/>
              </w:rPr>
            </w:pPr>
            <w:r w:rsidRPr="00A70D92">
              <w:t>Issue 1-</w:t>
            </w:r>
            <w:r>
              <w:t>3</w:t>
            </w:r>
            <w:r w:rsidRPr="00A70D92">
              <w:t xml:space="preserve">: </w:t>
            </w:r>
            <w:r>
              <w:t>draft CR</w:t>
            </w:r>
          </w:p>
          <w:p w14:paraId="037C7AAE" w14:textId="77777777" w:rsidR="0061375C" w:rsidRDefault="0061375C" w:rsidP="0061375C">
            <w:pPr>
              <w:rPr>
                <w:b/>
                <w:lang w:eastAsia="zh-CN"/>
              </w:rPr>
            </w:pPr>
            <w:r>
              <w:rPr>
                <w:b/>
                <w:lang w:eastAsia="zh-CN"/>
              </w:rPr>
              <w:t>Agreement:</w:t>
            </w:r>
            <w:r w:rsidRPr="00A70D92">
              <w:rPr>
                <w:b/>
                <w:lang w:eastAsia="zh-CN"/>
              </w:rPr>
              <w:t xml:space="preserve"> </w:t>
            </w:r>
          </w:p>
          <w:p w14:paraId="67EEF783" w14:textId="597B1E61" w:rsidR="007E4668" w:rsidRPr="000B1711" w:rsidRDefault="0061375C" w:rsidP="0061375C">
            <w:pPr>
              <w:pStyle w:val="ListParagraph"/>
              <w:numPr>
                <w:ilvl w:val="0"/>
                <w:numId w:val="30"/>
              </w:numPr>
              <w:overflowPunct w:val="0"/>
              <w:autoSpaceDE w:val="0"/>
              <w:autoSpaceDN w:val="0"/>
              <w:adjustRightInd w:val="0"/>
              <w:spacing w:after="180"/>
              <w:contextualSpacing w:val="0"/>
              <w:textAlignment w:val="baseline"/>
            </w:pPr>
            <w:r w:rsidRPr="00747AE6">
              <w:t>Consider draftCR in R4-2504551 as baseline for further improvements and possible additions</w:t>
            </w:r>
          </w:p>
        </w:tc>
      </w:tr>
    </w:tbl>
    <w:p w14:paraId="1AD02CFC" w14:textId="77777777" w:rsidR="0060543D" w:rsidRDefault="0060543D" w:rsidP="005C23A4"/>
    <w:p w14:paraId="60BEF274" w14:textId="00444465" w:rsidR="000B1711" w:rsidRDefault="000B1711" w:rsidP="005C23A4">
      <w:r>
        <w:t xml:space="preserve">Further, RAN4 has received a reply LS from RAN2 regarding </w:t>
      </w:r>
      <w:r w:rsidR="008B14D1">
        <w:t>simultaneous GNSS operation with NR, with the contents copied below.</w:t>
      </w:r>
    </w:p>
    <w:tbl>
      <w:tblPr>
        <w:tblStyle w:val="TableGrid"/>
        <w:tblW w:w="0" w:type="auto"/>
        <w:tblLook w:val="04A0" w:firstRow="1" w:lastRow="0" w:firstColumn="1" w:lastColumn="0" w:noHBand="0" w:noVBand="1"/>
      </w:tblPr>
      <w:tblGrid>
        <w:gridCol w:w="9617"/>
      </w:tblGrid>
      <w:tr w:rsidR="008B14D1" w:rsidRPr="008F786B" w14:paraId="554F4144" w14:textId="77777777">
        <w:tc>
          <w:tcPr>
            <w:tcW w:w="9617" w:type="dxa"/>
          </w:tcPr>
          <w:p w14:paraId="4709CDD1" w14:textId="77777777" w:rsidR="008B14D1" w:rsidRDefault="008B14D1" w:rsidP="008B14D1">
            <w:pPr>
              <w:spacing w:after="120"/>
              <w:rPr>
                <w:rFonts w:ascii="Arial" w:hAnsi="Arial" w:cs="Arial"/>
                <w:b/>
              </w:rPr>
            </w:pPr>
            <w:r>
              <w:rPr>
                <w:rFonts w:ascii="Arial" w:hAnsi="Arial" w:cs="Arial"/>
                <w:b/>
              </w:rPr>
              <w:t>1. Overall Description:</w:t>
            </w:r>
          </w:p>
          <w:p w14:paraId="5E299A93" w14:textId="77777777" w:rsidR="008B14D1" w:rsidRDefault="008B14D1" w:rsidP="008B14D1">
            <w:pPr>
              <w:pStyle w:val="Header"/>
              <w:spacing w:after="120"/>
              <w:jc w:val="both"/>
              <w:rPr>
                <w:rFonts w:ascii="Arial" w:hAnsi="Arial" w:cs="Arial"/>
                <w:bCs/>
              </w:rPr>
            </w:pPr>
            <w:bookmarkStart w:id="4" w:name="_Hlk193976151"/>
            <w:r>
              <w:rPr>
                <w:rFonts w:ascii="Arial" w:hAnsi="Arial" w:cs="Arial"/>
              </w:rPr>
              <w:t xml:space="preserve">RAN2 would like to thank RAN4 for the original LS in </w:t>
            </w:r>
            <w:r>
              <w:rPr>
                <w:rFonts w:ascii="Arial" w:hAnsi="Arial" w:cs="Arial"/>
                <w:bCs/>
              </w:rPr>
              <w:t xml:space="preserve">R4-2419898. RAN2 has considered the simultaneous operation between GNSS and UL transmission in NR NTN and concluded not to work on the enhancements to the existing IDC solutions in Release 18. </w:t>
            </w:r>
          </w:p>
          <w:p w14:paraId="7D1BD676" w14:textId="77777777" w:rsidR="008B14D1" w:rsidRDefault="008B14D1" w:rsidP="008B14D1">
            <w:pPr>
              <w:pStyle w:val="Header"/>
              <w:spacing w:after="120"/>
              <w:jc w:val="both"/>
              <w:rPr>
                <w:rFonts w:ascii="Arial" w:hAnsi="Arial" w:cs="Arial"/>
                <w:bCs/>
              </w:rPr>
            </w:pPr>
            <w:r>
              <w:rPr>
                <w:rFonts w:ascii="Arial" w:hAnsi="Arial" w:cs="Arial"/>
                <w:bCs/>
              </w:rPr>
              <w:lastRenderedPageBreak/>
              <w:t>RAN2 might consider the extension to IDC TDM solution or autonomous denial solution in Release 19, and would like to receive more information on requirements, e.g. on the periodicity and duration of IDC free time to help the UE read the GNSS in NTN.</w:t>
            </w:r>
          </w:p>
          <w:bookmarkEnd w:id="4"/>
          <w:p w14:paraId="2FFF5DA3" w14:textId="77777777" w:rsidR="008B14D1" w:rsidRDefault="008B14D1" w:rsidP="008B14D1">
            <w:pPr>
              <w:pStyle w:val="Header"/>
              <w:spacing w:after="120"/>
              <w:jc w:val="both"/>
              <w:rPr>
                <w:rFonts w:ascii="Arial" w:hAnsi="Arial" w:cs="Arial"/>
              </w:rPr>
            </w:pPr>
            <w:r>
              <w:rPr>
                <w:rFonts w:ascii="Arial" w:hAnsi="Arial" w:cs="Arial"/>
                <w:bCs/>
              </w:rPr>
              <w:t xml:space="preserve"> </w:t>
            </w:r>
          </w:p>
          <w:p w14:paraId="72B7F7ED" w14:textId="77777777" w:rsidR="008B14D1" w:rsidRDefault="008B14D1" w:rsidP="008B14D1">
            <w:pPr>
              <w:spacing w:after="120"/>
              <w:rPr>
                <w:rFonts w:ascii="Arial" w:hAnsi="Arial" w:cs="Arial"/>
                <w:b/>
              </w:rPr>
            </w:pPr>
            <w:r>
              <w:rPr>
                <w:rFonts w:ascii="Arial" w:hAnsi="Arial" w:cs="Arial"/>
                <w:b/>
              </w:rPr>
              <w:t>2. Actions:</w:t>
            </w:r>
          </w:p>
          <w:p w14:paraId="16AF2467" w14:textId="77777777" w:rsidR="008B14D1" w:rsidRDefault="008B14D1" w:rsidP="008B14D1">
            <w:pPr>
              <w:spacing w:after="120"/>
              <w:ind w:left="1985" w:hanging="1985"/>
              <w:rPr>
                <w:rFonts w:ascii="Arial" w:hAnsi="Arial" w:cs="Arial"/>
                <w:b/>
              </w:rPr>
            </w:pPr>
            <w:r>
              <w:rPr>
                <w:rFonts w:ascii="Arial" w:hAnsi="Arial" w:cs="Arial"/>
                <w:b/>
              </w:rPr>
              <w:t>To RAN4:</w:t>
            </w:r>
          </w:p>
          <w:p w14:paraId="4B3898EB" w14:textId="76C18EE4" w:rsidR="008B14D1" w:rsidRPr="008B14D1" w:rsidRDefault="008B14D1" w:rsidP="008B14D1">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RAN4 to take the aforementioned RAN2 decisions into account and provide the corresponding requirements, e.g. the periodicity and duration of IDC free time to help the UE read the GNSS. </w:t>
            </w:r>
          </w:p>
        </w:tc>
      </w:tr>
    </w:tbl>
    <w:p w14:paraId="2C706FE8" w14:textId="2E45F83A" w:rsidR="008B14D1" w:rsidRPr="008F786B" w:rsidRDefault="00C750E1" w:rsidP="005C23A4">
      <w:r>
        <w:lastRenderedPageBreak/>
        <w:t>In this paper we provide our views on the simultaneous operation of the RedCap NTN UE with GNSS.</w:t>
      </w:r>
    </w:p>
    <w:p w14:paraId="3F5A8754" w14:textId="77777777" w:rsidR="00B66B7D" w:rsidRPr="008F786B" w:rsidRDefault="003B659E" w:rsidP="00B66B7D">
      <w:pPr>
        <w:pStyle w:val="RAN4H1"/>
      </w:pPr>
      <w:bookmarkStart w:id="5" w:name="_Toc116995842"/>
      <w:r w:rsidRPr="008F786B">
        <w:t>Discussion</w:t>
      </w:r>
      <w:bookmarkEnd w:id="5"/>
    </w:p>
    <w:p w14:paraId="4EC25665" w14:textId="77777777" w:rsidR="00C750E1" w:rsidRDefault="00C750E1" w:rsidP="00C750E1">
      <w:pPr>
        <w:pStyle w:val="RAN4H2"/>
      </w:pPr>
      <w:r>
        <w:t>Simultaneous operation with GNSS</w:t>
      </w:r>
    </w:p>
    <w:p w14:paraId="00D6BD94" w14:textId="2C68996E" w:rsidR="00C750E1" w:rsidRDefault="00C750E1" w:rsidP="00C750E1">
      <w:pPr>
        <w:rPr>
          <w:lang w:val="en-US"/>
        </w:rPr>
      </w:pPr>
      <w:r>
        <w:t xml:space="preserve">As discussed during several previous meetings, it is agreeable that there are technical challenges regarding </w:t>
      </w:r>
      <w:r>
        <w:rPr>
          <w:lang w:val="en-US"/>
        </w:rPr>
        <w:t xml:space="preserve">parallel operation of some GNSS variants with NR NTN in some bands. Neither all GNSS bands, nor all UEs suffer i.e., depending on UE implementation, and the GNSS signals (and frequencies) available in a given location, not all UEs will be harmed by this collision all the time. </w:t>
      </w:r>
    </w:p>
    <w:p w14:paraId="49337E8D" w14:textId="77777777" w:rsidR="00C750E1" w:rsidRDefault="00C750E1" w:rsidP="00C750E1">
      <w:pPr>
        <w:pStyle w:val="RAN4observation0"/>
        <w:rPr>
          <w:lang w:val="en-US"/>
        </w:rPr>
      </w:pPr>
      <w:bookmarkStart w:id="6" w:name="_Toc181976530"/>
      <w:bookmarkStart w:id="7" w:name="_Toc197709190"/>
      <w:r>
        <w:rPr>
          <w:lang w:val="en-US"/>
        </w:rPr>
        <w:t>Not all UEs will be harmed by the potential interference between UL and GNSS frequencies.</w:t>
      </w:r>
      <w:bookmarkEnd w:id="6"/>
      <w:bookmarkEnd w:id="7"/>
      <w:r>
        <w:rPr>
          <w:lang w:val="en-US"/>
        </w:rPr>
        <w:t xml:space="preserve"> </w:t>
      </w:r>
    </w:p>
    <w:p w14:paraId="1B9C703F" w14:textId="32DC465C" w:rsidR="00E71123" w:rsidRDefault="00C750E1" w:rsidP="00C750E1">
      <w:r>
        <w:t>According to the RAN2 reply, they can consider extension to the IDC TDM or autonomous denial solution in Release 19 only and will not consider any enhancements in Release 18</w:t>
      </w:r>
      <w:r w:rsidRPr="00133AC5">
        <w:t xml:space="preserve">. </w:t>
      </w:r>
      <w:r w:rsidR="00E71123" w:rsidRPr="00133AC5">
        <w:t>Given RAN2 stand on older release, it makes sense to not do any further work regarding this issue in Release 18 in RAN4 too.</w:t>
      </w:r>
    </w:p>
    <w:p w14:paraId="40D8AC20" w14:textId="51697F2F" w:rsidR="00C750E1" w:rsidRPr="00C750E1" w:rsidRDefault="00E71123" w:rsidP="00E71123">
      <w:pPr>
        <w:pStyle w:val="RAN4observation0"/>
      </w:pPr>
      <w:bookmarkStart w:id="8" w:name="_Toc197709191"/>
      <w:r>
        <w:t>RAN2 will consider enhancements to the IDC framework in Release 19 only. No changes will be done for Release 18.</w:t>
      </w:r>
      <w:bookmarkEnd w:id="8"/>
      <w:r w:rsidR="00C750E1">
        <w:t xml:space="preserve"> </w:t>
      </w:r>
    </w:p>
    <w:p w14:paraId="7EC55C33" w14:textId="4A88A0FB" w:rsidR="00E71123" w:rsidRPr="00C750E1" w:rsidRDefault="00E71123" w:rsidP="00E71123">
      <w:pPr>
        <w:pStyle w:val="RAN4proposal"/>
      </w:pPr>
      <w:bookmarkStart w:id="9" w:name="_Toc197709192"/>
      <w:r>
        <w:t>RAN4 shall only consider any changes regarding this issue in Release 19.</w:t>
      </w:r>
      <w:bookmarkEnd w:id="9"/>
      <w:r>
        <w:t xml:space="preserve"> </w:t>
      </w:r>
    </w:p>
    <w:p w14:paraId="489953C3" w14:textId="64FFD38B" w:rsidR="000132FA" w:rsidRDefault="00324D91" w:rsidP="00324D91">
      <w:r>
        <w:t xml:space="preserve">RAN2 also indicates that for although they are willing to enhance the IDC features for NTN UEs in Release 19, they will only do so if RAN4 provides proper guidance about the values to be used. </w:t>
      </w:r>
      <w:r w:rsidR="00A157CC">
        <w:t>Given that FDM</w:t>
      </w:r>
      <w:r w:rsidR="009C2637">
        <w:t xml:space="preserve"> IDC solution does not help in </w:t>
      </w:r>
      <w:r w:rsidR="00232BEF">
        <w:t xml:space="preserve">this particular co-existence issue, we will not discuss this. </w:t>
      </w:r>
      <w:r>
        <w:t>The IDC feature is composed by two important IE</w:t>
      </w:r>
      <w:r w:rsidR="001B1713">
        <w:t>s</w:t>
      </w:r>
      <w:r>
        <w:t xml:space="preserve"> </w:t>
      </w:r>
      <w:r w:rsidR="00E67EEF">
        <w:t>as described by TS 38.331</w:t>
      </w:r>
      <w:r w:rsidR="000132FA">
        <w:t>:</w:t>
      </w:r>
    </w:p>
    <w:p w14:paraId="3DA1100C" w14:textId="6BB50BDC" w:rsidR="000132FA" w:rsidRDefault="00BE778E" w:rsidP="00277E4F">
      <w:pPr>
        <w:pStyle w:val="ListParagraph"/>
        <w:numPr>
          <w:ilvl w:val="0"/>
          <w:numId w:val="34"/>
        </w:numPr>
      </w:pPr>
      <w:r>
        <w:t>AutonomousD</w:t>
      </w:r>
      <w:r w:rsidR="00E53EDD">
        <w:t>enialParameters</w:t>
      </w:r>
    </w:p>
    <w:p w14:paraId="7FAEE74C" w14:textId="77777777" w:rsidR="00277E4F" w:rsidRPr="00277E4F" w:rsidRDefault="00277E4F" w:rsidP="00277E4F">
      <w:pPr>
        <w:pStyle w:val="ListParagraph"/>
        <w:numPr>
          <w:ilvl w:val="0"/>
          <w:numId w:val="34"/>
        </w:numPr>
        <w:rPr>
          <w:lang w:val="en-US"/>
        </w:rPr>
      </w:pPr>
      <w:bookmarkStart w:id="10" w:name="ref144880"/>
      <w:r w:rsidRPr="00277E4F">
        <w:rPr>
          <w:lang w:val="en-US"/>
        </w:rPr>
        <w:t>IDC-TDM-Assistance-r18</w:t>
      </w:r>
      <w:bookmarkEnd w:id="10"/>
    </w:p>
    <w:p w14:paraId="235AD515" w14:textId="08086528" w:rsidR="00E53EDD" w:rsidRDefault="00277E4F" w:rsidP="00324D91">
      <w:r>
        <w:t xml:space="preserve">The </w:t>
      </w:r>
      <w:r w:rsidR="00CC1BBF">
        <w:t xml:space="preserve">first </w:t>
      </w:r>
      <w:r w:rsidR="006B5B17">
        <w:t>IE</w:t>
      </w:r>
      <w:r w:rsidR="00CC1BBF">
        <w:t xml:space="preserve"> configures the autonomous denial at the UE side. I</w:t>
      </w:r>
      <w:r w:rsidR="006B5B17">
        <w:t>t contains the following parameters and allows the following values:</w:t>
      </w:r>
    </w:p>
    <w:tbl>
      <w:tblPr>
        <w:tblStyle w:val="TableGrid"/>
        <w:tblW w:w="0" w:type="auto"/>
        <w:tblLook w:val="04A0" w:firstRow="1" w:lastRow="0" w:firstColumn="1" w:lastColumn="0" w:noHBand="0" w:noVBand="1"/>
      </w:tblPr>
      <w:tblGrid>
        <w:gridCol w:w="9617"/>
      </w:tblGrid>
      <w:tr w:rsidR="006B5B17" w:rsidRPr="006B5B17" w14:paraId="0ED7FA9B" w14:textId="77777777" w:rsidTr="006B5B17">
        <w:tc>
          <w:tcPr>
            <w:tcW w:w="9617" w:type="dxa"/>
          </w:tcPr>
          <w:p w14:paraId="5F897814" w14:textId="77777777" w:rsidR="006B5B17" w:rsidRPr="00C952A6" w:rsidRDefault="006B5B17" w:rsidP="006B5B17">
            <w:pPr>
              <w:pStyle w:val="PL"/>
              <w:rPr>
                <w:lang w:val="pt-BR"/>
              </w:rPr>
            </w:pPr>
            <w:r w:rsidRPr="00C952A6">
              <w:rPr>
                <w:lang w:val="pt-BR"/>
              </w:rPr>
              <w:t xml:space="preserve">AutonomousDenialParameters-r18 ::=  </w:t>
            </w:r>
            <w:r w:rsidRPr="00C952A6">
              <w:rPr>
                <w:color w:val="993366"/>
                <w:lang w:val="pt-BR"/>
              </w:rPr>
              <w:t>SEQUENCE</w:t>
            </w:r>
            <w:r w:rsidRPr="00C952A6">
              <w:rPr>
                <w:lang w:val="pt-BR"/>
              </w:rPr>
              <w:t xml:space="preserve"> {</w:t>
            </w:r>
          </w:p>
          <w:p w14:paraId="37D08928" w14:textId="77777777" w:rsidR="006B5B17" w:rsidRPr="00C952A6" w:rsidRDefault="006B5B17" w:rsidP="006B5B17">
            <w:pPr>
              <w:pStyle w:val="PL"/>
              <w:rPr>
                <w:lang w:val="pt-BR"/>
              </w:rPr>
            </w:pPr>
            <w:r w:rsidRPr="00C952A6">
              <w:rPr>
                <w:lang w:val="pt-BR"/>
              </w:rPr>
              <w:t xml:space="preserve">    autonomousDenialSlots-r18           </w:t>
            </w:r>
            <w:r w:rsidRPr="00C952A6">
              <w:rPr>
                <w:color w:val="993366"/>
                <w:lang w:val="pt-BR"/>
              </w:rPr>
              <w:t>ENUMERATED</w:t>
            </w:r>
            <w:r w:rsidRPr="00C952A6">
              <w:rPr>
                <w:lang w:val="pt-BR"/>
              </w:rPr>
              <w:t xml:space="preserve"> {n2, n5, n10, n15, n20, n30, spare2, spare1},</w:t>
            </w:r>
          </w:p>
          <w:p w14:paraId="562AA0F7" w14:textId="77777777" w:rsidR="006B5B17" w:rsidRPr="00C952A6" w:rsidRDefault="006B5B17" w:rsidP="006B5B17">
            <w:pPr>
              <w:pStyle w:val="PL"/>
              <w:rPr>
                <w:lang w:val="pt-BR"/>
              </w:rPr>
            </w:pPr>
            <w:r w:rsidRPr="00C952A6">
              <w:rPr>
                <w:lang w:val="pt-BR"/>
              </w:rPr>
              <w:t xml:space="preserve">    autonomousDenialValidity-r18        </w:t>
            </w:r>
            <w:r w:rsidRPr="00C952A6">
              <w:rPr>
                <w:color w:val="993366"/>
                <w:lang w:val="pt-BR"/>
              </w:rPr>
              <w:t>ENUMERATED</w:t>
            </w:r>
            <w:r w:rsidRPr="00C952A6">
              <w:rPr>
                <w:lang w:val="pt-BR"/>
              </w:rPr>
              <w:t xml:space="preserve"> {n200, n500, n1000, n2000}</w:t>
            </w:r>
          </w:p>
          <w:p w14:paraId="148008A2" w14:textId="77777777" w:rsidR="006B5B17" w:rsidRPr="006B5B17" w:rsidRDefault="006B5B17" w:rsidP="00324D91">
            <w:pPr>
              <w:rPr>
                <w:lang w:val="pt-BR"/>
              </w:rPr>
            </w:pPr>
          </w:p>
        </w:tc>
      </w:tr>
    </w:tbl>
    <w:p w14:paraId="5DE3BB37" w14:textId="77777777" w:rsidR="006B5B17" w:rsidRDefault="006B5B17" w:rsidP="00324D91">
      <w:pPr>
        <w:rPr>
          <w:lang w:val="pt-BR"/>
        </w:rPr>
      </w:pPr>
    </w:p>
    <w:p w14:paraId="15158243" w14:textId="13474800" w:rsidR="006B5B17" w:rsidRPr="006B5B17" w:rsidRDefault="006B5B17" w:rsidP="00324D91">
      <w:pPr>
        <w:rPr>
          <w:lang w:val="en-US"/>
        </w:rPr>
      </w:pPr>
      <w:r w:rsidRPr="006B5B17">
        <w:rPr>
          <w:lang w:val="en-US"/>
        </w:rPr>
        <w:t xml:space="preserve">The </w:t>
      </w:r>
      <w:r w:rsidR="00A669EB">
        <w:rPr>
          <w:lang w:val="en-US"/>
        </w:rPr>
        <w:t xml:space="preserve">UE is allowed to </w:t>
      </w:r>
      <w:r w:rsidR="004A32B3">
        <w:rPr>
          <w:lang w:val="en-US"/>
        </w:rPr>
        <w:t>deny UL transmissions according to the values above</w:t>
      </w:r>
      <w:r w:rsidR="00780C8D">
        <w:rPr>
          <w:lang w:val="en-US"/>
        </w:rPr>
        <w:t xml:space="preserve">, when configured. The procedure </w:t>
      </w:r>
      <w:r w:rsidR="00FB5DF8">
        <w:rPr>
          <w:lang w:val="en-US"/>
        </w:rPr>
        <w:t>goes as follows:</w:t>
      </w:r>
      <w:r w:rsidR="004A32B3">
        <w:rPr>
          <w:lang w:val="en-US"/>
        </w:rPr>
        <w:t xml:space="preserve"> </w:t>
      </w:r>
    </w:p>
    <w:tbl>
      <w:tblPr>
        <w:tblStyle w:val="TableGrid"/>
        <w:tblW w:w="0" w:type="auto"/>
        <w:tblLook w:val="04A0" w:firstRow="1" w:lastRow="0" w:firstColumn="1" w:lastColumn="0" w:noHBand="0" w:noVBand="1"/>
      </w:tblPr>
      <w:tblGrid>
        <w:gridCol w:w="9617"/>
      </w:tblGrid>
      <w:tr w:rsidR="000E406B" w14:paraId="1F6F6F46" w14:textId="77777777" w:rsidTr="2D5DFDB5">
        <w:tc>
          <w:tcPr>
            <w:tcW w:w="9617" w:type="dxa"/>
          </w:tcPr>
          <w:p w14:paraId="5AABC5D9" w14:textId="0D30C388" w:rsidR="000E406B" w:rsidRPr="002D3917" w:rsidRDefault="00324D91" w:rsidP="000E406B">
            <w:pPr>
              <w:pStyle w:val="B1"/>
            </w:pPr>
            <w:r w:rsidRPr="006B5B17">
              <w:rPr>
                <w:lang w:val="en-US"/>
              </w:rPr>
              <w:t xml:space="preserve">  </w:t>
            </w:r>
            <w:r w:rsidR="000E406B" w:rsidRPr="002D3917">
              <w:t>1&gt;</w:t>
            </w:r>
            <w:r w:rsidR="000E406B" w:rsidRPr="002D3917">
              <w:tab/>
              <w:t xml:space="preserve">if the </w:t>
            </w:r>
            <w:r w:rsidR="000E406B" w:rsidRPr="002D3917">
              <w:rPr>
                <w:i/>
                <w:iCs/>
              </w:rPr>
              <w:t>CellGroupConfig</w:t>
            </w:r>
            <w:r w:rsidR="000E406B" w:rsidRPr="002D3917">
              <w:t xml:space="preserve"> contains the </w:t>
            </w:r>
            <w:r w:rsidR="000E406B" w:rsidRPr="002D3917">
              <w:rPr>
                <w:i/>
                <w:iCs/>
              </w:rPr>
              <w:t>autonomousDenialParameters</w:t>
            </w:r>
            <w:r w:rsidR="000E406B" w:rsidRPr="002D3917">
              <w:t>:</w:t>
            </w:r>
          </w:p>
          <w:p w14:paraId="39236F3E" w14:textId="293AA001" w:rsidR="000E406B" w:rsidRDefault="000E406B" w:rsidP="001B1713">
            <w:pPr>
              <w:pStyle w:val="B2"/>
            </w:pPr>
            <w:r w:rsidRPr="002D3917">
              <w:t>2&gt;</w:t>
            </w:r>
            <w:r w:rsidRPr="002D3917">
              <w:tab/>
              <w:t xml:space="preserve">consider itself to be allowed to deny any transmission in a particular UL slot if during the number of slots indicated by </w:t>
            </w:r>
            <w:r w:rsidRPr="002D3917">
              <w:rPr>
                <w:i/>
              </w:rPr>
              <w:t>autonomousDenialValidity</w:t>
            </w:r>
            <w:r w:rsidRPr="002D3917">
              <w:t xml:space="preserve">, preceding and including this particular slot, it autonomously denied fewer UL slots than indicated by </w:t>
            </w:r>
            <w:r w:rsidRPr="002D3917">
              <w:rPr>
                <w:i/>
              </w:rPr>
              <w:t>autonomousDenialSlots</w:t>
            </w:r>
            <w:r w:rsidRPr="002D3917">
              <w:rPr>
                <w:iCs/>
              </w:rPr>
              <w:t xml:space="preserve"> within the same cell group</w:t>
            </w:r>
            <w:r w:rsidRPr="002D3917">
              <w:t>;</w:t>
            </w:r>
          </w:p>
        </w:tc>
      </w:tr>
    </w:tbl>
    <w:p w14:paraId="757F632B" w14:textId="77777777" w:rsidR="00921FD9" w:rsidRDefault="00FB5DF8" w:rsidP="00324D91">
      <w:r>
        <w:t>As can be seen above, the UE is allowed to drop up to 30 slots (</w:t>
      </w:r>
      <w:r w:rsidR="00631F08">
        <w:t xml:space="preserve">30 ms in 15 kHz and 15 ms in 30 kHz). This is a significantly limited </w:t>
      </w:r>
      <w:r w:rsidR="003A1F40">
        <w:t xml:space="preserve">span of time if compared to the total time needed to update a GNSS signal. </w:t>
      </w:r>
    </w:p>
    <w:p w14:paraId="1CC4FC08" w14:textId="0DE440A1" w:rsidR="00E862D7" w:rsidRDefault="00E862D7" w:rsidP="00324D91">
      <w:r>
        <w:lastRenderedPageBreak/>
        <w:t xml:space="preserve">Also, from the </w:t>
      </w:r>
      <w:r w:rsidR="00FA2E5B">
        <w:t xml:space="preserve">LTE study </w:t>
      </w:r>
      <w:r w:rsidR="005529EE">
        <w:t xml:space="preserve">TR 36.816, it is understood that Autonomous denial solution is </w:t>
      </w:r>
      <w:r w:rsidR="00B62624">
        <w:t xml:space="preserve">more suitable for successful </w:t>
      </w:r>
      <w:r w:rsidR="00C063E3">
        <w:t xml:space="preserve">reception of </w:t>
      </w:r>
      <w:r w:rsidR="00B62624">
        <w:t xml:space="preserve">LTE signalling </w:t>
      </w:r>
      <w:r w:rsidR="00C063E3">
        <w:t>but i</w:t>
      </w:r>
      <w:r w:rsidR="000C371C">
        <w:t xml:space="preserve">ts </w:t>
      </w:r>
      <w:r w:rsidR="00D86398">
        <w:t>applicability</w:t>
      </w:r>
      <w:r w:rsidR="000C371C">
        <w:t xml:space="preserve"> and </w:t>
      </w:r>
      <w:r w:rsidR="00D86398">
        <w:t>acceptability</w:t>
      </w:r>
      <w:r w:rsidR="000C371C">
        <w:t xml:space="preserve"> is questionable for </w:t>
      </w:r>
      <w:r w:rsidR="00B81C9E">
        <w:t>steady state events.</w:t>
      </w:r>
      <w:r w:rsidR="000C371C">
        <w:t xml:space="preserve"> </w:t>
      </w:r>
      <w:r w:rsidR="00275297">
        <w:t xml:space="preserve">Thus, we propose not to increase the </w:t>
      </w:r>
      <w:r w:rsidR="001B1726">
        <w:t xml:space="preserve">number of </w:t>
      </w:r>
      <w:r w:rsidR="00052AD8">
        <w:t>denied slots.</w:t>
      </w:r>
    </w:p>
    <w:p w14:paraId="59275472" w14:textId="239AA2D2" w:rsidR="00052AD8" w:rsidRDefault="00052AD8" w:rsidP="00B53E1F">
      <w:pPr>
        <w:pStyle w:val="RAN4proposal"/>
      </w:pPr>
      <w:bookmarkStart w:id="11" w:name="_Toc197709193"/>
      <w:r>
        <w:t xml:space="preserve">Agree not to increase the value of </w:t>
      </w:r>
      <w:r w:rsidRPr="00C952A6">
        <w:rPr>
          <w:lang w:val="pt-BR"/>
        </w:rPr>
        <w:t>autonomousDenialSlots-r18</w:t>
      </w:r>
      <w:bookmarkEnd w:id="11"/>
      <w:r w:rsidR="009A0151">
        <w:rPr>
          <w:lang w:val="pt-BR"/>
        </w:rPr>
        <w:t>.</w:t>
      </w:r>
    </w:p>
    <w:p w14:paraId="7353FF34" w14:textId="79773B33" w:rsidR="00137AEA" w:rsidRPr="006B5B17" w:rsidRDefault="00137AEA" w:rsidP="00137AEA">
      <w:pPr>
        <w:rPr>
          <w:lang w:val="en-US"/>
        </w:rPr>
      </w:pPr>
      <w:r>
        <w:rPr>
          <w:lang w:val="en-US"/>
        </w:rPr>
        <w:t xml:space="preserve">From TR </w:t>
      </w:r>
      <w:r w:rsidR="00EB2A58">
        <w:rPr>
          <w:lang w:val="en-US"/>
        </w:rPr>
        <w:t>36.816</w:t>
      </w:r>
      <w:r>
        <w:rPr>
          <w:lang w:val="en-US"/>
        </w:rPr>
        <w:t xml:space="preserve">: </w:t>
      </w:r>
    </w:p>
    <w:tbl>
      <w:tblPr>
        <w:tblStyle w:val="TableGrid"/>
        <w:tblW w:w="0" w:type="auto"/>
        <w:tblLook w:val="04A0" w:firstRow="1" w:lastRow="0" w:firstColumn="1" w:lastColumn="0" w:noHBand="0" w:noVBand="1"/>
      </w:tblPr>
      <w:tblGrid>
        <w:gridCol w:w="9617"/>
      </w:tblGrid>
      <w:tr w:rsidR="00137AEA" w14:paraId="06D59D5F" w14:textId="77777777" w:rsidTr="00890E6D">
        <w:tc>
          <w:tcPr>
            <w:tcW w:w="9617" w:type="dxa"/>
          </w:tcPr>
          <w:p w14:paraId="1E356555" w14:textId="77777777" w:rsidR="008F570E" w:rsidRPr="00793633" w:rsidRDefault="008F570E" w:rsidP="008F570E">
            <w:pPr>
              <w:pStyle w:val="Heading5"/>
              <w:rPr>
                <w:lang w:eastAsia="zh-CN"/>
              </w:rPr>
            </w:pPr>
            <w:bookmarkStart w:id="12" w:name="_Toc311565204"/>
            <w:smartTag w:uri="urn:schemas-microsoft-com:office:smarttags" w:element="chsdate">
              <w:smartTagPr>
                <w:attr w:name="IsROCDate" w:val="False"/>
                <w:attr w:name="IsLunarDate" w:val="False"/>
                <w:attr w:name="Day" w:val="30"/>
                <w:attr w:name="Month" w:val="12"/>
                <w:attr w:name="Year" w:val="1899"/>
              </w:smartTagPr>
              <w:r w:rsidRPr="00793633">
                <w:lastRenderedPageBreak/>
                <w:t>5.</w:t>
              </w:r>
              <w:r w:rsidRPr="00793633">
                <w:rPr>
                  <w:lang w:eastAsia="zh-CN"/>
                </w:rPr>
                <w:t>2</w:t>
              </w:r>
              <w:r w:rsidRPr="00793633">
                <w:t>.</w:t>
              </w:r>
              <w:r w:rsidRPr="00793633">
                <w:rPr>
                  <w:lang w:eastAsia="zh-CN"/>
                </w:rPr>
                <w:t>2</w:t>
              </w:r>
            </w:smartTag>
            <w:r w:rsidRPr="00793633">
              <w:t>.</w:t>
            </w:r>
            <w:r w:rsidRPr="00793633">
              <w:rPr>
                <w:lang w:eastAsia="zh-CN"/>
              </w:rPr>
              <w:t>1</w:t>
            </w:r>
            <w:r w:rsidRPr="00793633">
              <w:t>.1</w:t>
            </w:r>
            <w:r w:rsidRPr="00793633">
              <w:tab/>
            </w:r>
            <w:r w:rsidRPr="00793633">
              <w:rPr>
                <w:lang w:eastAsia="zh-CN"/>
              </w:rPr>
              <w:t>LTE denials for infrequent short-term events</w:t>
            </w:r>
            <w:bookmarkEnd w:id="12"/>
          </w:p>
          <w:p w14:paraId="017D2122" w14:textId="77777777" w:rsidR="008F570E" w:rsidRPr="00793633" w:rsidRDefault="008F570E" w:rsidP="008F570E">
            <w:pPr>
              <w:pStyle w:val="BodyText"/>
              <w:rPr>
                <w:lang w:eastAsia="zh-CN"/>
              </w:rPr>
            </w:pPr>
            <w:r w:rsidRPr="00793633">
              <w:rPr>
                <w:lang w:eastAsia="zh-CN"/>
              </w:rPr>
              <w:t xml:space="preserve">UE can autonomously deny LTE resources due to some critical short-term events of ISM side, e.g. some events during BT/WiFi connection-setup or other important signalling. Otherwise, large delay or failure of connection-setup could happen if these events are not prioritized over LTE. </w:t>
            </w:r>
            <w:r w:rsidRPr="00793633">
              <w:t>This solution is assumed to be used for the event that rarely takes place. Potentially, requirements on the frequency and duration of denials would need to be defined if such a solution would be adopted</w:t>
            </w:r>
            <w:r w:rsidRPr="00793633">
              <w:rPr>
                <w:lang w:eastAsia="zh-CN"/>
              </w:rPr>
              <w:t>.</w:t>
            </w:r>
          </w:p>
          <w:p w14:paraId="386CD21F" w14:textId="77777777" w:rsidR="008F570E" w:rsidRPr="00793633" w:rsidRDefault="008F570E" w:rsidP="008F570E">
            <w:pPr>
              <w:pStyle w:val="BodyText"/>
              <w:rPr>
                <w:lang w:eastAsia="zh-CN"/>
              </w:rPr>
            </w:pPr>
            <w:r w:rsidRPr="00793633">
              <w:rPr>
                <w:lang w:eastAsia="zh-CN"/>
              </w:rPr>
              <w:t xml:space="preserve">The analysis indicates that autonomous LTE denial at the UE, i.e. UE occasionally skipping an LTE UL transmission without any limitation is not acceptable due to its impact on LTE performance, </w:t>
            </w:r>
            <w:r w:rsidRPr="00793633">
              <w:t>especially on PDCCH link adaptation accuracy and PDCCH capacity</w:t>
            </w:r>
            <w:r w:rsidRPr="00793633">
              <w:rPr>
                <w:lang w:eastAsia="zh-CN"/>
              </w:rPr>
              <w:t xml:space="preserve"> [19]. It is FFS whether autonomous LTE denial with further enhancement, e.g. </w:t>
            </w:r>
            <w:r w:rsidRPr="00793633">
              <w:t xml:space="preserve">the UE would have to provide additional </w:t>
            </w:r>
            <w:r w:rsidRPr="00793633">
              <w:rPr>
                <w:lang w:eastAsia="zh-CN"/>
              </w:rPr>
              <w:t>assistant information</w:t>
            </w:r>
            <w:r w:rsidRPr="00793633">
              <w:t xml:space="preserve"> to the network</w:t>
            </w:r>
            <w:r w:rsidRPr="00793633">
              <w:rPr>
                <w:lang w:eastAsia="zh-CN"/>
              </w:rPr>
              <w:t>, is needed to handle rare periodic or non-periodic events.</w:t>
            </w:r>
          </w:p>
          <w:p w14:paraId="41C5AEA7" w14:textId="77777777" w:rsidR="008F570E" w:rsidRPr="00793633" w:rsidRDefault="008F570E" w:rsidP="008F570E">
            <w:pPr>
              <w:pStyle w:val="NO"/>
              <w:rPr>
                <w:rFonts w:eastAsia="MS Mincho"/>
                <w:lang w:eastAsia="zh-CN"/>
              </w:rPr>
            </w:pPr>
            <w:r w:rsidRPr="00793633">
              <w:t>Editor’s note:</w:t>
            </w:r>
            <w:r w:rsidRPr="00793633">
              <w:tab/>
              <w:t xml:space="preserve">The feasibility </w:t>
            </w:r>
            <w:r w:rsidRPr="00793633">
              <w:rPr>
                <w:lang w:eastAsia="zh-CN"/>
              </w:rPr>
              <w:t xml:space="preserve">and usefulness </w:t>
            </w:r>
            <w:r w:rsidRPr="00793633">
              <w:t>of th</w:t>
            </w:r>
            <w:r w:rsidRPr="00793633">
              <w:rPr>
                <w:lang w:eastAsia="zh-CN"/>
              </w:rPr>
              <w:t>is</w:t>
            </w:r>
            <w:r w:rsidRPr="00793633">
              <w:t xml:space="preserve"> solution need further study.</w:t>
            </w:r>
          </w:p>
          <w:p w14:paraId="57CA153B" w14:textId="77777777" w:rsidR="008F570E" w:rsidRPr="00793633" w:rsidRDefault="008F570E" w:rsidP="008F570E">
            <w:pPr>
              <w:pStyle w:val="Heading5"/>
              <w:rPr>
                <w:lang w:eastAsia="zh-CN"/>
              </w:rPr>
            </w:pPr>
            <w:bookmarkStart w:id="13" w:name="_Toc311565205"/>
            <w:smartTag w:uri="urn:schemas-microsoft-com:office:smarttags" w:element="chsdate">
              <w:smartTagPr>
                <w:attr w:name="Year" w:val="1899"/>
                <w:attr w:name="Month" w:val="12"/>
                <w:attr w:name="Day" w:val="30"/>
                <w:attr w:name="IsLunarDate" w:val="False"/>
                <w:attr w:name="IsROCDate" w:val="False"/>
              </w:smartTagPr>
              <w:r w:rsidRPr="00793633">
                <w:t>5.</w:t>
              </w:r>
              <w:r w:rsidRPr="00793633">
                <w:rPr>
                  <w:lang w:eastAsia="zh-CN"/>
                </w:rPr>
                <w:t>2</w:t>
              </w:r>
              <w:r w:rsidRPr="00793633">
                <w:t>.</w:t>
              </w:r>
              <w:r w:rsidRPr="00793633">
                <w:rPr>
                  <w:lang w:eastAsia="zh-CN"/>
                </w:rPr>
                <w:t>2</w:t>
              </w:r>
            </w:smartTag>
            <w:r w:rsidRPr="00793633">
              <w:t>.</w:t>
            </w:r>
            <w:r w:rsidRPr="00793633">
              <w:rPr>
                <w:lang w:eastAsia="zh-CN"/>
              </w:rPr>
              <w:t>1</w:t>
            </w:r>
            <w:r w:rsidRPr="00793633">
              <w:t>.</w:t>
            </w:r>
            <w:r w:rsidRPr="00793633">
              <w:rPr>
                <w:lang w:eastAsia="zh-CN"/>
              </w:rPr>
              <w:t>2</w:t>
            </w:r>
            <w:r w:rsidRPr="00793633">
              <w:tab/>
            </w:r>
            <w:r w:rsidRPr="00793633">
              <w:rPr>
                <w:lang w:eastAsia="zh-CN"/>
              </w:rPr>
              <w:t>LTE denials for ISM data packets</w:t>
            </w:r>
            <w:bookmarkEnd w:id="13"/>
          </w:p>
          <w:p w14:paraId="7E9D6D18" w14:textId="77777777" w:rsidR="008F570E" w:rsidRPr="00793633" w:rsidRDefault="008F570E" w:rsidP="008F570E">
            <w:pPr>
              <w:pStyle w:val="BodyText"/>
              <w:rPr>
                <w:lang w:eastAsia="zh-CN"/>
              </w:rPr>
            </w:pPr>
            <w:r w:rsidRPr="00793633">
              <w:rPr>
                <w:lang w:eastAsia="zh-CN"/>
              </w:rPr>
              <w:t>During stable situation of ISM operation, some LTE resources can be denied by UE autonomously to protect ISM data packets, so e.g. the BT eSCO connection or WiFi connection with PS-Poll can be maintained. The UE can feedback the denial pattern to the eNB, or the eNB can learn the pattern used by the UE based on DTX and other implementation specific solutions. An example of this solution is shown in Figure 5.2.2.1.2-1.</w:t>
            </w:r>
          </w:p>
          <w:p w14:paraId="786F2ACD" w14:textId="77777777" w:rsidR="008F570E" w:rsidRPr="00793633" w:rsidRDefault="008F570E" w:rsidP="008F570E">
            <w:pPr>
              <w:pStyle w:val="TH"/>
              <w:rPr>
                <w:lang w:eastAsia="zh-CN"/>
              </w:rPr>
            </w:pPr>
            <w:r w:rsidRPr="00793633">
              <w:object w:dxaOrig="11621" w:dyaOrig="3281" w14:anchorId="35732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37.5pt" o:ole="">
                  <v:imagedata r:id="rId8" o:title=""/>
                </v:shape>
                <o:OLEObject Type="Embed" ProgID="Visio.Drawing.11" ShapeID="_x0000_i1025" DrawAspect="Content" ObjectID="_1816757608" r:id="rId9"/>
              </w:object>
            </w:r>
          </w:p>
          <w:p w14:paraId="5BC9E8B1" w14:textId="77777777" w:rsidR="008F570E" w:rsidRPr="00793633" w:rsidRDefault="008F570E" w:rsidP="008F570E">
            <w:pPr>
              <w:pStyle w:val="TF"/>
            </w:pPr>
            <w:r w:rsidRPr="00793633">
              <w:rPr>
                <w:rFonts w:eastAsia="PMingLiU"/>
                <w:lang w:eastAsia="zh-TW"/>
              </w:rPr>
              <w:t xml:space="preserve">Figure </w:t>
            </w:r>
            <w:smartTag w:uri="urn:schemas-microsoft-com:office:smarttags" w:element="chsdate">
              <w:smartTagPr>
                <w:attr w:name="Year" w:val="1899"/>
                <w:attr w:name="Month" w:val="12"/>
                <w:attr w:name="Day" w:val="30"/>
                <w:attr w:name="IsLunarDate" w:val="False"/>
                <w:attr w:name="IsROCDate" w:val="False"/>
              </w:smartTagPr>
              <w:r w:rsidRPr="00793633">
                <w:rPr>
                  <w:rFonts w:eastAsia="PMingLiU"/>
                  <w:lang w:eastAsia="zh-TW"/>
                </w:rPr>
                <w:t>5.2.2</w:t>
              </w:r>
            </w:smartTag>
            <w:r w:rsidRPr="00793633">
              <w:rPr>
                <w:rFonts w:eastAsia="PMingLiU"/>
                <w:lang w:eastAsia="zh-TW"/>
              </w:rPr>
              <w:t>.1.2-1: Example of LTE denials in case of LTE in Band40 coexisting with BT slave</w:t>
            </w:r>
          </w:p>
          <w:p w14:paraId="6BF0AFA1" w14:textId="77777777" w:rsidR="008F570E" w:rsidRPr="00793633" w:rsidRDefault="008F570E" w:rsidP="008F570E">
            <w:pPr>
              <w:pStyle w:val="BodyText"/>
              <w:rPr>
                <w:lang w:eastAsia="zh-CN"/>
              </w:rPr>
            </w:pPr>
            <w:r w:rsidRPr="00793633">
              <w:rPr>
                <w:lang w:eastAsia="zh-CN"/>
              </w:rPr>
              <w:t>The analysis indicates that without eNB knowing the denial resources, the UL throughput loss is up to 41.6% [16]. Therefore, autonomous LTE denials for ISM data packets seem not an acceptable solution for solving steady state situations e.g. voice call.</w:t>
            </w:r>
          </w:p>
          <w:p w14:paraId="0B8EB1D2" w14:textId="77777777" w:rsidR="008F570E" w:rsidRPr="00793633" w:rsidRDefault="008F570E" w:rsidP="008F570E">
            <w:pPr>
              <w:pStyle w:val="Heading5"/>
              <w:rPr>
                <w:lang w:eastAsia="zh-CN"/>
              </w:rPr>
            </w:pPr>
            <w:bookmarkStart w:id="14" w:name="_Toc311565206"/>
            <w:smartTag w:uri="urn:schemas-microsoft-com:office:smarttags" w:element="chsdate">
              <w:smartTagPr>
                <w:attr w:name="Year" w:val="1899"/>
                <w:attr w:name="Month" w:val="12"/>
                <w:attr w:name="Day" w:val="30"/>
                <w:attr w:name="IsLunarDate" w:val="False"/>
                <w:attr w:name="IsROCDate" w:val="False"/>
              </w:smartTagPr>
              <w:r w:rsidRPr="00793633">
                <w:t>5.</w:t>
              </w:r>
              <w:r w:rsidRPr="00793633">
                <w:rPr>
                  <w:lang w:eastAsia="zh-CN"/>
                </w:rPr>
                <w:t>2</w:t>
              </w:r>
              <w:r w:rsidRPr="00793633">
                <w:t>.</w:t>
              </w:r>
              <w:r w:rsidRPr="00793633">
                <w:rPr>
                  <w:lang w:eastAsia="zh-CN"/>
                </w:rPr>
                <w:t>2</w:t>
              </w:r>
            </w:smartTag>
            <w:r w:rsidRPr="00793633">
              <w:t>.</w:t>
            </w:r>
            <w:r w:rsidRPr="00793633">
              <w:rPr>
                <w:lang w:eastAsia="zh-CN"/>
              </w:rPr>
              <w:t>1</w:t>
            </w:r>
            <w:r w:rsidRPr="00793633">
              <w:t>.</w:t>
            </w:r>
            <w:r w:rsidRPr="00793633">
              <w:rPr>
                <w:lang w:eastAsia="zh-CN"/>
              </w:rPr>
              <w:t>3</w:t>
            </w:r>
            <w:r w:rsidRPr="00793633">
              <w:tab/>
            </w:r>
            <w:r w:rsidRPr="00793633">
              <w:rPr>
                <w:lang w:eastAsia="zh-CN"/>
              </w:rPr>
              <w:t>ISM denials for LTE important reception</w:t>
            </w:r>
            <w:bookmarkEnd w:id="14"/>
          </w:p>
          <w:p w14:paraId="7C48825A" w14:textId="77777777" w:rsidR="008F570E" w:rsidRPr="003D643D" w:rsidRDefault="008F570E" w:rsidP="008F570E">
            <w:pPr>
              <w:pStyle w:val="BodyText"/>
              <w:rPr>
                <w:lang w:eastAsia="zh-CN"/>
              </w:rPr>
            </w:pPr>
            <w:r w:rsidRPr="00793633">
              <w:rPr>
                <w:lang w:eastAsia="zh-CN"/>
              </w:rPr>
              <w:t xml:space="preserve">UE can autonomously deny ISM transmissions to ensure </w:t>
            </w:r>
            <w:r w:rsidRPr="003D643D">
              <w:rPr>
                <w:lang w:eastAsia="zh-CN"/>
              </w:rPr>
              <w:t>successful reception of important LTE signalling, e.g. system information, paging, synchronization signal, critical dedicated signalling, etc. The details are up to UE implementation and will not be specified in 3GPP.</w:t>
            </w:r>
          </w:p>
          <w:p w14:paraId="04BDB853" w14:textId="77777777" w:rsidR="008F570E" w:rsidRPr="00793633" w:rsidRDefault="008F570E" w:rsidP="008F570E">
            <w:pPr>
              <w:pStyle w:val="Heading2"/>
              <w:rPr>
                <w:lang w:eastAsia="zh-CN"/>
              </w:rPr>
            </w:pPr>
            <w:bookmarkStart w:id="15" w:name="_Toc311565207"/>
            <w:r w:rsidRPr="00793633">
              <w:rPr>
                <w:lang w:eastAsia="zh-CN"/>
              </w:rPr>
              <w:t>5.3</w:t>
            </w:r>
            <w:r w:rsidRPr="00793633">
              <w:rPr>
                <w:lang w:eastAsia="zh-CN"/>
              </w:rPr>
              <w:tab/>
              <w:t>Applicability of interference avoidance solutions</w:t>
            </w:r>
            <w:bookmarkEnd w:id="15"/>
          </w:p>
          <w:p w14:paraId="7D5504EA" w14:textId="77777777" w:rsidR="008F570E" w:rsidRPr="00793633" w:rsidRDefault="008F570E" w:rsidP="008F570E">
            <w:pPr>
              <w:pStyle w:val="BodyText"/>
              <w:rPr>
                <w:lang w:eastAsia="zh-CN"/>
              </w:rPr>
            </w:pPr>
            <w:r w:rsidRPr="00793633">
              <w:rPr>
                <w:lang w:eastAsia="zh-CN"/>
              </w:rPr>
              <w:t xml:space="preserve">The applicability of </w:t>
            </w:r>
            <w:r w:rsidRPr="00793633">
              <w:t xml:space="preserve">TDM solutions for each usage scenario </w:t>
            </w:r>
            <w:r w:rsidRPr="00793633">
              <w:rPr>
                <w:lang w:eastAsia="zh-CN"/>
              </w:rPr>
              <w:t>is</w:t>
            </w:r>
            <w:r w:rsidRPr="00793633">
              <w:t xml:space="preserve"> summarized </w:t>
            </w:r>
            <w:r w:rsidRPr="00793633">
              <w:rPr>
                <w:lang w:eastAsia="zh-CN"/>
              </w:rPr>
              <w:t>in T</w:t>
            </w:r>
            <w:r w:rsidRPr="00793633">
              <w:t>able</w:t>
            </w:r>
            <w:r w:rsidRPr="00793633">
              <w:rPr>
                <w:lang w:eastAsia="zh-CN"/>
              </w:rPr>
              <w:t xml:space="preserve"> 5.3-1.</w:t>
            </w:r>
          </w:p>
          <w:p w14:paraId="41AA9120" w14:textId="77777777" w:rsidR="008F570E" w:rsidRPr="00793633" w:rsidRDefault="008F570E" w:rsidP="008F570E">
            <w:pPr>
              <w:pStyle w:val="TF"/>
              <w:rPr>
                <w:lang w:eastAsia="zh-CN"/>
              </w:rPr>
            </w:pPr>
            <w:r w:rsidRPr="00793633">
              <w:t xml:space="preserve">Table </w:t>
            </w:r>
            <w:r w:rsidRPr="00793633">
              <w:rPr>
                <w:lang w:eastAsia="zh-CN"/>
              </w:rPr>
              <w:t>5.3</w:t>
            </w:r>
            <w:r w:rsidRPr="00793633">
              <w:noBreakHyphen/>
              <w:t xml:space="preserve">1: </w:t>
            </w:r>
            <w:r w:rsidRPr="00793633">
              <w:rPr>
                <w:lang w:eastAsia="zh-CN"/>
              </w:rPr>
              <w:t>Applicability of different TDM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0"/>
              <w:gridCol w:w="1701"/>
              <w:gridCol w:w="1701"/>
              <w:gridCol w:w="1275"/>
              <w:gridCol w:w="1276"/>
            </w:tblGrid>
            <w:tr w:rsidR="008F570E" w:rsidRPr="00793633" w14:paraId="1308A9AE" w14:textId="77777777" w:rsidTr="00890E6D">
              <w:trPr>
                <w:jc w:val="center"/>
              </w:trPr>
              <w:tc>
                <w:tcPr>
                  <w:tcW w:w="1668" w:type="dxa"/>
                  <w:vMerge w:val="restart"/>
                </w:tcPr>
                <w:p w14:paraId="478E45E0" w14:textId="77777777" w:rsidR="008F570E" w:rsidRPr="00793633" w:rsidRDefault="008F570E" w:rsidP="008F570E">
                  <w:pPr>
                    <w:jc w:val="center"/>
                    <w:rPr>
                      <w:rFonts w:ascii="Arial" w:hAnsi="Arial" w:cs="Arial"/>
                      <w:b/>
                      <w:sz w:val="18"/>
                      <w:szCs w:val="18"/>
                      <w:lang w:eastAsia="zh-CN"/>
                    </w:rPr>
                  </w:pPr>
                  <w:r w:rsidRPr="00793633">
                    <w:rPr>
                      <w:rFonts w:ascii="Arial" w:hAnsi="Arial" w:cs="Arial"/>
                      <w:b/>
                      <w:sz w:val="18"/>
                      <w:szCs w:val="18"/>
                      <w:lang w:eastAsia="zh-CN"/>
                    </w:rPr>
                    <w:t>TDM solution</w:t>
                  </w:r>
                </w:p>
              </w:tc>
              <w:tc>
                <w:tcPr>
                  <w:tcW w:w="7653" w:type="dxa"/>
                  <w:gridSpan w:val="5"/>
                </w:tcPr>
                <w:p w14:paraId="381B86A1" w14:textId="77777777" w:rsidR="008F570E" w:rsidRPr="00793633" w:rsidRDefault="008F570E" w:rsidP="008F570E">
                  <w:pPr>
                    <w:jc w:val="center"/>
                    <w:rPr>
                      <w:rFonts w:ascii="Arial" w:hAnsi="Arial" w:cs="Arial"/>
                      <w:b/>
                      <w:sz w:val="18"/>
                      <w:szCs w:val="18"/>
                      <w:lang w:eastAsia="zh-CN"/>
                    </w:rPr>
                  </w:pPr>
                  <w:r w:rsidRPr="00793633">
                    <w:rPr>
                      <w:rFonts w:ascii="Arial" w:hAnsi="Arial" w:cs="Arial"/>
                      <w:b/>
                      <w:sz w:val="18"/>
                      <w:szCs w:val="18"/>
                      <w:lang w:eastAsia="zh-CN"/>
                    </w:rPr>
                    <w:t>Usage scenario</w:t>
                  </w:r>
                </w:p>
              </w:tc>
            </w:tr>
            <w:tr w:rsidR="008F570E" w:rsidRPr="00793633" w14:paraId="7AB210E9" w14:textId="77777777" w:rsidTr="00890E6D">
              <w:trPr>
                <w:trHeight w:val="730"/>
                <w:jc w:val="center"/>
              </w:trPr>
              <w:tc>
                <w:tcPr>
                  <w:tcW w:w="1668" w:type="dxa"/>
                  <w:vMerge/>
                </w:tcPr>
                <w:p w14:paraId="4E622DDC" w14:textId="77777777" w:rsidR="008F570E" w:rsidRPr="00793633" w:rsidRDefault="008F570E" w:rsidP="008F570E">
                  <w:pPr>
                    <w:jc w:val="center"/>
                    <w:rPr>
                      <w:rFonts w:ascii="Arial" w:hAnsi="Arial" w:cs="Arial"/>
                      <w:sz w:val="18"/>
                      <w:szCs w:val="18"/>
                    </w:rPr>
                  </w:pPr>
                </w:p>
              </w:tc>
              <w:tc>
                <w:tcPr>
                  <w:tcW w:w="1700" w:type="dxa"/>
                </w:tcPr>
                <w:p w14:paraId="27862CDC" w14:textId="77777777" w:rsidR="008F570E" w:rsidRPr="00793633" w:rsidRDefault="008F570E" w:rsidP="008F570E">
                  <w:pPr>
                    <w:jc w:val="center"/>
                    <w:rPr>
                      <w:rFonts w:ascii="Arial" w:hAnsi="Arial" w:cs="Arial"/>
                      <w:b/>
                      <w:sz w:val="18"/>
                      <w:szCs w:val="18"/>
                    </w:rPr>
                  </w:pPr>
                  <w:r w:rsidRPr="00793633">
                    <w:rPr>
                      <w:rFonts w:ascii="Arial" w:hAnsi="Arial" w:cs="Arial"/>
                      <w:b/>
                      <w:sz w:val="18"/>
                      <w:szCs w:val="18"/>
                    </w:rPr>
                    <w:t>LTE+BT earphone (VoIP service)</w:t>
                  </w:r>
                </w:p>
              </w:tc>
              <w:tc>
                <w:tcPr>
                  <w:tcW w:w="1701" w:type="dxa"/>
                </w:tcPr>
                <w:p w14:paraId="6173C8E4" w14:textId="77777777" w:rsidR="008F570E" w:rsidRPr="00793633" w:rsidRDefault="008F570E" w:rsidP="008F570E">
                  <w:pPr>
                    <w:jc w:val="center"/>
                    <w:rPr>
                      <w:rFonts w:ascii="Arial" w:hAnsi="Arial" w:cs="Arial"/>
                      <w:b/>
                      <w:sz w:val="18"/>
                      <w:szCs w:val="18"/>
                    </w:rPr>
                  </w:pPr>
                  <w:r w:rsidRPr="00793633">
                    <w:rPr>
                      <w:rFonts w:ascii="Arial" w:hAnsi="Arial" w:cs="Arial"/>
                      <w:b/>
                      <w:color w:val="000000"/>
                      <w:sz w:val="18"/>
                      <w:szCs w:val="18"/>
                    </w:rPr>
                    <w:t>LTE+BT earphone (Multimedia service)</w:t>
                  </w:r>
                </w:p>
              </w:tc>
              <w:tc>
                <w:tcPr>
                  <w:tcW w:w="1701" w:type="dxa"/>
                </w:tcPr>
                <w:p w14:paraId="31EEABEB" w14:textId="77777777" w:rsidR="008F570E" w:rsidRPr="00793633" w:rsidRDefault="008F570E" w:rsidP="008F570E">
                  <w:pPr>
                    <w:jc w:val="center"/>
                    <w:rPr>
                      <w:rFonts w:ascii="Arial" w:hAnsi="Arial" w:cs="Arial"/>
                      <w:b/>
                      <w:sz w:val="18"/>
                      <w:szCs w:val="18"/>
                    </w:rPr>
                  </w:pPr>
                  <w:r w:rsidRPr="00793633">
                    <w:rPr>
                      <w:rFonts w:ascii="Arial" w:hAnsi="Arial" w:cs="Arial"/>
                      <w:b/>
                      <w:sz w:val="18"/>
                      <w:szCs w:val="18"/>
                    </w:rPr>
                    <w:t>LTE+WiFi portable router</w:t>
                  </w:r>
                </w:p>
              </w:tc>
              <w:tc>
                <w:tcPr>
                  <w:tcW w:w="1275" w:type="dxa"/>
                </w:tcPr>
                <w:p w14:paraId="2C462F16" w14:textId="77777777" w:rsidR="008F570E" w:rsidRPr="00793633" w:rsidRDefault="008F570E" w:rsidP="008F570E">
                  <w:pPr>
                    <w:jc w:val="center"/>
                    <w:rPr>
                      <w:rFonts w:ascii="Arial" w:hAnsi="Arial" w:cs="Arial"/>
                      <w:b/>
                      <w:sz w:val="18"/>
                      <w:szCs w:val="18"/>
                    </w:rPr>
                  </w:pPr>
                  <w:r w:rsidRPr="00793633">
                    <w:rPr>
                      <w:rFonts w:ascii="Arial" w:hAnsi="Arial" w:cs="Arial"/>
                      <w:b/>
                      <w:sz w:val="18"/>
                      <w:szCs w:val="18"/>
                    </w:rPr>
                    <w:t>LTE+WiFi offload</w:t>
                  </w:r>
                </w:p>
              </w:tc>
              <w:tc>
                <w:tcPr>
                  <w:tcW w:w="1276" w:type="dxa"/>
                </w:tcPr>
                <w:p w14:paraId="1B893B3B" w14:textId="77777777" w:rsidR="008F570E" w:rsidRPr="00793633" w:rsidRDefault="008F570E" w:rsidP="008F570E">
                  <w:pPr>
                    <w:jc w:val="center"/>
                    <w:rPr>
                      <w:rFonts w:ascii="Arial" w:hAnsi="Arial" w:cs="Arial"/>
                      <w:b/>
                      <w:sz w:val="18"/>
                      <w:szCs w:val="18"/>
                    </w:rPr>
                  </w:pPr>
                  <w:r w:rsidRPr="00793633">
                    <w:rPr>
                      <w:rFonts w:ascii="Arial" w:hAnsi="Arial" w:cs="Arial"/>
                      <w:b/>
                      <w:sz w:val="18"/>
                      <w:szCs w:val="18"/>
                    </w:rPr>
                    <w:t>LTE+GNSS Receiver</w:t>
                  </w:r>
                </w:p>
              </w:tc>
            </w:tr>
            <w:tr w:rsidR="008F570E" w:rsidRPr="00793633" w14:paraId="685B36D2" w14:textId="77777777" w:rsidTr="00890E6D">
              <w:trPr>
                <w:trHeight w:val="716"/>
                <w:jc w:val="center"/>
              </w:trPr>
              <w:tc>
                <w:tcPr>
                  <w:tcW w:w="1668" w:type="dxa"/>
                </w:tcPr>
                <w:p w14:paraId="1C3FA99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HARQ process reservation based solution</w:t>
                  </w:r>
                </w:p>
              </w:tc>
              <w:tc>
                <w:tcPr>
                  <w:tcW w:w="1700" w:type="dxa"/>
                </w:tcPr>
                <w:p w14:paraId="515AC653"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701" w:type="dxa"/>
                </w:tcPr>
                <w:p w14:paraId="22773346"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 for BT Master</w:t>
                  </w:r>
                  <w:r w:rsidRPr="00793633">
                    <w:rPr>
                      <w:rFonts w:ascii="Arial" w:hAnsi="Arial" w:cs="Arial"/>
                      <w:sz w:val="18"/>
                      <w:szCs w:val="18"/>
                      <w:lang w:eastAsia="zh-CN"/>
                    </w:rPr>
                    <w:t>, but n</w:t>
                  </w:r>
                  <w:r w:rsidRPr="00793633">
                    <w:rPr>
                      <w:rFonts w:ascii="Arial" w:hAnsi="Arial" w:cs="Arial"/>
                      <w:sz w:val="18"/>
                      <w:szCs w:val="18"/>
                    </w:rPr>
                    <w:t>ot applicable for BT Slave</w:t>
                  </w:r>
                </w:p>
              </w:tc>
              <w:tc>
                <w:tcPr>
                  <w:tcW w:w="1701" w:type="dxa"/>
                </w:tcPr>
                <w:p w14:paraId="51F6C518"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FFS</w:t>
                  </w:r>
                </w:p>
              </w:tc>
              <w:tc>
                <w:tcPr>
                  <w:tcW w:w="1275" w:type="dxa"/>
                </w:tcPr>
                <w:p w14:paraId="02F3FA32"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FFS</w:t>
                  </w:r>
                </w:p>
              </w:tc>
              <w:tc>
                <w:tcPr>
                  <w:tcW w:w="1276" w:type="dxa"/>
                </w:tcPr>
                <w:p w14:paraId="64D206C9"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r>
            <w:tr w:rsidR="008F570E" w:rsidRPr="00793633" w14:paraId="4255917E" w14:textId="77777777" w:rsidTr="00890E6D">
              <w:trPr>
                <w:jc w:val="center"/>
              </w:trPr>
              <w:tc>
                <w:tcPr>
                  <w:tcW w:w="1668" w:type="dxa"/>
                </w:tcPr>
                <w:p w14:paraId="0E52F30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lastRenderedPageBreak/>
                    <w:t>DRX based solution</w:t>
                  </w:r>
                </w:p>
              </w:tc>
              <w:tc>
                <w:tcPr>
                  <w:tcW w:w="1700" w:type="dxa"/>
                </w:tcPr>
                <w:p w14:paraId="1F430E9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701" w:type="dxa"/>
                </w:tcPr>
                <w:p w14:paraId="6A949584"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701" w:type="dxa"/>
                </w:tcPr>
                <w:p w14:paraId="6138EC27"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275" w:type="dxa"/>
                </w:tcPr>
                <w:p w14:paraId="5FC87007"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276" w:type="dxa"/>
                </w:tcPr>
                <w:p w14:paraId="277EB0E9"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r>
            <w:tr w:rsidR="008F570E" w:rsidRPr="00793633" w14:paraId="6A11CC7C" w14:textId="77777777" w:rsidTr="00890E6D">
              <w:trPr>
                <w:jc w:val="center"/>
              </w:trPr>
              <w:tc>
                <w:tcPr>
                  <w:tcW w:w="1668" w:type="dxa"/>
                </w:tcPr>
                <w:p w14:paraId="67BB671D" w14:textId="77777777" w:rsidR="008F570E" w:rsidRPr="00793633" w:rsidRDefault="008F570E" w:rsidP="008F570E">
                  <w:pPr>
                    <w:jc w:val="center"/>
                    <w:rPr>
                      <w:rFonts w:ascii="Arial" w:hAnsi="Arial" w:cs="Arial"/>
                      <w:sz w:val="18"/>
                      <w:szCs w:val="18"/>
                      <w:lang w:eastAsia="zh-CN"/>
                    </w:rPr>
                  </w:pPr>
                  <w:r w:rsidRPr="00793633">
                    <w:rPr>
                      <w:rFonts w:ascii="Arial" w:hAnsi="Arial" w:cs="Arial"/>
                      <w:sz w:val="18"/>
                      <w:szCs w:val="18"/>
                      <w:lang w:eastAsia="zh-CN"/>
                    </w:rPr>
                    <w:t>Uplink scheduling restriction based solution</w:t>
                  </w:r>
                </w:p>
              </w:tc>
              <w:tc>
                <w:tcPr>
                  <w:tcW w:w="1700" w:type="dxa"/>
                </w:tcPr>
                <w:p w14:paraId="1B6FA34C"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701" w:type="dxa"/>
                </w:tcPr>
                <w:p w14:paraId="24D85355"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701" w:type="dxa"/>
                </w:tcPr>
                <w:p w14:paraId="1A01AA9D"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275" w:type="dxa"/>
                </w:tcPr>
                <w:p w14:paraId="4CFB0E7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276" w:type="dxa"/>
                </w:tcPr>
                <w:p w14:paraId="5667E039" w14:textId="77777777" w:rsidR="008F570E" w:rsidRPr="00793633" w:rsidRDefault="008F570E" w:rsidP="008F570E">
                  <w:pPr>
                    <w:jc w:val="center"/>
                    <w:rPr>
                      <w:rFonts w:ascii="Arial" w:hAnsi="Arial" w:cs="Arial"/>
                      <w:sz w:val="18"/>
                      <w:szCs w:val="18"/>
                      <w:lang w:eastAsia="zh-CN"/>
                    </w:rPr>
                  </w:pPr>
                  <w:r w:rsidRPr="00793633">
                    <w:rPr>
                      <w:rFonts w:ascii="Arial" w:hAnsi="Arial" w:cs="Arial"/>
                      <w:sz w:val="18"/>
                      <w:szCs w:val="18"/>
                      <w:lang w:eastAsia="zh-CN"/>
                    </w:rPr>
                    <w:t>Applicable</w:t>
                  </w:r>
                </w:p>
              </w:tc>
            </w:tr>
            <w:tr w:rsidR="008F570E" w:rsidRPr="00793633" w14:paraId="3710A7D4" w14:textId="77777777" w:rsidTr="00890E6D">
              <w:trPr>
                <w:jc w:val="center"/>
              </w:trPr>
              <w:tc>
                <w:tcPr>
                  <w:tcW w:w="1668" w:type="dxa"/>
                </w:tcPr>
                <w:p w14:paraId="47DEB2D3"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Autonomous denial solution</w:t>
                  </w:r>
                </w:p>
              </w:tc>
              <w:tc>
                <w:tcPr>
                  <w:tcW w:w="7653" w:type="dxa"/>
                  <w:gridSpan w:val="5"/>
                </w:tcPr>
                <w:p w14:paraId="457F1335" w14:textId="77777777" w:rsidR="008F570E" w:rsidRPr="00B53E1F" w:rsidRDefault="008F570E" w:rsidP="008F570E">
                  <w:pPr>
                    <w:jc w:val="center"/>
                    <w:rPr>
                      <w:rFonts w:ascii="Arial" w:hAnsi="Arial" w:cs="Arial"/>
                      <w:b/>
                      <w:bCs/>
                      <w:sz w:val="18"/>
                      <w:szCs w:val="18"/>
                    </w:rPr>
                  </w:pPr>
                  <w:r w:rsidRPr="00B53E1F">
                    <w:rPr>
                      <w:rFonts w:ascii="Arial" w:hAnsi="Arial" w:cs="Arial"/>
                      <w:b/>
                      <w:bCs/>
                      <w:sz w:val="18"/>
                      <w:szCs w:val="18"/>
                    </w:rPr>
                    <w:t>Complementary solution for receiving important signalling</w:t>
                  </w:r>
                </w:p>
              </w:tc>
            </w:tr>
          </w:tbl>
          <w:p w14:paraId="5863C6FC" w14:textId="7D0B4C18" w:rsidR="00137AEA" w:rsidRDefault="00137AEA" w:rsidP="00B53E1F">
            <w:pPr>
              <w:pStyle w:val="BodyText"/>
            </w:pPr>
          </w:p>
        </w:tc>
      </w:tr>
    </w:tbl>
    <w:p w14:paraId="5C54F50F" w14:textId="77777777" w:rsidR="00921FD9" w:rsidRDefault="00921FD9" w:rsidP="00324D91"/>
    <w:p w14:paraId="3321EE7F" w14:textId="09ECCBD9" w:rsidR="00890271" w:rsidRDefault="00F250CE" w:rsidP="00324D91">
      <w:r>
        <w:t xml:space="preserve">But this is just one of the aspects around the </w:t>
      </w:r>
      <w:r w:rsidR="00890271">
        <w:t>feature. This feature also allows the UE to indicate to the network, how much time it needs to solve the IDC problems (by indicating an active cycle and cycle length) as follows:</w:t>
      </w:r>
    </w:p>
    <w:p w14:paraId="502AE96D" w14:textId="623F8246" w:rsidR="00FB5DF8" w:rsidRPr="00C2268C" w:rsidRDefault="00E13219" w:rsidP="00324D91">
      <w:pPr>
        <w:rPr>
          <w:lang w:val="da-DK"/>
        </w:rPr>
      </w:pPr>
      <w:r>
        <w:rPr>
          <w:noProof/>
        </w:rPr>
        <w:drawing>
          <wp:inline distT="0" distB="0" distL="0" distR="0" wp14:anchorId="3975ABDE" wp14:editId="5C176173">
            <wp:extent cx="6113145" cy="1257935"/>
            <wp:effectExtent l="0" t="0" r="1905" b="0"/>
            <wp:docPr id="756751247"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751247" name="Picture 1" descr="A close-up of a text&#10;&#10;AI-generated content may be incorrect."/>
                    <pic:cNvPicPr/>
                  </pic:nvPicPr>
                  <pic:blipFill>
                    <a:blip r:embed="rId10"/>
                    <a:stretch>
                      <a:fillRect/>
                    </a:stretch>
                  </pic:blipFill>
                  <pic:spPr>
                    <a:xfrm>
                      <a:off x="0" y="0"/>
                      <a:ext cx="6113145" cy="1257935"/>
                    </a:xfrm>
                    <a:prstGeom prst="rect">
                      <a:avLst/>
                    </a:prstGeom>
                  </pic:spPr>
                </pic:pic>
              </a:graphicData>
            </a:graphic>
          </wp:inline>
        </w:drawing>
      </w:r>
    </w:p>
    <w:p w14:paraId="1E388104" w14:textId="403EC7F7" w:rsidR="005B033B" w:rsidRDefault="00323D17" w:rsidP="00324D91">
      <w:pPr>
        <w:rPr>
          <w:lang w:val="en-US"/>
        </w:rPr>
      </w:pPr>
      <w:r w:rsidRPr="00323D17">
        <w:rPr>
          <w:lang w:val="en-US"/>
        </w:rPr>
        <w:t xml:space="preserve">In the IDC </w:t>
      </w:r>
      <w:r w:rsidR="00F3144F">
        <w:rPr>
          <w:lang w:val="en-US"/>
        </w:rPr>
        <w:t>TDM solution</w:t>
      </w:r>
      <w:r w:rsidRPr="00323D17">
        <w:rPr>
          <w:lang w:val="en-US"/>
        </w:rPr>
        <w:t xml:space="preserve">, the UE notifies the </w:t>
      </w:r>
      <w:r>
        <w:rPr>
          <w:lang w:val="en-US"/>
        </w:rPr>
        <w:t xml:space="preserve">amount of time it needs to sort the IDC and the network might react by avoiding scheduling UL </w:t>
      </w:r>
      <w:r w:rsidR="0044423A">
        <w:rPr>
          <w:lang w:val="en-US"/>
        </w:rPr>
        <w:t>grants in the interval</w:t>
      </w:r>
      <w:r w:rsidR="0021560C">
        <w:rPr>
          <w:lang w:val="en-US"/>
        </w:rPr>
        <w:t xml:space="preserve"> proposed by the UE. </w:t>
      </w:r>
      <w:r w:rsidR="00304CE8">
        <w:rPr>
          <w:lang w:val="en-US"/>
        </w:rPr>
        <w:t xml:space="preserve">In this sense, there is no need to undergo autonomous denial, as much of the UL resources will not be used to schedule this UE. However, as of Rel-18, </w:t>
      </w:r>
      <w:r w:rsidR="00A414CA">
        <w:rPr>
          <w:lang w:val="en-US"/>
        </w:rPr>
        <w:t>the maximum active duration of the IDC is 1600 ms with</w:t>
      </w:r>
      <w:r w:rsidR="001E651D">
        <w:rPr>
          <w:lang w:val="en-US"/>
        </w:rPr>
        <w:t xml:space="preserve">in a </w:t>
      </w:r>
      <w:r w:rsidR="00AF13B3">
        <w:rPr>
          <w:lang w:val="en-US"/>
        </w:rPr>
        <w:t xml:space="preserve">maximum </w:t>
      </w:r>
      <w:r w:rsidR="001E651D">
        <w:rPr>
          <w:lang w:val="en-US"/>
        </w:rPr>
        <w:t xml:space="preserve">cycle </w:t>
      </w:r>
      <w:r w:rsidR="00AF13B3">
        <w:rPr>
          <w:lang w:val="en-US"/>
        </w:rPr>
        <w:t xml:space="preserve">length </w:t>
      </w:r>
      <w:r w:rsidR="001E651D">
        <w:rPr>
          <w:lang w:val="en-US"/>
        </w:rPr>
        <w:t xml:space="preserve">of 10240 ms. Assuming that in NTN, the largest IDC cycles are the ones to be used when there is a conflict between the UL band and one of the GNSS bands, this means that </w:t>
      </w:r>
      <w:r w:rsidR="00184DCB">
        <w:rPr>
          <w:lang w:val="en-US"/>
        </w:rPr>
        <w:t xml:space="preserve">the UE requests </w:t>
      </w:r>
      <w:r w:rsidR="009F127B">
        <w:rPr>
          <w:lang w:val="en-US"/>
        </w:rPr>
        <w:t xml:space="preserve">to avoid UL transmissions at 15% of the time. </w:t>
      </w:r>
      <w:r w:rsidR="00C435DC">
        <w:rPr>
          <w:lang w:val="en-US"/>
        </w:rPr>
        <w:t xml:space="preserve">In a </w:t>
      </w:r>
      <w:r w:rsidR="005B033B">
        <w:rPr>
          <w:lang w:val="en-US"/>
        </w:rPr>
        <w:t xml:space="preserve">scenario where multiple UEs request IDC, this imposes extra complexity on the NW scheduler. </w:t>
      </w:r>
    </w:p>
    <w:p w14:paraId="55A17DD9" w14:textId="1D263CB1" w:rsidR="005916E1" w:rsidRDefault="005B033B" w:rsidP="00324D91">
      <w:pPr>
        <w:rPr>
          <w:lang w:val="en-US"/>
        </w:rPr>
      </w:pPr>
      <w:r>
        <w:rPr>
          <w:lang w:val="en-US"/>
        </w:rPr>
        <w:t>On the other hand</w:t>
      </w:r>
      <w:r w:rsidR="00A66CE1">
        <w:rPr>
          <w:lang w:val="en-US"/>
        </w:rPr>
        <w:t>, we understand the concerns raised by other companies that 1600 ms might not be enough time to fully acquire GNSS information.</w:t>
      </w:r>
      <w:r w:rsidR="00292601">
        <w:rPr>
          <w:lang w:val="en-US"/>
        </w:rPr>
        <w:t xml:space="preserve"> </w:t>
      </w:r>
      <w:r w:rsidR="003C66D4">
        <w:rPr>
          <w:lang w:val="en-US"/>
        </w:rPr>
        <w:t xml:space="preserve">As GNSS is a paramount feature of NTN </w:t>
      </w:r>
      <w:r w:rsidR="00F26CB8">
        <w:rPr>
          <w:lang w:val="en-US"/>
        </w:rPr>
        <w:t>from R</w:t>
      </w:r>
      <w:r w:rsidR="00885AD2">
        <w:rPr>
          <w:lang w:val="en-US"/>
        </w:rPr>
        <w:t xml:space="preserve">elease 17 to Release 19, </w:t>
      </w:r>
      <w:r w:rsidR="005916E1">
        <w:rPr>
          <w:lang w:val="en-US"/>
        </w:rPr>
        <w:t xml:space="preserve">both, NW and UE should strive for </w:t>
      </w:r>
      <w:r w:rsidR="000A5F9F">
        <w:rPr>
          <w:lang w:val="en-US"/>
        </w:rPr>
        <w:t>guaranteed</w:t>
      </w:r>
      <w:r w:rsidR="005916E1">
        <w:rPr>
          <w:lang w:val="en-US"/>
        </w:rPr>
        <w:t xml:space="preserve"> timely GNSS information at the UE side. But, if the </w:t>
      </w:r>
      <w:r w:rsidR="00D418F2">
        <w:rPr>
          <w:lang w:val="en-US"/>
        </w:rPr>
        <w:t xml:space="preserve">active duration is expanded, the UEs requesting </w:t>
      </w:r>
      <w:r w:rsidR="0023632D">
        <w:rPr>
          <w:lang w:val="en-US"/>
        </w:rPr>
        <w:t>the largest active duration will be compromising close</w:t>
      </w:r>
      <w:r w:rsidR="00D418F2">
        <w:rPr>
          <w:lang w:val="en-US"/>
        </w:rPr>
        <w:t xml:space="preserve"> to </w:t>
      </w:r>
      <w:r w:rsidR="0023632D">
        <w:rPr>
          <w:lang w:val="en-US"/>
        </w:rPr>
        <w:t>20% of the U</w:t>
      </w:r>
      <w:r w:rsidR="003E1074">
        <w:rPr>
          <w:lang w:val="en-US"/>
        </w:rPr>
        <w:t>L</w:t>
      </w:r>
      <w:r w:rsidR="005916E1">
        <w:rPr>
          <w:lang w:val="en-US"/>
        </w:rPr>
        <w:t xml:space="preserve"> </w:t>
      </w:r>
      <w:r w:rsidR="00275E00">
        <w:rPr>
          <w:lang w:val="en-US"/>
        </w:rPr>
        <w:t xml:space="preserve">duty cycle. In several cases, this is not </w:t>
      </w:r>
      <w:r w:rsidR="00137606">
        <w:rPr>
          <w:lang w:val="en-US"/>
        </w:rPr>
        <w:t>i</w:t>
      </w:r>
      <w:r w:rsidR="00275E00">
        <w:rPr>
          <w:lang w:val="en-US"/>
        </w:rPr>
        <w:t xml:space="preserve">n the best interest of the UE that </w:t>
      </w:r>
      <w:r w:rsidR="00F12B36">
        <w:rPr>
          <w:lang w:val="en-US"/>
        </w:rPr>
        <w:t xml:space="preserve">in low mobility scenarios might only need to update the </w:t>
      </w:r>
      <w:r w:rsidR="00555547">
        <w:rPr>
          <w:lang w:val="en-US"/>
        </w:rPr>
        <w:t>GNSS</w:t>
      </w:r>
      <w:r w:rsidR="009E0796">
        <w:rPr>
          <w:lang w:val="en-US"/>
        </w:rPr>
        <w:t xml:space="preserve"> </w:t>
      </w:r>
      <w:r w:rsidR="00BD73E5">
        <w:rPr>
          <w:lang w:val="en-US"/>
        </w:rPr>
        <w:t>seldom.</w:t>
      </w:r>
      <w:r w:rsidR="005C3F9B">
        <w:rPr>
          <w:lang w:val="en-US"/>
        </w:rPr>
        <w:t xml:space="preserve"> </w:t>
      </w:r>
      <w:r w:rsidR="009B138D">
        <w:rPr>
          <w:lang w:val="en-US"/>
        </w:rPr>
        <w:t xml:space="preserve"> </w:t>
      </w:r>
    </w:p>
    <w:p w14:paraId="768B610F" w14:textId="69CBAFF0" w:rsidR="00E13219" w:rsidRPr="00323D17" w:rsidRDefault="005916E1" w:rsidP="00324D91">
      <w:pPr>
        <w:rPr>
          <w:lang w:val="en-US"/>
        </w:rPr>
      </w:pPr>
      <w:r>
        <w:rPr>
          <w:lang w:val="en-US"/>
        </w:rPr>
        <w:t>As a compromise</w:t>
      </w:r>
      <w:r w:rsidR="00A66CE1">
        <w:rPr>
          <w:lang w:val="en-US"/>
        </w:rPr>
        <w:t xml:space="preserve"> </w:t>
      </w:r>
      <w:r w:rsidR="00BD73E5">
        <w:rPr>
          <w:lang w:val="en-US"/>
        </w:rPr>
        <w:t>between the</w:t>
      </w:r>
      <w:r w:rsidR="00563DFE">
        <w:rPr>
          <w:lang w:val="en-US"/>
        </w:rPr>
        <w:t xml:space="preserve"> complexity added to the UL scheduler and the need of NTN UEs to acquire the GNSS information, we </w:t>
      </w:r>
      <w:r w:rsidR="00137606">
        <w:rPr>
          <w:lang w:val="en-US"/>
        </w:rPr>
        <w:t>propose the following</w:t>
      </w:r>
      <w:r w:rsidR="00563DFE">
        <w:rPr>
          <w:lang w:val="en-US"/>
        </w:rPr>
        <w:t>:</w:t>
      </w:r>
    </w:p>
    <w:p w14:paraId="0AA44F28" w14:textId="77777777" w:rsidR="003A62F1" w:rsidRDefault="00563DFE" w:rsidP="00563DFE">
      <w:pPr>
        <w:pStyle w:val="RAN4proposal"/>
        <w:rPr>
          <w:lang w:val="en-US"/>
        </w:rPr>
      </w:pPr>
      <w:bookmarkStart w:id="16" w:name="_Toc197709194"/>
      <w:r>
        <w:rPr>
          <w:lang w:val="en-US"/>
        </w:rPr>
        <w:t>Increase the maximum activeDuration</w:t>
      </w:r>
      <w:r w:rsidR="00FE7BAA">
        <w:rPr>
          <w:lang w:val="en-US"/>
        </w:rPr>
        <w:t>-r18</w:t>
      </w:r>
      <w:r>
        <w:rPr>
          <w:lang w:val="en-US"/>
        </w:rPr>
        <w:t xml:space="preserve"> </w:t>
      </w:r>
      <w:r w:rsidR="007D1DB9">
        <w:rPr>
          <w:lang w:val="en-US"/>
        </w:rPr>
        <w:t>to 2000ms</w:t>
      </w:r>
      <w:r w:rsidR="00070DFD">
        <w:rPr>
          <w:lang w:val="en-US"/>
        </w:rPr>
        <w:t xml:space="preserve"> and </w:t>
      </w:r>
      <w:r w:rsidR="003D5605">
        <w:rPr>
          <w:lang w:val="en-US"/>
        </w:rPr>
        <w:t>c</w:t>
      </w:r>
      <w:r w:rsidR="00070DFD">
        <w:rPr>
          <w:lang w:val="en-US"/>
        </w:rPr>
        <w:t>ycle</w:t>
      </w:r>
      <w:r w:rsidR="003D5605">
        <w:rPr>
          <w:lang w:val="en-US"/>
        </w:rPr>
        <w:t>L</w:t>
      </w:r>
      <w:r w:rsidR="00070DFD">
        <w:rPr>
          <w:lang w:val="en-US"/>
        </w:rPr>
        <w:t>ength</w:t>
      </w:r>
      <w:r w:rsidR="003D5605">
        <w:rPr>
          <w:lang w:val="en-US"/>
        </w:rPr>
        <w:t>-r18</w:t>
      </w:r>
      <w:r w:rsidR="00070DFD">
        <w:rPr>
          <w:lang w:val="en-US"/>
        </w:rPr>
        <w:t xml:space="preserve"> to </w:t>
      </w:r>
      <w:r w:rsidR="00EC0173">
        <w:rPr>
          <w:lang w:val="en-US"/>
        </w:rPr>
        <w:t>40</w:t>
      </w:r>
      <w:r w:rsidR="0029757B">
        <w:rPr>
          <w:lang w:val="en-US"/>
        </w:rPr>
        <w:t>960 ms</w:t>
      </w:r>
      <w:r w:rsidR="006F7CF4">
        <w:rPr>
          <w:lang w:val="en-US"/>
        </w:rPr>
        <w:t xml:space="preserve">, provided that RRM requirements are not </w:t>
      </w:r>
      <w:r w:rsidR="009B138D">
        <w:rPr>
          <w:lang w:val="en-US"/>
        </w:rPr>
        <w:t>affected.</w:t>
      </w:r>
      <w:bookmarkEnd w:id="16"/>
      <w:r w:rsidR="009B138D">
        <w:rPr>
          <w:lang w:val="en-US"/>
        </w:rPr>
        <w:t xml:space="preserve"> </w:t>
      </w:r>
    </w:p>
    <w:p w14:paraId="13096781" w14:textId="32309ED2" w:rsidR="00563DFE" w:rsidRPr="00323D17" w:rsidRDefault="003A62F1" w:rsidP="00563DFE">
      <w:pPr>
        <w:pStyle w:val="RAN4proposal"/>
        <w:rPr>
          <w:lang w:val="en-US"/>
        </w:rPr>
      </w:pPr>
      <w:bookmarkStart w:id="17" w:name="_Toc197709195"/>
      <w:r>
        <w:rPr>
          <w:lang w:val="en-US"/>
        </w:rPr>
        <w:t>Agree to a maximum IDC free duration of 2000ms.</w:t>
      </w:r>
      <w:bookmarkEnd w:id="17"/>
    </w:p>
    <w:p w14:paraId="35629380" w14:textId="77777777" w:rsidR="00E71123" w:rsidRPr="00A351DB" w:rsidRDefault="00E71123" w:rsidP="00E71123">
      <w:pPr>
        <w:pStyle w:val="RAN4proposal"/>
        <w:rPr>
          <w:lang w:val="en-US"/>
        </w:rPr>
      </w:pPr>
      <w:bookmarkStart w:id="18" w:name="_Toc181976537"/>
      <w:bookmarkStart w:id="19" w:name="_Toc197709196"/>
      <w:r>
        <w:rPr>
          <w:lang w:val="en-US"/>
        </w:rPr>
        <w:t>Agree to the attached LS provided in the Annex.</w:t>
      </w:r>
      <w:bookmarkEnd w:id="18"/>
      <w:bookmarkEnd w:id="19"/>
    </w:p>
    <w:p w14:paraId="5A087670" w14:textId="77777777" w:rsidR="00CD7492" w:rsidRPr="008F786B" w:rsidRDefault="00CD7492" w:rsidP="00A37002">
      <w:pPr>
        <w:pStyle w:val="RAN4H1"/>
      </w:pPr>
      <w:bookmarkStart w:id="20" w:name="_Toc116995848"/>
      <w:r w:rsidRPr="008F786B">
        <w:t>Conclusion</w:t>
      </w:r>
      <w:bookmarkEnd w:id="20"/>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8820725" w14:textId="77777777" w:rsidR="00331F45"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7709190" w:history="1">
        <w:r w:rsidR="00331F45" w:rsidRPr="00EA3A99">
          <w:rPr>
            <w:rStyle w:val="Hyperlink"/>
            <w:b/>
            <w:noProof/>
            <w:lang w:val="en-US"/>
          </w:rPr>
          <w:t>Observation 1:</w:t>
        </w:r>
        <w:r w:rsidR="00331F45" w:rsidRPr="00EA3A99">
          <w:rPr>
            <w:rStyle w:val="Hyperlink"/>
            <w:noProof/>
            <w:lang w:val="en-US"/>
          </w:rPr>
          <w:t xml:space="preserve"> Not all UEs will be harmed by the potential interference between UL and GNSS frequencies.</w:t>
        </w:r>
      </w:hyperlink>
    </w:p>
    <w:p w14:paraId="4F58CF3D" w14:textId="77777777" w:rsidR="00331F45" w:rsidRDefault="00331F4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7709191" w:history="1">
        <w:r w:rsidRPr="00EA3A99">
          <w:rPr>
            <w:rStyle w:val="Hyperlink"/>
            <w:b/>
            <w:noProof/>
          </w:rPr>
          <w:t>Observation 2:</w:t>
        </w:r>
        <w:r w:rsidRPr="00EA3A99">
          <w:rPr>
            <w:rStyle w:val="Hyperlink"/>
            <w:noProof/>
          </w:rPr>
          <w:t xml:space="preserve"> RAN2 will consider enhancements to the IDC framework in Release 19 only. No changes will be done for Release 18.</w:t>
        </w:r>
      </w:hyperlink>
    </w:p>
    <w:p w14:paraId="1D1324DD"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2" w:history="1">
        <w:r w:rsidRPr="00EA3A99">
          <w:rPr>
            <w:rStyle w:val="Hyperlink"/>
            <w:noProof/>
          </w:rPr>
          <w:t>Proposal 1: RAN4 shall only consider any changes regarding this issue in Release 19.</w:t>
        </w:r>
      </w:hyperlink>
    </w:p>
    <w:p w14:paraId="0279F3A0"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3" w:history="1">
        <w:r w:rsidRPr="00EA3A99">
          <w:rPr>
            <w:rStyle w:val="Hyperlink"/>
            <w:noProof/>
          </w:rPr>
          <w:t xml:space="preserve">Proposal 2: Agree not to increase the value of </w:t>
        </w:r>
        <w:r w:rsidRPr="00EA3A99">
          <w:rPr>
            <w:rStyle w:val="Hyperlink"/>
            <w:noProof/>
            <w:lang w:val="pt-BR"/>
          </w:rPr>
          <w:t>autonomousDenialSlots-r18</w:t>
        </w:r>
      </w:hyperlink>
    </w:p>
    <w:p w14:paraId="1B840397"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4" w:history="1">
        <w:r w:rsidRPr="00EA3A99">
          <w:rPr>
            <w:rStyle w:val="Hyperlink"/>
            <w:noProof/>
            <w:lang w:val="en-US"/>
          </w:rPr>
          <w:t>Proposal 3: Increase the maximum activeDuration-r18 to 2000ms and cycleLength-r18 to 40960 ms, provided that RRM requirements are not affected.</w:t>
        </w:r>
      </w:hyperlink>
    </w:p>
    <w:p w14:paraId="328A6FC1"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5" w:history="1">
        <w:r w:rsidRPr="00EA3A99">
          <w:rPr>
            <w:rStyle w:val="Hyperlink"/>
            <w:noProof/>
            <w:lang w:val="en-US"/>
          </w:rPr>
          <w:t>Proposal 4: Agree to a maximum IDC free duration of 2000ms.</w:t>
        </w:r>
      </w:hyperlink>
    </w:p>
    <w:p w14:paraId="03EE1CED"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6" w:history="1">
        <w:r w:rsidRPr="00EA3A99">
          <w:rPr>
            <w:rStyle w:val="Hyperlink"/>
            <w:noProof/>
            <w:lang w:val="en-US"/>
          </w:rPr>
          <w:t>Proposal 5: Agree to the attached LS provided in the Annex.</w:t>
        </w:r>
      </w:hyperlink>
    </w:p>
    <w:p w14:paraId="4CA6DD37" w14:textId="60D87375" w:rsidR="00847264" w:rsidRPr="008F786B" w:rsidRDefault="00A4355E" w:rsidP="008C39F7">
      <w:r w:rsidRPr="008F786B">
        <w:fldChar w:fldCharType="end"/>
      </w:r>
      <w:bookmarkStart w:id="21"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1"/>
    </w:p>
    <w:p w14:paraId="5A1A534E" w14:textId="6C276824" w:rsidR="00E43BF9" w:rsidRDefault="00283489" w:rsidP="00283489">
      <w:pPr>
        <w:pStyle w:val="ListParagraph"/>
        <w:numPr>
          <w:ilvl w:val="0"/>
          <w:numId w:val="22"/>
        </w:numPr>
      </w:pPr>
      <w:bookmarkStart w:id="22" w:name="_Ref114500673"/>
      <w:bookmarkStart w:id="23" w:name="_Ref186033042"/>
      <w:bookmarkEnd w:id="22"/>
      <w:r w:rsidRPr="729DCCE0">
        <w:rPr>
          <w:rFonts w:eastAsia="Times New Roman" w:cs="Times New Roman"/>
          <w:color w:val="000000" w:themeColor="text1"/>
          <w:szCs w:val="20"/>
        </w:rPr>
        <w:t>R4-</w:t>
      </w:r>
      <w:r w:rsidR="000B1711" w:rsidRPr="000B1711">
        <w:rPr>
          <w:rFonts w:eastAsia="Times New Roman" w:cs="Times New Roman"/>
          <w:color w:val="000000" w:themeColor="text1"/>
          <w:szCs w:val="20"/>
        </w:rPr>
        <w:t>250</w:t>
      </w:r>
      <w:r w:rsidR="00F677A2">
        <w:rPr>
          <w:rFonts w:eastAsia="Times New Roman" w:cs="Times New Roman"/>
          <w:color w:val="000000" w:themeColor="text1"/>
          <w:szCs w:val="20"/>
        </w:rPr>
        <w:t>4708</w:t>
      </w:r>
      <w:r w:rsidRPr="729DCCE0">
        <w:rPr>
          <w:rFonts w:eastAsia="Times New Roman" w:cs="Times New Roman"/>
          <w:color w:val="000000" w:themeColor="text1"/>
          <w:szCs w:val="20"/>
        </w:rPr>
        <w:t xml:space="preserve">, </w:t>
      </w:r>
      <w:r w:rsidR="00F677A2" w:rsidRPr="00F677A2">
        <w:rPr>
          <w:rFonts w:eastAsia="Times New Roman" w:cs="Times New Roman"/>
          <w:color w:val="000000" w:themeColor="text1"/>
          <w:szCs w:val="20"/>
        </w:rPr>
        <w:t>Way Forward for [114bis][309] NR_NTN_Ph3_General_UE_SAN_RF</w:t>
      </w:r>
      <w:r w:rsidRPr="729DCCE0">
        <w:rPr>
          <w:rFonts w:eastAsia="Times New Roman" w:cs="Times New Roman"/>
          <w:color w:val="000000" w:themeColor="text1"/>
          <w:szCs w:val="20"/>
        </w:rPr>
        <w:t xml:space="preserve">, </w:t>
      </w:r>
      <w:r w:rsidR="000B1711">
        <w:rPr>
          <w:rFonts w:eastAsia="Times New Roman" w:cs="Times New Roman"/>
          <w:color w:val="000000" w:themeColor="text1"/>
          <w:szCs w:val="20"/>
        </w:rPr>
        <w:t>Qualcomm</w:t>
      </w:r>
      <w:r w:rsidRPr="729DCCE0">
        <w:rPr>
          <w:rFonts w:eastAsia="Times New Roman" w:cs="Times New Roman"/>
          <w:color w:val="000000" w:themeColor="text1"/>
          <w:szCs w:val="20"/>
        </w:rPr>
        <w:t>, RAN4#11</w:t>
      </w:r>
      <w:r>
        <w:rPr>
          <w:rFonts w:eastAsia="Times New Roman" w:cs="Times New Roman"/>
          <w:color w:val="000000" w:themeColor="text1"/>
          <w:szCs w:val="20"/>
        </w:rPr>
        <w:t>4</w:t>
      </w:r>
      <w:r w:rsidR="00DA3976">
        <w:rPr>
          <w:rFonts w:eastAsia="Times New Roman" w:cs="Times New Roman"/>
          <w:color w:val="000000" w:themeColor="text1"/>
          <w:szCs w:val="20"/>
        </w:rPr>
        <w:t>bis</w:t>
      </w:r>
      <w:r w:rsidRPr="729DCCE0">
        <w:rPr>
          <w:rFonts w:eastAsia="Times New Roman" w:cs="Times New Roman"/>
          <w:color w:val="000000" w:themeColor="text1"/>
          <w:szCs w:val="20"/>
        </w:rPr>
        <w:t xml:space="preserve">, </w:t>
      </w:r>
      <w:r w:rsidR="00DA3976">
        <w:rPr>
          <w:rFonts w:eastAsia="Times New Roman" w:cs="Times New Roman"/>
          <w:color w:val="000000" w:themeColor="text1"/>
          <w:szCs w:val="20"/>
        </w:rPr>
        <w:t>Wuhan</w:t>
      </w:r>
      <w:r>
        <w:rPr>
          <w:rFonts w:eastAsia="Times New Roman" w:cs="Times New Roman"/>
          <w:color w:val="000000" w:themeColor="text1"/>
          <w:szCs w:val="20"/>
        </w:rPr>
        <w:t>,</w:t>
      </w:r>
      <w:r w:rsidRPr="729DCCE0">
        <w:rPr>
          <w:rFonts w:eastAsia="Times New Roman" w:cs="Times New Roman"/>
          <w:color w:val="000000" w:themeColor="text1"/>
          <w:szCs w:val="20"/>
        </w:rPr>
        <w:t xml:space="preserve"> </w:t>
      </w:r>
      <w:r w:rsidR="00DA3976">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7</w:t>
      </w:r>
      <w:r w:rsidRPr="729DCCE0">
        <w:rPr>
          <w:rFonts w:eastAsia="Times New Roman" w:cs="Times New Roman"/>
          <w:color w:val="000000" w:themeColor="text1"/>
          <w:szCs w:val="20"/>
        </w:rPr>
        <w:t xml:space="preserve">th – </w:t>
      </w:r>
      <w:r w:rsidR="00DA3976">
        <w:rPr>
          <w:rFonts w:eastAsia="Times New Roman" w:cs="Times New Roman"/>
          <w:color w:val="000000" w:themeColor="text1"/>
          <w:szCs w:val="20"/>
        </w:rPr>
        <w:t>1</w:t>
      </w:r>
      <w:r>
        <w:rPr>
          <w:rFonts w:eastAsia="Times New Roman" w:cs="Times New Roman"/>
          <w:color w:val="000000" w:themeColor="text1"/>
          <w:szCs w:val="20"/>
        </w:rPr>
        <w:t>1</w:t>
      </w:r>
      <w:r w:rsidR="00DA3976">
        <w:rPr>
          <w:rFonts w:eastAsia="Times New Roman" w:cs="Times New Roman"/>
          <w:color w:val="000000" w:themeColor="text1"/>
          <w:szCs w:val="20"/>
        </w:rPr>
        <w:t>th</w:t>
      </w:r>
      <w:r w:rsidRPr="729DCCE0">
        <w:rPr>
          <w:rFonts w:eastAsia="Times New Roman" w:cs="Times New Roman"/>
          <w:color w:val="000000" w:themeColor="text1"/>
          <w:szCs w:val="20"/>
        </w:rPr>
        <w:t xml:space="preserve"> </w:t>
      </w:r>
      <w:r w:rsidR="00DA3976">
        <w:rPr>
          <w:rFonts w:eastAsia="Times New Roman" w:cs="Times New Roman"/>
          <w:color w:val="000000" w:themeColor="text1"/>
          <w:szCs w:val="20"/>
        </w:rPr>
        <w:t>Apr</w:t>
      </w:r>
      <w:r w:rsidRPr="729DCCE0">
        <w:rPr>
          <w:rFonts w:eastAsia="Times New Roman" w:cs="Times New Roman"/>
          <w:color w:val="000000" w:themeColor="text1"/>
          <w:szCs w:val="20"/>
        </w:rPr>
        <w:t>, 202</w:t>
      </w:r>
      <w:r>
        <w:rPr>
          <w:rFonts w:eastAsia="Times New Roman" w:cs="Times New Roman"/>
          <w:color w:val="000000" w:themeColor="text1"/>
          <w:szCs w:val="20"/>
        </w:rPr>
        <w:t>5</w:t>
      </w:r>
      <w:r>
        <w:t>.</w:t>
      </w:r>
      <w:bookmarkEnd w:id="23"/>
    </w:p>
    <w:p w14:paraId="577660D2" w14:textId="45142F8C" w:rsidR="0039497A" w:rsidRDefault="0039497A" w:rsidP="0039497A">
      <w:pPr>
        <w:pStyle w:val="ListParagraph"/>
        <w:numPr>
          <w:ilvl w:val="0"/>
          <w:numId w:val="22"/>
        </w:numPr>
      </w:pPr>
      <w:r w:rsidRPr="729DCCE0">
        <w:rPr>
          <w:rFonts w:eastAsia="Times New Roman" w:cs="Times New Roman"/>
          <w:color w:val="000000" w:themeColor="text1"/>
          <w:szCs w:val="20"/>
        </w:rPr>
        <w:t>R4-</w:t>
      </w:r>
      <w:r w:rsidRPr="000B1711">
        <w:rPr>
          <w:rFonts w:eastAsia="Times New Roman" w:cs="Times New Roman"/>
          <w:color w:val="000000" w:themeColor="text1"/>
          <w:szCs w:val="20"/>
        </w:rPr>
        <w:t>250</w:t>
      </w:r>
      <w:r>
        <w:rPr>
          <w:rFonts w:eastAsia="Times New Roman" w:cs="Times New Roman"/>
          <w:color w:val="000000" w:themeColor="text1"/>
          <w:szCs w:val="20"/>
        </w:rPr>
        <w:t>31</w:t>
      </w:r>
      <w:r w:rsidRPr="000B1711">
        <w:rPr>
          <w:rFonts w:eastAsia="Times New Roman" w:cs="Times New Roman"/>
          <w:color w:val="000000" w:themeColor="text1"/>
          <w:szCs w:val="20"/>
        </w:rPr>
        <w:t>1</w:t>
      </w:r>
      <w:r>
        <w:rPr>
          <w:rFonts w:eastAsia="Times New Roman" w:cs="Times New Roman"/>
          <w:color w:val="000000" w:themeColor="text1"/>
          <w:szCs w:val="20"/>
        </w:rPr>
        <w:t>9</w:t>
      </w:r>
      <w:r w:rsidRPr="729DCCE0">
        <w:rPr>
          <w:rFonts w:eastAsia="Times New Roman" w:cs="Times New Roman"/>
          <w:color w:val="000000" w:themeColor="text1"/>
          <w:szCs w:val="20"/>
        </w:rPr>
        <w:t xml:space="preserve">, </w:t>
      </w:r>
      <w:r w:rsidRPr="0039497A">
        <w:rPr>
          <w:rFonts w:eastAsia="Times New Roman" w:cs="Times New Roman"/>
          <w:color w:val="000000" w:themeColor="text1"/>
          <w:szCs w:val="20"/>
        </w:rPr>
        <w:t>Response LS on simultaneous operation between GNSS and NR NTN</w:t>
      </w:r>
      <w:r w:rsidRPr="729DCCE0">
        <w:rPr>
          <w:rFonts w:eastAsia="Times New Roman" w:cs="Times New Roman"/>
          <w:color w:val="000000" w:themeColor="text1"/>
          <w:szCs w:val="20"/>
        </w:rPr>
        <w:t xml:space="preserve">, </w:t>
      </w:r>
      <w:r>
        <w:rPr>
          <w:rFonts w:eastAsia="Times New Roman" w:cs="Times New Roman"/>
          <w:color w:val="000000" w:themeColor="text1"/>
          <w:szCs w:val="20"/>
        </w:rPr>
        <w:t>Nokia</w:t>
      </w:r>
      <w:r w:rsidRPr="729DCCE0">
        <w:rPr>
          <w:rFonts w:eastAsia="Times New Roman" w:cs="Times New Roman"/>
          <w:color w:val="000000" w:themeColor="text1"/>
          <w:szCs w:val="20"/>
        </w:rPr>
        <w:t>,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 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07</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11st</w:t>
      </w:r>
      <w:r w:rsidRPr="729DCCE0">
        <w:rPr>
          <w:rFonts w:eastAsia="Times New Roman" w:cs="Times New Roman"/>
          <w:color w:val="000000" w:themeColor="text1"/>
          <w:szCs w:val="20"/>
        </w:rPr>
        <w:t xml:space="preserve"> </w:t>
      </w:r>
      <w:r>
        <w:rPr>
          <w:rFonts w:eastAsia="Times New Roman" w:cs="Times New Roman"/>
          <w:color w:val="000000" w:themeColor="text1"/>
          <w:szCs w:val="20"/>
        </w:rPr>
        <w:t>April</w:t>
      </w:r>
      <w:r w:rsidRPr="729DCCE0">
        <w:rPr>
          <w:rFonts w:eastAsia="Times New Roman" w:cs="Times New Roman"/>
          <w:color w:val="000000" w:themeColor="text1"/>
          <w:szCs w:val="20"/>
        </w:rPr>
        <w:t>, 202</w:t>
      </w:r>
      <w:r>
        <w:rPr>
          <w:rFonts w:eastAsia="Times New Roman" w:cs="Times New Roman"/>
          <w:color w:val="000000" w:themeColor="text1"/>
          <w:szCs w:val="20"/>
        </w:rPr>
        <w:t>5</w:t>
      </w:r>
      <w:r>
        <w:t>.</w:t>
      </w:r>
    </w:p>
    <w:p w14:paraId="66B8CF28" w14:textId="5F5B31E7" w:rsidR="00E71123" w:rsidRDefault="00E71123">
      <w:pPr>
        <w:rPr>
          <w:rFonts w:eastAsia="Times New Roman" w:cs="Times New Roman"/>
          <w:color w:val="000000" w:themeColor="text1"/>
          <w:szCs w:val="20"/>
        </w:rPr>
      </w:pPr>
      <w:r>
        <w:rPr>
          <w:rFonts w:eastAsia="Times New Roman" w:cs="Times New Roman"/>
          <w:color w:val="000000" w:themeColor="text1"/>
          <w:szCs w:val="20"/>
        </w:rPr>
        <w:br w:type="page"/>
      </w:r>
    </w:p>
    <w:p w14:paraId="49C1422A" w14:textId="77777777" w:rsidR="00E71123" w:rsidRPr="008F786B" w:rsidRDefault="00E71123" w:rsidP="00E71123">
      <w:pPr>
        <w:pStyle w:val="RAN4H1"/>
        <w:numPr>
          <w:ilvl w:val="0"/>
          <w:numId w:val="0"/>
        </w:numPr>
        <w:ind w:left="360" w:hanging="360"/>
      </w:pPr>
      <w:r>
        <w:lastRenderedPageBreak/>
        <w:t>Annex</w:t>
      </w:r>
    </w:p>
    <w:p w14:paraId="1614149C" w14:textId="77777777" w:rsidR="00E71123" w:rsidRDefault="00E71123" w:rsidP="00E71123">
      <w:pPr>
        <w:spacing w:after="60"/>
        <w:ind w:left="1985" w:hanging="1985"/>
        <w:rPr>
          <w:rFonts w:ascii="Arial" w:hAnsi="Arial" w:cs="Arial"/>
          <w:b/>
        </w:rPr>
      </w:pPr>
    </w:p>
    <w:p w14:paraId="1B6765DD" w14:textId="77777777" w:rsidR="00E71123" w:rsidRDefault="00E71123" w:rsidP="00E71123">
      <w:pPr>
        <w:spacing w:after="60"/>
        <w:ind w:left="1985" w:hanging="1985"/>
        <w:rPr>
          <w:rFonts w:ascii="Arial" w:hAnsi="Arial" w:cs="Arial"/>
          <w:b/>
        </w:rPr>
      </w:pPr>
    </w:p>
    <w:p w14:paraId="68BB83CF" w14:textId="77777777" w:rsidR="00E71123" w:rsidRDefault="00E71123" w:rsidP="00E71123">
      <w:pPr>
        <w:spacing w:after="60"/>
        <w:ind w:left="1985" w:hanging="1985"/>
        <w:rPr>
          <w:rFonts w:ascii="Arial" w:hAnsi="Arial" w:cs="Arial"/>
          <w:b/>
        </w:rPr>
      </w:pPr>
      <w:r>
        <w:rPr>
          <w:rFonts w:ascii="Arial" w:hAnsi="Arial" w:cs="Arial"/>
          <w:b/>
        </w:rPr>
        <w:t>Title:</w:t>
      </w:r>
      <w:r>
        <w:rPr>
          <w:rFonts w:ascii="Arial" w:hAnsi="Arial" w:cs="Arial"/>
          <w:b/>
        </w:rPr>
        <w:tab/>
        <w:t>draft LS on NR NTN co-existence with GNSS</w:t>
      </w:r>
    </w:p>
    <w:p w14:paraId="7CBC82B3" w14:textId="77777777" w:rsidR="00E71123" w:rsidRDefault="00E71123" w:rsidP="00E71123">
      <w:pPr>
        <w:spacing w:after="60"/>
        <w:ind w:left="1985" w:hanging="1985"/>
        <w:rPr>
          <w:rFonts w:ascii="Arial" w:hAnsi="Arial" w:cs="Arial"/>
          <w:b/>
          <w:bCs/>
        </w:rPr>
      </w:pPr>
      <w:bookmarkStart w:id="24" w:name="OLE_LINK58"/>
      <w:bookmarkStart w:id="25" w:name="OLE_LINK57"/>
      <w:r w:rsidRPr="00427B04">
        <w:rPr>
          <w:rFonts w:ascii="Arial" w:hAnsi="Arial" w:cs="Arial"/>
          <w:b/>
          <w:bCs/>
        </w:rPr>
        <w:t>Response to:</w:t>
      </w:r>
      <w:r>
        <w:rPr>
          <w:rFonts w:ascii="Arial" w:hAnsi="Arial" w:cs="Arial"/>
          <w:b/>
          <w:bCs/>
        </w:rPr>
        <w:tab/>
      </w:r>
    </w:p>
    <w:p w14:paraId="66EEF972" w14:textId="77777777" w:rsidR="00E71123" w:rsidRDefault="00E71123" w:rsidP="00E71123">
      <w:pPr>
        <w:spacing w:after="60"/>
        <w:ind w:left="1985" w:hanging="1985"/>
        <w:rPr>
          <w:rFonts w:ascii="Arial" w:hAnsi="Arial" w:cs="Arial"/>
          <w:b/>
          <w:bCs/>
        </w:rPr>
      </w:pPr>
      <w:bookmarkStart w:id="26" w:name="OLE_LINK59"/>
      <w:bookmarkStart w:id="27" w:name="OLE_LINK60"/>
      <w:bookmarkStart w:id="28" w:name="OLE_LINK61"/>
      <w:bookmarkEnd w:id="24"/>
      <w:bookmarkEnd w:id="25"/>
      <w:r>
        <w:rPr>
          <w:rFonts w:ascii="Arial" w:hAnsi="Arial" w:cs="Arial"/>
          <w:b/>
        </w:rPr>
        <w:t>Release:</w:t>
      </w:r>
      <w:r>
        <w:rPr>
          <w:rFonts w:ascii="Arial" w:hAnsi="Arial" w:cs="Arial"/>
          <w:b/>
          <w:bCs/>
        </w:rPr>
        <w:tab/>
        <w:t>Rel-19</w:t>
      </w:r>
    </w:p>
    <w:bookmarkEnd w:id="26"/>
    <w:bookmarkEnd w:id="27"/>
    <w:bookmarkEnd w:id="28"/>
    <w:p w14:paraId="78E48452" w14:textId="77777777" w:rsidR="00E71123" w:rsidRDefault="00E71123" w:rsidP="00E71123">
      <w:pPr>
        <w:spacing w:after="60"/>
        <w:ind w:left="1985" w:hanging="1985"/>
        <w:rPr>
          <w:rFonts w:ascii="Arial" w:hAnsi="Arial" w:cs="Arial"/>
          <w:b/>
          <w:bCs/>
        </w:rPr>
      </w:pPr>
      <w:r>
        <w:rPr>
          <w:rFonts w:ascii="Arial" w:hAnsi="Arial" w:cs="Arial"/>
          <w:b/>
        </w:rPr>
        <w:t>Work Item:</w:t>
      </w:r>
      <w:r>
        <w:rPr>
          <w:rFonts w:ascii="Arial" w:hAnsi="Arial" w:cs="Arial"/>
          <w:b/>
          <w:bCs/>
        </w:rPr>
        <w:tab/>
      </w:r>
      <w:r w:rsidRPr="00E31A42">
        <w:rPr>
          <w:rFonts w:ascii="Arial" w:hAnsi="Arial" w:cs="Arial"/>
          <w:b/>
          <w:bCs/>
        </w:rPr>
        <w:t>NR_NTN_Ph3-Core</w:t>
      </w:r>
    </w:p>
    <w:p w14:paraId="71B52BEE" w14:textId="77777777" w:rsidR="00E71123" w:rsidRDefault="00E71123" w:rsidP="00E71123">
      <w:pPr>
        <w:spacing w:after="60"/>
        <w:ind w:left="1985" w:hanging="1985"/>
        <w:rPr>
          <w:rFonts w:ascii="Arial" w:hAnsi="Arial" w:cs="Arial"/>
          <w:b/>
        </w:rPr>
      </w:pPr>
    </w:p>
    <w:p w14:paraId="4E634A43" w14:textId="77777777" w:rsidR="00E71123" w:rsidRDefault="00E71123" w:rsidP="00E71123">
      <w:pPr>
        <w:spacing w:after="60"/>
        <w:ind w:left="1985" w:hanging="1985"/>
        <w:rPr>
          <w:rFonts w:ascii="Arial" w:hAnsi="Arial" w:cs="Arial"/>
          <w:b/>
        </w:rPr>
      </w:pPr>
      <w:r>
        <w:rPr>
          <w:rFonts w:ascii="Arial" w:hAnsi="Arial" w:cs="Arial"/>
          <w:b/>
        </w:rPr>
        <w:t>Source:</w:t>
      </w:r>
      <w:r>
        <w:rPr>
          <w:rFonts w:ascii="Arial" w:hAnsi="Arial" w:cs="Arial"/>
          <w:b/>
        </w:rPr>
        <w:tab/>
        <w:t>RAN WG4</w:t>
      </w:r>
    </w:p>
    <w:p w14:paraId="5224CF78" w14:textId="3530BDC5" w:rsidR="00E71123" w:rsidRDefault="00E71123" w:rsidP="00E71123">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69381458" w14:textId="6F0530DF" w:rsidR="00E71123" w:rsidRDefault="00E71123" w:rsidP="00E71123">
      <w:pPr>
        <w:spacing w:after="60"/>
        <w:ind w:left="1985" w:hanging="1985"/>
        <w:rPr>
          <w:rFonts w:ascii="Arial" w:hAnsi="Arial" w:cs="Arial"/>
          <w:b/>
          <w:bCs/>
        </w:rPr>
      </w:pPr>
      <w:bookmarkStart w:id="29" w:name="OLE_LINK45"/>
      <w:bookmarkStart w:id="30" w:name="OLE_LINK46"/>
      <w:r>
        <w:rPr>
          <w:rFonts w:ascii="Arial" w:hAnsi="Arial" w:cs="Arial"/>
          <w:b/>
        </w:rPr>
        <w:t>Cc:</w:t>
      </w:r>
      <w:r>
        <w:rPr>
          <w:rFonts w:ascii="Arial" w:hAnsi="Arial" w:cs="Arial"/>
          <w:b/>
          <w:bCs/>
        </w:rPr>
        <w:tab/>
        <w:t>RAN WG1</w:t>
      </w:r>
    </w:p>
    <w:bookmarkEnd w:id="29"/>
    <w:bookmarkEnd w:id="30"/>
    <w:p w14:paraId="2771676F" w14:textId="77777777" w:rsidR="00E71123" w:rsidRDefault="00E71123" w:rsidP="00E71123">
      <w:pPr>
        <w:spacing w:after="60"/>
        <w:ind w:left="1985" w:hanging="1985"/>
        <w:rPr>
          <w:rFonts w:ascii="Arial" w:hAnsi="Arial" w:cs="Arial"/>
          <w:bCs/>
        </w:rPr>
      </w:pPr>
    </w:p>
    <w:p w14:paraId="4499E3A4" w14:textId="77777777" w:rsidR="00E71123" w:rsidRDefault="00E71123" w:rsidP="00E71123">
      <w:pPr>
        <w:spacing w:after="60"/>
        <w:ind w:left="1985" w:hanging="1985"/>
        <w:rPr>
          <w:rFonts w:ascii="Arial" w:hAnsi="Arial" w:cs="Arial"/>
          <w:b/>
          <w:bCs/>
        </w:rPr>
      </w:pPr>
      <w:r w:rsidRPr="176BD3AC">
        <w:rPr>
          <w:rFonts w:ascii="Arial" w:hAnsi="Arial" w:cs="Arial"/>
          <w:b/>
          <w:bCs/>
        </w:rPr>
        <w:t>Contact person:</w:t>
      </w:r>
      <w:r>
        <w:tab/>
      </w:r>
    </w:p>
    <w:p w14:paraId="5EBEEE02" w14:textId="77777777" w:rsidR="00E71123" w:rsidRPr="008C4ACD" w:rsidRDefault="00E71123" w:rsidP="00E71123">
      <w:pPr>
        <w:spacing w:after="60"/>
        <w:ind w:left="2705" w:hanging="1985"/>
        <w:rPr>
          <w:rFonts w:cs="Times New Roman"/>
          <w:b/>
          <w:bCs/>
        </w:rPr>
      </w:pPr>
      <w:r w:rsidRPr="176BD3AC">
        <w:rPr>
          <w:rFonts w:cs="Times New Roman"/>
          <w:b/>
          <w:bCs/>
        </w:rPr>
        <w:t>Name:</w:t>
      </w:r>
      <w:r>
        <w:tab/>
      </w:r>
      <w:r w:rsidRPr="176BD3AC">
        <w:rPr>
          <w:rFonts w:cs="Times New Roman"/>
          <w:b/>
          <w:bCs/>
        </w:rPr>
        <w:t>Alok Sethi</w:t>
      </w:r>
    </w:p>
    <w:p w14:paraId="5DBD9DFD" w14:textId="77777777" w:rsidR="00E71123" w:rsidRPr="008C4ACD" w:rsidRDefault="00E71123" w:rsidP="00E71123">
      <w:pPr>
        <w:spacing w:after="60"/>
        <w:ind w:left="2705" w:hanging="1985"/>
        <w:rPr>
          <w:rFonts w:cs="Times New Roman"/>
          <w:b/>
          <w:bCs/>
        </w:rPr>
      </w:pPr>
      <w:r w:rsidRPr="176BD3AC">
        <w:rPr>
          <w:rFonts w:cs="Times New Roman"/>
          <w:b/>
          <w:bCs/>
        </w:rPr>
        <w:t>E-mail Address:</w:t>
      </w:r>
      <w:r>
        <w:tab/>
      </w:r>
      <w:r w:rsidRPr="176BD3AC">
        <w:rPr>
          <w:rFonts w:cs="Times New Roman"/>
          <w:b/>
          <w:bCs/>
        </w:rPr>
        <w:t>alok.sethi@nokia.com</w:t>
      </w:r>
    </w:p>
    <w:p w14:paraId="4E62D5E4" w14:textId="77777777" w:rsidR="00E71123" w:rsidRDefault="00E71123" w:rsidP="00E71123">
      <w:pPr>
        <w:spacing w:after="60"/>
        <w:ind w:left="1985" w:hanging="1985"/>
        <w:rPr>
          <w:rFonts w:ascii="Arial" w:hAnsi="Arial" w:cs="Arial"/>
          <w:b/>
          <w:bCs/>
          <w:noProof/>
        </w:rPr>
      </w:pPr>
      <w:r>
        <w:rPr>
          <w:rFonts w:ascii="Arial" w:hAnsi="Arial" w:cs="Arial"/>
          <w:b/>
          <w:bCs/>
        </w:rPr>
        <w:tab/>
      </w:r>
    </w:p>
    <w:p w14:paraId="40B463A5" w14:textId="77777777" w:rsidR="00E71123" w:rsidRDefault="00E71123" w:rsidP="00E71123">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635F8648" w14:textId="77777777" w:rsidR="00E71123" w:rsidRDefault="00E71123" w:rsidP="00E71123">
      <w:pPr>
        <w:spacing w:after="60"/>
        <w:ind w:left="1985" w:hanging="1985"/>
        <w:rPr>
          <w:rFonts w:ascii="Arial" w:hAnsi="Arial" w:cs="Arial"/>
          <w:b/>
        </w:rPr>
      </w:pPr>
    </w:p>
    <w:p w14:paraId="62AF7416" w14:textId="77777777" w:rsidR="00E71123" w:rsidRDefault="00E71123" w:rsidP="00E71123">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00055A78" w14:textId="77777777" w:rsidR="00E71123" w:rsidRDefault="00E71123" w:rsidP="00E71123">
      <w:pPr>
        <w:rPr>
          <w:rFonts w:ascii="Arial" w:hAnsi="Arial" w:cs="Arial"/>
        </w:rPr>
      </w:pPr>
    </w:p>
    <w:p w14:paraId="686C6557"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Overall description</w:t>
      </w:r>
    </w:p>
    <w:p w14:paraId="2F04950D" w14:textId="77777777" w:rsidR="00286E97" w:rsidRDefault="00286E97" w:rsidP="00286E97">
      <w:pPr>
        <w:rPr>
          <w:rFonts w:cs="Arial"/>
          <w:bCs/>
        </w:rPr>
      </w:pPr>
      <w:r>
        <w:t xml:space="preserve">RAN4 would like to thank RAN2 for the LS reply in R2-2501568. RAN4 has discussed possible </w:t>
      </w:r>
      <w:r w:rsidRPr="006722BF">
        <w:t xml:space="preserve">values for </w:t>
      </w:r>
      <w:r>
        <w:t xml:space="preserve">both </w:t>
      </w:r>
      <w:r w:rsidRPr="006C51EA">
        <w:rPr>
          <w:rFonts w:cs="Arial"/>
          <w:bCs/>
        </w:rPr>
        <w:t xml:space="preserve">TDM solution </w:t>
      </w:r>
      <w:r>
        <w:rPr>
          <w:rFonts w:cs="Arial"/>
          <w:bCs/>
        </w:rPr>
        <w:t>and</w:t>
      </w:r>
      <w:r w:rsidRPr="006C51EA">
        <w:rPr>
          <w:rFonts w:cs="Arial"/>
          <w:bCs/>
        </w:rPr>
        <w:t xml:space="preserve"> autonomous denial solution</w:t>
      </w:r>
      <w:r>
        <w:rPr>
          <w:rFonts w:cs="Arial"/>
          <w:bCs/>
        </w:rPr>
        <w:t xml:space="preserve">. </w:t>
      </w:r>
    </w:p>
    <w:p w14:paraId="5DD6D116" w14:textId="6C1C085E" w:rsidR="00286E97" w:rsidRDefault="00286E97" w:rsidP="00286E97">
      <w:pPr>
        <w:rPr>
          <w:lang w:val="en-US"/>
        </w:rPr>
      </w:pPr>
      <w:bookmarkStart w:id="31" w:name="_Hlk195220175"/>
      <w:r>
        <w:rPr>
          <w:rFonts w:cs="Arial"/>
          <w:bCs/>
        </w:rPr>
        <w:t>According to RAN4, in worst case UE may need IDC free duration of up to</w:t>
      </w:r>
      <w:r w:rsidR="00095B0D">
        <w:rPr>
          <w:rFonts w:cs="Arial"/>
          <w:bCs/>
        </w:rPr>
        <w:t xml:space="preserve"> 2s</w:t>
      </w:r>
      <w:r>
        <w:rPr>
          <w:rFonts w:cs="Arial"/>
          <w:bCs/>
        </w:rPr>
        <w:t xml:space="preserve"> with a periodicity of approximately 2s to 40s.</w:t>
      </w:r>
    </w:p>
    <w:p w14:paraId="15203022" w14:textId="7B437880" w:rsidR="00286E97" w:rsidRPr="00FC01F4" w:rsidRDefault="00286E97" w:rsidP="00286E97">
      <w:pPr>
        <w:rPr>
          <w:lang w:val="en-US"/>
        </w:rPr>
      </w:pPr>
      <w:r>
        <w:rPr>
          <w:lang w:val="en-US"/>
        </w:rPr>
        <w:t xml:space="preserve">Regarding autonomusDenial solution, for some UEs up to 50% of duty cycle is possible provided long mute times are avoided. </w:t>
      </w:r>
      <w:r w:rsidR="002B070D">
        <w:rPr>
          <w:lang w:val="en-US"/>
        </w:rPr>
        <w:t>As an example, a UE can avoid transmitting 10ms out of every 20ms. However, g</w:t>
      </w:r>
      <w:r w:rsidR="00576CFD">
        <w:rPr>
          <w:lang w:val="en-US"/>
        </w:rPr>
        <w:t xml:space="preserve">iven the extensive </w:t>
      </w:r>
      <w:r w:rsidR="002B070D">
        <w:rPr>
          <w:lang w:val="en-US"/>
        </w:rPr>
        <w:t xml:space="preserve">performance penalty of long mute times, it is not advisable to increase the value of </w:t>
      </w:r>
      <w:r w:rsidR="002B070D" w:rsidRPr="002B070D">
        <w:rPr>
          <w:lang w:val="en-US"/>
        </w:rPr>
        <w:t>autonomousDenialSlots-r18</w:t>
      </w:r>
      <w:r w:rsidR="002B070D">
        <w:rPr>
          <w:lang w:val="en-US"/>
        </w:rPr>
        <w:t xml:space="preserve">. </w:t>
      </w:r>
    </w:p>
    <w:bookmarkEnd w:id="31"/>
    <w:p w14:paraId="2AB2AFA3" w14:textId="656F4637" w:rsidR="00E71123" w:rsidRDefault="00E71123" w:rsidP="00E71123"/>
    <w:p w14:paraId="2408D496"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Actions</w:t>
      </w:r>
    </w:p>
    <w:p w14:paraId="01D04634" w14:textId="77777777" w:rsidR="00E71123" w:rsidRDefault="00E71123" w:rsidP="00E71123">
      <w:pPr>
        <w:spacing w:after="120"/>
        <w:ind w:left="993" w:hanging="993"/>
        <w:rPr>
          <w:rFonts w:ascii="Arial" w:hAnsi="Arial" w:cs="Arial"/>
          <w:b/>
        </w:rPr>
      </w:pPr>
      <w:r>
        <w:rPr>
          <w:rFonts w:ascii="Arial" w:hAnsi="Arial" w:cs="Arial"/>
          <w:b/>
        </w:rPr>
        <w:t xml:space="preserve">ACTIONS: </w:t>
      </w:r>
    </w:p>
    <w:p w14:paraId="2E21E5D9" w14:textId="649A5353" w:rsidR="00E71123" w:rsidRDefault="00E71123" w:rsidP="00E71123">
      <w:pPr>
        <w:spacing w:after="120"/>
      </w:pPr>
      <w:r>
        <w:rPr>
          <w:rFonts w:ascii="Arial" w:hAnsi="Arial" w:cs="Arial"/>
          <w:b/>
        </w:rPr>
        <w:t xml:space="preserve">To RAN WG2 and WG1: </w:t>
      </w:r>
      <w:r w:rsidR="00286E97">
        <w:t xml:space="preserve">RAN4 respectfully asks RAN2 </w:t>
      </w:r>
      <w:r w:rsidR="00286E97">
        <w:rPr>
          <w:lang w:eastAsia="zh-CN"/>
        </w:rPr>
        <w:t xml:space="preserve">to consider </w:t>
      </w:r>
      <w:r w:rsidR="00286E97">
        <w:t xml:space="preserve">the above mentioned values regarding the IDC related signalling. </w:t>
      </w:r>
    </w:p>
    <w:p w14:paraId="657B8F12" w14:textId="77777777" w:rsidR="00E71123" w:rsidRDefault="00E71123" w:rsidP="00E71123"/>
    <w:p w14:paraId="502CA331"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36"/>
          <w:lang w:eastAsia="de-DE"/>
        </w:rPr>
      </w:pPr>
      <w:r w:rsidRPr="176BD3AC">
        <w:rPr>
          <w:rFonts w:ascii="Arial" w:eastAsia="MS Mincho" w:hAnsi="Arial" w:cs="Times New Roman"/>
          <w:color w:val="auto"/>
          <w:sz w:val="36"/>
          <w:szCs w:val="36"/>
          <w:lang w:eastAsia="de-DE"/>
        </w:rPr>
        <w:t>Dates of next TSG RAN WG4 meetings</w:t>
      </w:r>
    </w:p>
    <w:p w14:paraId="5B7D8017" w14:textId="49BBB2AF" w:rsidR="00E71123" w:rsidRDefault="00E71123" w:rsidP="00E71123">
      <w:pPr>
        <w:tabs>
          <w:tab w:val="left" w:pos="3590"/>
          <w:tab w:val="left" w:pos="7610"/>
        </w:tabs>
        <w:spacing w:after="120"/>
        <w:ind w:left="2268" w:hanging="2268"/>
        <w:rPr>
          <w:rFonts w:ascii="Arial" w:hAnsi="Arial" w:cs="Arial"/>
        </w:rPr>
      </w:pPr>
      <w:r w:rsidRPr="4486A94F">
        <w:rPr>
          <w:rFonts w:ascii="Arial" w:hAnsi="Arial" w:cs="Arial"/>
        </w:rPr>
        <w:t>TSG-RAN4 Meeting #11</w:t>
      </w:r>
      <w:r w:rsidR="008F32D6">
        <w:rPr>
          <w:rFonts w:ascii="Arial" w:hAnsi="Arial" w:cs="Arial"/>
        </w:rPr>
        <w:t>6</w:t>
      </w:r>
      <w:r>
        <w:tab/>
      </w:r>
      <w:r w:rsidR="008F32D6" w:rsidRPr="4486A94F">
        <w:rPr>
          <w:rFonts w:ascii="Arial" w:hAnsi="Arial" w:cs="Arial"/>
        </w:rPr>
        <w:t>A</w:t>
      </w:r>
      <w:r w:rsidR="008F32D6">
        <w:rPr>
          <w:rFonts w:ascii="Arial" w:hAnsi="Arial" w:cs="Arial"/>
        </w:rPr>
        <w:t>ug</w:t>
      </w:r>
      <w:r w:rsidR="008F32D6" w:rsidRPr="4486A94F">
        <w:rPr>
          <w:rFonts w:ascii="Arial" w:hAnsi="Arial" w:cs="Arial"/>
        </w:rPr>
        <w:t xml:space="preserve"> </w:t>
      </w:r>
      <w:r w:rsidR="008F32D6">
        <w:rPr>
          <w:rFonts w:ascii="Arial" w:hAnsi="Arial" w:cs="Arial"/>
        </w:rPr>
        <w:t>25</w:t>
      </w:r>
      <w:r w:rsidR="008F32D6" w:rsidRPr="4486A94F">
        <w:rPr>
          <w:rFonts w:ascii="Arial" w:hAnsi="Arial" w:cs="Arial"/>
        </w:rPr>
        <w:t xml:space="preserve"> - </w:t>
      </w:r>
      <w:r w:rsidR="008F32D6">
        <w:rPr>
          <w:rFonts w:ascii="Arial" w:hAnsi="Arial" w:cs="Arial"/>
        </w:rPr>
        <w:t>29</w:t>
      </w:r>
      <w:r w:rsidR="008F32D6" w:rsidRPr="4486A94F">
        <w:rPr>
          <w:rFonts w:ascii="Arial" w:hAnsi="Arial" w:cs="Arial"/>
        </w:rPr>
        <w:t>, 2025</w:t>
      </w:r>
      <w:r>
        <w:tab/>
      </w:r>
      <w:r w:rsidR="008F32D6">
        <w:rPr>
          <w:rFonts w:ascii="Arial" w:hAnsi="Arial" w:cs="Arial"/>
        </w:rPr>
        <w:t>Bangalore, India</w:t>
      </w:r>
    </w:p>
    <w:p w14:paraId="78A7E4C5" w14:textId="3635A14E" w:rsidR="00E71123" w:rsidRDefault="00E71123" w:rsidP="00E71123">
      <w:pPr>
        <w:tabs>
          <w:tab w:val="left" w:pos="3590"/>
          <w:tab w:val="left" w:pos="7610"/>
        </w:tabs>
        <w:spacing w:after="120"/>
        <w:ind w:left="2268" w:hanging="2268"/>
        <w:rPr>
          <w:rFonts w:ascii="Arial" w:hAnsi="Arial" w:cs="Arial"/>
        </w:rPr>
      </w:pPr>
      <w:r w:rsidRPr="4486A94F">
        <w:rPr>
          <w:rFonts w:ascii="Arial" w:hAnsi="Arial" w:cs="Arial"/>
        </w:rPr>
        <w:t>TSG-RAN4 Meeting #11</w:t>
      </w:r>
      <w:r w:rsidR="002B3950">
        <w:rPr>
          <w:rFonts w:ascii="Arial" w:hAnsi="Arial" w:cs="Arial"/>
        </w:rPr>
        <w:t>6</w:t>
      </w:r>
      <w:r w:rsidR="008F32D6">
        <w:rPr>
          <w:rFonts w:ascii="Arial" w:hAnsi="Arial" w:cs="Arial"/>
        </w:rPr>
        <w:t>-bis</w:t>
      </w:r>
      <w:r>
        <w:tab/>
      </w:r>
      <w:r w:rsidR="008F32D6">
        <w:rPr>
          <w:rFonts w:ascii="Arial" w:hAnsi="Arial" w:cs="Arial"/>
        </w:rPr>
        <w:t>Oct</w:t>
      </w:r>
      <w:r w:rsidRPr="4486A94F">
        <w:rPr>
          <w:rFonts w:ascii="Arial" w:hAnsi="Arial" w:cs="Arial"/>
        </w:rPr>
        <w:t xml:space="preserve"> </w:t>
      </w:r>
      <w:r w:rsidR="008F32D6">
        <w:rPr>
          <w:rFonts w:ascii="Arial" w:hAnsi="Arial" w:cs="Arial"/>
        </w:rPr>
        <w:t>10</w:t>
      </w:r>
      <w:r w:rsidRPr="4486A94F">
        <w:rPr>
          <w:rFonts w:ascii="Arial" w:hAnsi="Arial" w:cs="Arial"/>
        </w:rPr>
        <w:t xml:space="preserve"> - </w:t>
      </w:r>
      <w:r w:rsidR="008F32D6">
        <w:rPr>
          <w:rFonts w:ascii="Arial" w:hAnsi="Arial" w:cs="Arial"/>
        </w:rPr>
        <w:t>13</w:t>
      </w:r>
      <w:r w:rsidRPr="4486A94F">
        <w:rPr>
          <w:rFonts w:ascii="Arial" w:hAnsi="Arial" w:cs="Arial"/>
        </w:rPr>
        <w:t>, 2025</w:t>
      </w:r>
      <w:r>
        <w:tab/>
      </w:r>
      <w:r w:rsidR="008F32D6">
        <w:rPr>
          <w:rFonts w:ascii="Arial" w:hAnsi="Arial" w:cs="Arial"/>
        </w:rPr>
        <w:t>Prague</w:t>
      </w:r>
      <w:r w:rsidR="002B3950">
        <w:rPr>
          <w:rFonts w:ascii="Arial" w:hAnsi="Arial" w:cs="Arial"/>
        </w:rPr>
        <w:t xml:space="preserve">, </w:t>
      </w:r>
      <w:r w:rsidR="008F32D6">
        <w:rPr>
          <w:rFonts w:ascii="Arial" w:hAnsi="Arial" w:cs="Arial"/>
        </w:rPr>
        <w:t>CZ</w:t>
      </w:r>
    </w:p>
    <w:p w14:paraId="5C00416A" w14:textId="77777777" w:rsidR="00E71123" w:rsidRPr="00093461" w:rsidRDefault="00E71123" w:rsidP="00E71123">
      <w:pPr>
        <w:rPr>
          <w:lang w:eastAsia="ja-JP"/>
        </w:rPr>
      </w:pPr>
    </w:p>
    <w:p w14:paraId="10DA766C" w14:textId="77777777" w:rsidR="00E71123" w:rsidRPr="00E465BF" w:rsidRDefault="00E71123" w:rsidP="00E71123">
      <w:pPr>
        <w:pStyle w:val="CRCoverPage"/>
        <w:spacing w:after="0"/>
        <w:ind w:left="538" w:hanging="438"/>
        <w:jc w:val="both"/>
        <w:rPr>
          <w:rFonts w:ascii="Times New Roman" w:eastAsia="MS Mincho" w:hAnsi="Times New Roman"/>
          <w:lang w:val="en-US" w:eastAsia="de-DE"/>
        </w:rPr>
      </w:pPr>
    </w:p>
    <w:p w14:paraId="4896517F" w14:textId="77777777" w:rsidR="00E71123" w:rsidRPr="00283489" w:rsidRDefault="00E71123" w:rsidP="00E71123">
      <w:pPr>
        <w:pStyle w:val="ListParagraph"/>
      </w:pPr>
    </w:p>
    <w:sectPr w:rsidR="00E71123" w:rsidRPr="002834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14B22" w14:textId="77777777" w:rsidR="00344FC1" w:rsidRDefault="00344FC1" w:rsidP="00001C9B">
      <w:pPr>
        <w:spacing w:after="0" w:line="240" w:lineRule="auto"/>
      </w:pPr>
      <w:r>
        <w:separator/>
      </w:r>
    </w:p>
  </w:endnote>
  <w:endnote w:type="continuationSeparator" w:id="0">
    <w:p w14:paraId="1383A178" w14:textId="77777777" w:rsidR="00344FC1" w:rsidRDefault="00344FC1" w:rsidP="00001C9B">
      <w:pPr>
        <w:spacing w:after="0" w:line="240" w:lineRule="auto"/>
      </w:pPr>
      <w:r>
        <w:continuationSeparator/>
      </w:r>
    </w:p>
  </w:endnote>
  <w:endnote w:type="continuationNotice" w:id="1">
    <w:p w14:paraId="2314E3D3" w14:textId="77777777" w:rsidR="00344FC1" w:rsidRDefault="00344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D1A86" w14:textId="77777777" w:rsidR="00344FC1" w:rsidRDefault="00344FC1" w:rsidP="00001C9B">
      <w:pPr>
        <w:spacing w:after="0" w:line="240" w:lineRule="auto"/>
      </w:pPr>
      <w:r>
        <w:separator/>
      </w:r>
    </w:p>
  </w:footnote>
  <w:footnote w:type="continuationSeparator" w:id="0">
    <w:p w14:paraId="108B161B" w14:textId="77777777" w:rsidR="00344FC1" w:rsidRDefault="00344FC1" w:rsidP="00001C9B">
      <w:pPr>
        <w:spacing w:after="0" w:line="240" w:lineRule="auto"/>
      </w:pPr>
      <w:r>
        <w:continuationSeparator/>
      </w:r>
    </w:p>
  </w:footnote>
  <w:footnote w:type="continuationNotice" w:id="1">
    <w:p w14:paraId="05077387" w14:textId="77777777" w:rsidR="00344FC1" w:rsidRDefault="00344F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61F7"/>
    <w:multiLevelType w:val="hybridMultilevel"/>
    <w:tmpl w:val="15AE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5046"/>
    <w:multiLevelType w:val="hybridMultilevel"/>
    <w:tmpl w:val="82C43AB8"/>
    <w:lvl w:ilvl="0" w:tplc="041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1E5C39"/>
    <w:multiLevelType w:val="hybridMultilevel"/>
    <w:tmpl w:val="91EA2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EC5A69"/>
    <w:multiLevelType w:val="hybridMultilevel"/>
    <w:tmpl w:val="6D9E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22"/>
  </w:num>
  <w:num w:numId="2" w16cid:durableId="166945348">
    <w:abstractNumId w:val="2"/>
  </w:num>
  <w:num w:numId="3" w16cid:durableId="1469392472">
    <w:abstractNumId w:val="6"/>
  </w:num>
  <w:num w:numId="4" w16cid:durableId="1792749823">
    <w:abstractNumId w:val="15"/>
  </w:num>
  <w:num w:numId="5" w16cid:durableId="517735681">
    <w:abstractNumId w:val="5"/>
  </w:num>
  <w:num w:numId="6" w16cid:durableId="1142041724">
    <w:abstractNumId w:val="20"/>
  </w:num>
  <w:num w:numId="7" w16cid:durableId="80681869">
    <w:abstractNumId w:val="12"/>
  </w:num>
  <w:num w:numId="8" w16cid:durableId="1566528953">
    <w:abstractNumId w:val="14"/>
  </w:num>
  <w:num w:numId="9" w16cid:durableId="809788981">
    <w:abstractNumId w:val="14"/>
    <w:lvlOverride w:ilvl="0">
      <w:startOverride w:val="1"/>
    </w:lvlOverride>
  </w:num>
  <w:num w:numId="10" w16cid:durableId="1398822153">
    <w:abstractNumId w:val="14"/>
    <w:lvlOverride w:ilvl="0">
      <w:startOverride w:val="1"/>
    </w:lvlOverride>
  </w:num>
  <w:num w:numId="11" w16cid:durableId="1825466284">
    <w:abstractNumId w:val="14"/>
    <w:lvlOverride w:ilvl="0">
      <w:startOverride w:val="1"/>
    </w:lvlOverride>
  </w:num>
  <w:num w:numId="12" w16cid:durableId="1446922321">
    <w:abstractNumId w:val="12"/>
    <w:lvlOverride w:ilvl="0">
      <w:startOverride w:val="1"/>
    </w:lvlOverride>
  </w:num>
  <w:num w:numId="13" w16cid:durableId="122584543">
    <w:abstractNumId w:val="14"/>
    <w:lvlOverride w:ilvl="0">
      <w:startOverride w:val="1"/>
    </w:lvlOverride>
  </w:num>
  <w:num w:numId="14" w16cid:durableId="818807267">
    <w:abstractNumId w:val="12"/>
    <w:lvlOverride w:ilvl="0">
      <w:startOverride w:val="1"/>
    </w:lvlOverride>
  </w:num>
  <w:num w:numId="15" w16cid:durableId="883829348">
    <w:abstractNumId w:val="14"/>
    <w:lvlOverride w:ilvl="0">
      <w:startOverride w:val="1"/>
    </w:lvlOverride>
  </w:num>
  <w:num w:numId="16" w16cid:durableId="438372887">
    <w:abstractNumId w:val="21"/>
  </w:num>
  <w:num w:numId="17" w16cid:durableId="516113510">
    <w:abstractNumId w:val="4"/>
  </w:num>
  <w:num w:numId="18" w16cid:durableId="1456096507">
    <w:abstractNumId w:val="19"/>
  </w:num>
  <w:num w:numId="19"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1"/>
  </w:num>
  <w:num w:numId="22" w16cid:durableId="1659071369">
    <w:abstractNumId w:val="17"/>
  </w:num>
  <w:num w:numId="23" w16cid:durableId="1938362445">
    <w:abstractNumId w:val="12"/>
    <w:lvlOverride w:ilvl="0">
      <w:startOverride w:val="1"/>
    </w:lvlOverride>
  </w:num>
  <w:num w:numId="24" w16cid:durableId="913515990">
    <w:abstractNumId w:val="14"/>
    <w:lvlOverride w:ilvl="0">
      <w:startOverride w:val="1"/>
    </w:lvlOverride>
  </w:num>
  <w:num w:numId="25" w16cid:durableId="978418003">
    <w:abstractNumId w:val="3"/>
  </w:num>
  <w:num w:numId="26" w16cid:durableId="143009612">
    <w:abstractNumId w:val="1"/>
  </w:num>
  <w:num w:numId="27" w16cid:durableId="212620654">
    <w:abstractNumId w:val="1"/>
    <w:lvlOverride w:ilvl="0">
      <w:startOverride w:val="1"/>
    </w:lvlOverride>
  </w:num>
  <w:num w:numId="28" w16cid:durableId="622418969">
    <w:abstractNumId w:val="16"/>
  </w:num>
  <w:num w:numId="29" w16cid:durableId="715741361">
    <w:abstractNumId w:val="9"/>
  </w:num>
  <w:num w:numId="30" w16cid:durableId="1534729849">
    <w:abstractNumId w:val="13"/>
  </w:num>
  <w:num w:numId="31" w16cid:durableId="606620290">
    <w:abstractNumId w:val="7"/>
  </w:num>
  <w:num w:numId="32" w16cid:durableId="866799437">
    <w:abstractNumId w:val="0"/>
  </w:num>
  <w:num w:numId="33" w16cid:durableId="1853449997">
    <w:abstractNumId w:val="8"/>
  </w:num>
  <w:num w:numId="34" w16cid:durableId="1759709570">
    <w:abstractNumId w:val="18"/>
  </w:num>
  <w:num w:numId="35" w16cid:durableId="1628122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32FA"/>
    <w:rsid w:val="00014F32"/>
    <w:rsid w:val="000151EF"/>
    <w:rsid w:val="00015FE9"/>
    <w:rsid w:val="000239F5"/>
    <w:rsid w:val="0002655F"/>
    <w:rsid w:val="00037567"/>
    <w:rsid w:val="00042089"/>
    <w:rsid w:val="00042778"/>
    <w:rsid w:val="00046D08"/>
    <w:rsid w:val="00052AD8"/>
    <w:rsid w:val="00062114"/>
    <w:rsid w:val="000676CF"/>
    <w:rsid w:val="00070DFD"/>
    <w:rsid w:val="00071750"/>
    <w:rsid w:val="00072CCA"/>
    <w:rsid w:val="0007385A"/>
    <w:rsid w:val="000756BF"/>
    <w:rsid w:val="0007601C"/>
    <w:rsid w:val="00080264"/>
    <w:rsid w:val="00081544"/>
    <w:rsid w:val="00084849"/>
    <w:rsid w:val="0008612A"/>
    <w:rsid w:val="00090E18"/>
    <w:rsid w:val="0009172F"/>
    <w:rsid w:val="00095B0D"/>
    <w:rsid w:val="000A10BC"/>
    <w:rsid w:val="000A2F98"/>
    <w:rsid w:val="000A31B3"/>
    <w:rsid w:val="000A5F9F"/>
    <w:rsid w:val="000A7F53"/>
    <w:rsid w:val="000B0056"/>
    <w:rsid w:val="000B1711"/>
    <w:rsid w:val="000B6808"/>
    <w:rsid w:val="000B6EA0"/>
    <w:rsid w:val="000B7E14"/>
    <w:rsid w:val="000C2660"/>
    <w:rsid w:val="000C371C"/>
    <w:rsid w:val="000C3C7B"/>
    <w:rsid w:val="000C41A3"/>
    <w:rsid w:val="000D0F93"/>
    <w:rsid w:val="000D4A42"/>
    <w:rsid w:val="000D735A"/>
    <w:rsid w:val="000E406B"/>
    <w:rsid w:val="000E6CAC"/>
    <w:rsid w:val="000F399A"/>
    <w:rsid w:val="000F399D"/>
    <w:rsid w:val="001006FF"/>
    <w:rsid w:val="00104EEA"/>
    <w:rsid w:val="00106416"/>
    <w:rsid w:val="00110481"/>
    <w:rsid w:val="00112122"/>
    <w:rsid w:val="001127C9"/>
    <w:rsid w:val="00114498"/>
    <w:rsid w:val="00115B88"/>
    <w:rsid w:val="00116816"/>
    <w:rsid w:val="00126CE5"/>
    <w:rsid w:val="00127231"/>
    <w:rsid w:val="00132F6A"/>
    <w:rsid w:val="00133913"/>
    <w:rsid w:val="00133AC5"/>
    <w:rsid w:val="00137606"/>
    <w:rsid w:val="00137AEA"/>
    <w:rsid w:val="00140221"/>
    <w:rsid w:val="00156771"/>
    <w:rsid w:val="00161913"/>
    <w:rsid w:val="001642FC"/>
    <w:rsid w:val="0016496B"/>
    <w:rsid w:val="001743E2"/>
    <w:rsid w:val="001745F8"/>
    <w:rsid w:val="00180F23"/>
    <w:rsid w:val="001838CF"/>
    <w:rsid w:val="00184DCB"/>
    <w:rsid w:val="001868EE"/>
    <w:rsid w:val="0019745D"/>
    <w:rsid w:val="00197F04"/>
    <w:rsid w:val="001A111C"/>
    <w:rsid w:val="001A3923"/>
    <w:rsid w:val="001A3BA4"/>
    <w:rsid w:val="001A6D1F"/>
    <w:rsid w:val="001B0836"/>
    <w:rsid w:val="001B09DB"/>
    <w:rsid w:val="001B1713"/>
    <w:rsid w:val="001B1726"/>
    <w:rsid w:val="001B1EA8"/>
    <w:rsid w:val="001B2244"/>
    <w:rsid w:val="001C6120"/>
    <w:rsid w:val="001C6AE0"/>
    <w:rsid w:val="001D10D6"/>
    <w:rsid w:val="001D6649"/>
    <w:rsid w:val="001E0C79"/>
    <w:rsid w:val="001E22C5"/>
    <w:rsid w:val="001E30F6"/>
    <w:rsid w:val="001E563E"/>
    <w:rsid w:val="001E651D"/>
    <w:rsid w:val="0020540C"/>
    <w:rsid w:val="0021130F"/>
    <w:rsid w:val="0021560C"/>
    <w:rsid w:val="00216379"/>
    <w:rsid w:val="002170FF"/>
    <w:rsid w:val="00217EE5"/>
    <w:rsid w:val="00231D1C"/>
    <w:rsid w:val="00232BEF"/>
    <w:rsid w:val="0023559D"/>
    <w:rsid w:val="00235F5C"/>
    <w:rsid w:val="0023632D"/>
    <w:rsid w:val="0024235F"/>
    <w:rsid w:val="002433E2"/>
    <w:rsid w:val="00246CCD"/>
    <w:rsid w:val="00247C72"/>
    <w:rsid w:val="00254DB0"/>
    <w:rsid w:val="00257FA3"/>
    <w:rsid w:val="00270D29"/>
    <w:rsid w:val="00275297"/>
    <w:rsid w:val="00275E00"/>
    <w:rsid w:val="00277B56"/>
    <w:rsid w:val="00277E4F"/>
    <w:rsid w:val="00282A74"/>
    <w:rsid w:val="00283489"/>
    <w:rsid w:val="002849D4"/>
    <w:rsid w:val="00286E97"/>
    <w:rsid w:val="002876F3"/>
    <w:rsid w:val="002902F0"/>
    <w:rsid w:val="00292601"/>
    <w:rsid w:val="0029757B"/>
    <w:rsid w:val="0029785C"/>
    <w:rsid w:val="002A19F5"/>
    <w:rsid w:val="002A4C63"/>
    <w:rsid w:val="002B070D"/>
    <w:rsid w:val="002B3950"/>
    <w:rsid w:val="002B4922"/>
    <w:rsid w:val="002B69F3"/>
    <w:rsid w:val="002B7772"/>
    <w:rsid w:val="002C22C3"/>
    <w:rsid w:val="002C2D19"/>
    <w:rsid w:val="002D10FA"/>
    <w:rsid w:val="002D4C55"/>
    <w:rsid w:val="002D5E1B"/>
    <w:rsid w:val="002E4FDD"/>
    <w:rsid w:val="002E6DED"/>
    <w:rsid w:val="002F6F68"/>
    <w:rsid w:val="00300956"/>
    <w:rsid w:val="003022F7"/>
    <w:rsid w:val="00304CE8"/>
    <w:rsid w:val="00313AFC"/>
    <w:rsid w:val="00317187"/>
    <w:rsid w:val="0032013F"/>
    <w:rsid w:val="00323D17"/>
    <w:rsid w:val="0032499A"/>
    <w:rsid w:val="00324D91"/>
    <w:rsid w:val="00326354"/>
    <w:rsid w:val="00327683"/>
    <w:rsid w:val="00331F45"/>
    <w:rsid w:val="003341F7"/>
    <w:rsid w:val="00335AB5"/>
    <w:rsid w:val="0034282B"/>
    <w:rsid w:val="00344FC1"/>
    <w:rsid w:val="00347DAA"/>
    <w:rsid w:val="00347FEC"/>
    <w:rsid w:val="003509DF"/>
    <w:rsid w:val="00356109"/>
    <w:rsid w:val="00356F45"/>
    <w:rsid w:val="00365A08"/>
    <w:rsid w:val="00366B74"/>
    <w:rsid w:val="003774C0"/>
    <w:rsid w:val="00381F95"/>
    <w:rsid w:val="00386FA4"/>
    <w:rsid w:val="0039497A"/>
    <w:rsid w:val="003951C1"/>
    <w:rsid w:val="003951EF"/>
    <w:rsid w:val="00395903"/>
    <w:rsid w:val="00396396"/>
    <w:rsid w:val="003A1F40"/>
    <w:rsid w:val="003A62F1"/>
    <w:rsid w:val="003A710A"/>
    <w:rsid w:val="003B00C8"/>
    <w:rsid w:val="003B399A"/>
    <w:rsid w:val="003B3D3F"/>
    <w:rsid w:val="003B659E"/>
    <w:rsid w:val="003C275E"/>
    <w:rsid w:val="003C4FDE"/>
    <w:rsid w:val="003C66D4"/>
    <w:rsid w:val="003C68BD"/>
    <w:rsid w:val="003D5605"/>
    <w:rsid w:val="003D643D"/>
    <w:rsid w:val="003D6BD8"/>
    <w:rsid w:val="003E1074"/>
    <w:rsid w:val="003E58DF"/>
    <w:rsid w:val="00403911"/>
    <w:rsid w:val="00404C4C"/>
    <w:rsid w:val="0041423F"/>
    <w:rsid w:val="00414F81"/>
    <w:rsid w:val="004231AD"/>
    <w:rsid w:val="00426B9A"/>
    <w:rsid w:val="00430591"/>
    <w:rsid w:val="004312E6"/>
    <w:rsid w:val="00432DA9"/>
    <w:rsid w:val="00436A0F"/>
    <w:rsid w:val="00436CEF"/>
    <w:rsid w:val="00437150"/>
    <w:rsid w:val="0043750A"/>
    <w:rsid w:val="0044423A"/>
    <w:rsid w:val="00444CD7"/>
    <w:rsid w:val="004464E4"/>
    <w:rsid w:val="00447577"/>
    <w:rsid w:val="00453074"/>
    <w:rsid w:val="00453ACE"/>
    <w:rsid w:val="00455E82"/>
    <w:rsid w:val="004732E9"/>
    <w:rsid w:val="00480FFA"/>
    <w:rsid w:val="004854BB"/>
    <w:rsid w:val="00486D93"/>
    <w:rsid w:val="00487940"/>
    <w:rsid w:val="00491DA4"/>
    <w:rsid w:val="00492A5D"/>
    <w:rsid w:val="00494493"/>
    <w:rsid w:val="004960E2"/>
    <w:rsid w:val="00496606"/>
    <w:rsid w:val="004A32B3"/>
    <w:rsid w:val="004A32C7"/>
    <w:rsid w:val="004B0092"/>
    <w:rsid w:val="004B1443"/>
    <w:rsid w:val="004C179A"/>
    <w:rsid w:val="004C4029"/>
    <w:rsid w:val="004C7079"/>
    <w:rsid w:val="004D0A5C"/>
    <w:rsid w:val="004D0E05"/>
    <w:rsid w:val="004D6206"/>
    <w:rsid w:val="004E170E"/>
    <w:rsid w:val="004E4621"/>
    <w:rsid w:val="004E5E66"/>
    <w:rsid w:val="004E7ADB"/>
    <w:rsid w:val="004F1445"/>
    <w:rsid w:val="004F5731"/>
    <w:rsid w:val="004F5B35"/>
    <w:rsid w:val="004F5DF5"/>
    <w:rsid w:val="00501F58"/>
    <w:rsid w:val="00502C19"/>
    <w:rsid w:val="00503877"/>
    <w:rsid w:val="00503B4D"/>
    <w:rsid w:val="00504EE9"/>
    <w:rsid w:val="0050782F"/>
    <w:rsid w:val="00511A6A"/>
    <w:rsid w:val="00514E4F"/>
    <w:rsid w:val="00516936"/>
    <w:rsid w:val="00517972"/>
    <w:rsid w:val="005202F3"/>
    <w:rsid w:val="00521576"/>
    <w:rsid w:val="005250E6"/>
    <w:rsid w:val="005268F8"/>
    <w:rsid w:val="00533EBF"/>
    <w:rsid w:val="00534DDE"/>
    <w:rsid w:val="0053508C"/>
    <w:rsid w:val="00542D23"/>
    <w:rsid w:val="0054442C"/>
    <w:rsid w:val="00545350"/>
    <w:rsid w:val="00550285"/>
    <w:rsid w:val="005529EE"/>
    <w:rsid w:val="00554A8C"/>
    <w:rsid w:val="00554EB2"/>
    <w:rsid w:val="00555547"/>
    <w:rsid w:val="00562492"/>
    <w:rsid w:val="005624E0"/>
    <w:rsid w:val="005628F9"/>
    <w:rsid w:val="00563DFE"/>
    <w:rsid w:val="00572A20"/>
    <w:rsid w:val="0057533D"/>
    <w:rsid w:val="00576CFD"/>
    <w:rsid w:val="005815C0"/>
    <w:rsid w:val="00581618"/>
    <w:rsid w:val="005836F8"/>
    <w:rsid w:val="005905E3"/>
    <w:rsid w:val="005916E1"/>
    <w:rsid w:val="005918FA"/>
    <w:rsid w:val="00592A86"/>
    <w:rsid w:val="00595B78"/>
    <w:rsid w:val="00597B8C"/>
    <w:rsid w:val="005B033B"/>
    <w:rsid w:val="005B3029"/>
    <w:rsid w:val="005B4801"/>
    <w:rsid w:val="005B73B4"/>
    <w:rsid w:val="005C23A4"/>
    <w:rsid w:val="005C3F9B"/>
    <w:rsid w:val="005C471B"/>
    <w:rsid w:val="005C52E3"/>
    <w:rsid w:val="005C5F7E"/>
    <w:rsid w:val="005D1CDF"/>
    <w:rsid w:val="005D2BB7"/>
    <w:rsid w:val="005D6FFE"/>
    <w:rsid w:val="005E61A8"/>
    <w:rsid w:val="005F6419"/>
    <w:rsid w:val="00601EF0"/>
    <w:rsid w:val="0060301D"/>
    <w:rsid w:val="00604E7D"/>
    <w:rsid w:val="0060543D"/>
    <w:rsid w:val="006104DD"/>
    <w:rsid w:val="00610B3B"/>
    <w:rsid w:val="00612B42"/>
    <w:rsid w:val="006130B5"/>
    <w:rsid w:val="0061375C"/>
    <w:rsid w:val="00614DD8"/>
    <w:rsid w:val="00617400"/>
    <w:rsid w:val="00631F08"/>
    <w:rsid w:val="00632D29"/>
    <w:rsid w:val="00635BFD"/>
    <w:rsid w:val="0064171D"/>
    <w:rsid w:val="00644139"/>
    <w:rsid w:val="00645963"/>
    <w:rsid w:val="00664950"/>
    <w:rsid w:val="006722BF"/>
    <w:rsid w:val="006755A9"/>
    <w:rsid w:val="00683220"/>
    <w:rsid w:val="00685125"/>
    <w:rsid w:val="0068781B"/>
    <w:rsid w:val="00687FA0"/>
    <w:rsid w:val="006A3C11"/>
    <w:rsid w:val="006B2690"/>
    <w:rsid w:val="006B546D"/>
    <w:rsid w:val="006B5893"/>
    <w:rsid w:val="006B5B17"/>
    <w:rsid w:val="006B7010"/>
    <w:rsid w:val="006B79AA"/>
    <w:rsid w:val="006C3095"/>
    <w:rsid w:val="006D0669"/>
    <w:rsid w:val="006D1AD7"/>
    <w:rsid w:val="006E1151"/>
    <w:rsid w:val="006E6311"/>
    <w:rsid w:val="006E7510"/>
    <w:rsid w:val="006F53BF"/>
    <w:rsid w:val="006F61D9"/>
    <w:rsid w:val="006F7CF4"/>
    <w:rsid w:val="00704DC1"/>
    <w:rsid w:val="00704E3B"/>
    <w:rsid w:val="007145FF"/>
    <w:rsid w:val="00715B2A"/>
    <w:rsid w:val="007175CA"/>
    <w:rsid w:val="00717C8F"/>
    <w:rsid w:val="00726B2F"/>
    <w:rsid w:val="00731D9D"/>
    <w:rsid w:val="00733B21"/>
    <w:rsid w:val="007376A9"/>
    <w:rsid w:val="007450F1"/>
    <w:rsid w:val="0075043F"/>
    <w:rsid w:val="00751515"/>
    <w:rsid w:val="00757F57"/>
    <w:rsid w:val="007626B7"/>
    <w:rsid w:val="00765496"/>
    <w:rsid w:val="00770E45"/>
    <w:rsid w:val="00780C8D"/>
    <w:rsid w:val="007812E7"/>
    <w:rsid w:val="0078212B"/>
    <w:rsid w:val="00782D51"/>
    <w:rsid w:val="00784DF6"/>
    <w:rsid w:val="00785232"/>
    <w:rsid w:val="007857CD"/>
    <w:rsid w:val="007A2588"/>
    <w:rsid w:val="007B186C"/>
    <w:rsid w:val="007C1696"/>
    <w:rsid w:val="007C3ED0"/>
    <w:rsid w:val="007C48C4"/>
    <w:rsid w:val="007C5971"/>
    <w:rsid w:val="007C7677"/>
    <w:rsid w:val="007D1DB9"/>
    <w:rsid w:val="007E42DC"/>
    <w:rsid w:val="007E4668"/>
    <w:rsid w:val="007F54B9"/>
    <w:rsid w:val="00806A76"/>
    <w:rsid w:val="00811C9D"/>
    <w:rsid w:val="00813610"/>
    <w:rsid w:val="00816C80"/>
    <w:rsid w:val="0081797B"/>
    <w:rsid w:val="00820576"/>
    <w:rsid w:val="0082796A"/>
    <w:rsid w:val="0083130B"/>
    <w:rsid w:val="0083707A"/>
    <w:rsid w:val="00837E13"/>
    <w:rsid w:val="00840BAA"/>
    <w:rsid w:val="00841BCD"/>
    <w:rsid w:val="00847264"/>
    <w:rsid w:val="0085106F"/>
    <w:rsid w:val="008516D9"/>
    <w:rsid w:val="00851A8E"/>
    <w:rsid w:val="0085365B"/>
    <w:rsid w:val="00853669"/>
    <w:rsid w:val="00867892"/>
    <w:rsid w:val="00876C4E"/>
    <w:rsid w:val="00877BAE"/>
    <w:rsid w:val="00881102"/>
    <w:rsid w:val="00881548"/>
    <w:rsid w:val="008826C1"/>
    <w:rsid w:val="00883DFD"/>
    <w:rsid w:val="00885AD2"/>
    <w:rsid w:val="00890271"/>
    <w:rsid w:val="0089053E"/>
    <w:rsid w:val="00890E6D"/>
    <w:rsid w:val="00890F47"/>
    <w:rsid w:val="0089210C"/>
    <w:rsid w:val="00893D2E"/>
    <w:rsid w:val="008A1BF7"/>
    <w:rsid w:val="008A5B0E"/>
    <w:rsid w:val="008A5B87"/>
    <w:rsid w:val="008A78C2"/>
    <w:rsid w:val="008B0961"/>
    <w:rsid w:val="008B14D1"/>
    <w:rsid w:val="008B731A"/>
    <w:rsid w:val="008C2C15"/>
    <w:rsid w:val="008C3364"/>
    <w:rsid w:val="008C39F7"/>
    <w:rsid w:val="008C46CF"/>
    <w:rsid w:val="008D6DA4"/>
    <w:rsid w:val="008F1FB7"/>
    <w:rsid w:val="008F20C6"/>
    <w:rsid w:val="008F32D6"/>
    <w:rsid w:val="008F3983"/>
    <w:rsid w:val="008F570E"/>
    <w:rsid w:val="008F6B66"/>
    <w:rsid w:val="008F786B"/>
    <w:rsid w:val="0090091A"/>
    <w:rsid w:val="0090373B"/>
    <w:rsid w:val="009042BD"/>
    <w:rsid w:val="00904813"/>
    <w:rsid w:val="00904FE4"/>
    <w:rsid w:val="0090739F"/>
    <w:rsid w:val="00914147"/>
    <w:rsid w:val="00921FD9"/>
    <w:rsid w:val="00923BBF"/>
    <w:rsid w:val="009246CF"/>
    <w:rsid w:val="00927740"/>
    <w:rsid w:val="00936159"/>
    <w:rsid w:val="00953174"/>
    <w:rsid w:val="00955835"/>
    <w:rsid w:val="00957DC5"/>
    <w:rsid w:val="0096621F"/>
    <w:rsid w:val="00976A39"/>
    <w:rsid w:val="00977E1D"/>
    <w:rsid w:val="00990883"/>
    <w:rsid w:val="00993310"/>
    <w:rsid w:val="00995608"/>
    <w:rsid w:val="009A0151"/>
    <w:rsid w:val="009B0573"/>
    <w:rsid w:val="009B138D"/>
    <w:rsid w:val="009B7B4B"/>
    <w:rsid w:val="009B7C21"/>
    <w:rsid w:val="009C2637"/>
    <w:rsid w:val="009C2863"/>
    <w:rsid w:val="009D0CD3"/>
    <w:rsid w:val="009D438F"/>
    <w:rsid w:val="009E0796"/>
    <w:rsid w:val="009E4E6E"/>
    <w:rsid w:val="009E5FA9"/>
    <w:rsid w:val="009F127B"/>
    <w:rsid w:val="00A03DF0"/>
    <w:rsid w:val="00A04992"/>
    <w:rsid w:val="00A13788"/>
    <w:rsid w:val="00A13E4B"/>
    <w:rsid w:val="00A147AA"/>
    <w:rsid w:val="00A157CC"/>
    <w:rsid w:val="00A20D28"/>
    <w:rsid w:val="00A21D71"/>
    <w:rsid w:val="00A22B78"/>
    <w:rsid w:val="00A22E16"/>
    <w:rsid w:val="00A246F7"/>
    <w:rsid w:val="00A25AE5"/>
    <w:rsid w:val="00A26442"/>
    <w:rsid w:val="00A27DE6"/>
    <w:rsid w:val="00A366C4"/>
    <w:rsid w:val="00A37002"/>
    <w:rsid w:val="00A376D0"/>
    <w:rsid w:val="00A413FF"/>
    <w:rsid w:val="00A414CA"/>
    <w:rsid w:val="00A4355E"/>
    <w:rsid w:val="00A43EF5"/>
    <w:rsid w:val="00A46580"/>
    <w:rsid w:val="00A520D9"/>
    <w:rsid w:val="00A64DA0"/>
    <w:rsid w:val="00A669EB"/>
    <w:rsid w:val="00A66CE1"/>
    <w:rsid w:val="00A721FE"/>
    <w:rsid w:val="00A77410"/>
    <w:rsid w:val="00A77F51"/>
    <w:rsid w:val="00A83321"/>
    <w:rsid w:val="00A92BCD"/>
    <w:rsid w:val="00A9315C"/>
    <w:rsid w:val="00A934D7"/>
    <w:rsid w:val="00A93671"/>
    <w:rsid w:val="00A96DC4"/>
    <w:rsid w:val="00AA0230"/>
    <w:rsid w:val="00AA052C"/>
    <w:rsid w:val="00AA1B0E"/>
    <w:rsid w:val="00AA3BB5"/>
    <w:rsid w:val="00AA47B6"/>
    <w:rsid w:val="00AB02EB"/>
    <w:rsid w:val="00AB157F"/>
    <w:rsid w:val="00AB5595"/>
    <w:rsid w:val="00AC096B"/>
    <w:rsid w:val="00AC163B"/>
    <w:rsid w:val="00AC5CA7"/>
    <w:rsid w:val="00AC6058"/>
    <w:rsid w:val="00AD600B"/>
    <w:rsid w:val="00AE2BA5"/>
    <w:rsid w:val="00AE3594"/>
    <w:rsid w:val="00AE56B1"/>
    <w:rsid w:val="00AE6D09"/>
    <w:rsid w:val="00AF0816"/>
    <w:rsid w:val="00AF13B3"/>
    <w:rsid w:val="00AF7049"/>
    <w:rsid w:val="00AF7A7C"/>
    <w:rsid w:val="00B02070"/>
    <w:rsid w:val="00B038E8"/>
    <w:rsid w:val="00B0677F"/>
    <w:rsid w:val="00B10194"/>
    <w:rsid w:val="00B242E5"/>
    <w:rsid w:val="00B31DC2"/>
    <w:rsid w:val="00B408B6"/>
    <w:rsid w:val="00B417C0"/>
    <w:rsid w:val="00B46A70"/>
    <w:rsid w:val="00B53E1F"/>
    <w:rsid w:val="00B542DA"/>
    <w:rsid w:val="00B62624"/>
    <w:rsid w:val="00B66A0D"/>
    <w:rsid w:val="00B66B7D"/>
    <w:rsid w:val="00B73862"/>
    <w:rsid w:val="00B73F43"/>
    <w:rsid w:val="00B75BBF"/>
    <w:rsid w:val="00B81C9E"/>
    <w:rsid w:val="00B81CDC"/>
    <w:rsid w:val="00B85237"/>
    <w:rsid w:val="00BA0B0C"/>
    <w:rsid w:val="00BA308C"/>
    <w:rsid w:val="00BA471B"/>
    <w:rsid w:val="00BA49BF"/>
    <w:rsid w:val="00BA4DBB"/>
    <w:rsid w:val="00BA6B66"/>
    <w:rsid w:val="00BA6E48"/>
    <w:rsid w:val="00BB0B1E"/>
    <w:rsid w:val="00BB1D55"/>
    <w:rsid w:val="00BB6A05"/>
    <w:rsid w:val="00BC3758"/>
    <w:rsid w:val="00BC5A24"/>
    <w:rsid w:val="00BD12C0"/>
    <w:rsid w:val="00BD73E5"/>
    <w:rsid w:val="00BD78BD"/>
    <w:rsid w:val="00BE0AF6"/>
    <w:rsid w:val="00BE1F03"/>
    <w:rsid w:val="00BE58A7"/>
    <w:rsid w:val="00BE778E"/>
    <w:rsid w:val="00BF192F"/>
    <w:rsid w:val="00BF2218"/>
    <w:rsid w:val="00BF28B1"/>
    <w:rsid w:val="00BF6B53"/>
    <w:rsid w:val="00BF77ED"/>
    <w:rsid w:val="00C04167"/>
    <w:rsid w:val="00C0426B"/>
    <w:rsid w:val="00C045DF"/>
    <w:rsid w:val="00C063E3"/>
    <w:rsid w:val="00C107AA"/>
    <w:rsid w:val="00C2268C"/>
    <w:rsid w:val="00C228B5"/>
    <w:rsid w:val="00C26D43"/>
    <w:rsid w:val="00C30EDB"/>
    <w:rsid w:val="00C35173"/>
    <w:rsid w:val="00C435DC"/>
    <w:rsid w:val="00C442EC"/>
    <w:rsid w:val="00C46548"/>
    <w:rsid w:val="00C55B49"/>
    <w:rsid w:val="00C57312"/>
    <w:rsid w:val="00C574D5"/>
    <w:rsid w:val="00C706AD"/>
    <w:rsid w:val="00C71C58"/>
    <w:rsid w:val="00C73F32"/>
    <w:rsid w:val="00C750E1"/>
    <w:rsid w:val="00C81769"/>
    <w:rsid w:val="00C822A8"/>
    <w:rsid w:val="00C87462"/>
    <w:rsid w:val="00C8796A"/>
    <w:rsid w:val="00C93E98"/>
    <w:rsid w:val="00CA180C"/>
    <w:rsid w:val="00CA1E0F"/>
    <w:rsid w:val="00CA3A58"/>
    <w:rsid w:val="00CA434F"/>
    <w:rsid w:val="00CA7A5B"/>
    <w:rsid w:val="00CB22B2"/>
    <w:rsid w:val="00CB2979"/>
    <w:rsid w:val="00CC1A0B"/>
    <w:rsid w:val="00CC1BBF"/>
    <w:rsid w:val="00CC35FA"/>
    <w:rsid w:val="00CC3EE2"/>
    <w:rsid w:val="00CC6836"/>
    <w:rsid w:val="00CD7492"/>
    <w:rsid w:val="00CE19BA"/>
    <w:rsid w:val="00CE3A6B"/>
    <w:rsid w:val="00CE5A58"/>
    <w:rsid w:val="00CF35A1"/>
    <w:rsid w:val="00CF43BF"/>
    <w:rsid w:val="00D00211"/>
    <w:rsid w:val="00D006D1"/>
    <w:rsid w:val="00D025AE"/>
    <w:rsid w:val="00D06309"/>
    <w:rsid w:val="00D07526"/>
    <w:rsid w:val="00D12B0E"/>
    <w:rsid w:val="00D236C5"/>
    <w:rsid w:val="00D2556E"/>
    <w:rsid w:val="00D3186E"/>
    <w:rsid w:val="00D351EA"/>
    <w:rsid w:val="00D35313"/>
    <w:rsid w:val="00D35C65"/>
    <w:rsid w:val="00D3756A"/>
    <w:rsid w:val="00D40288"/>
    <w:rsid w:val="00D418F2"/>
    <w:rsid w:val="00D42A3F"/>
    <w:rsid w:val="00D42E5E"/>
    <w:rsid w:val="00D43403"/>
    <w:rsid w:val="00D50A6B"/>
    <w:rsid w:val="00D5270B"/>
    <w:rsid w:val="00D56FE7"/>
    <w:rsid w:val="00D62E71"/>
    <w:rsid w:val="00D6430D"/>
    <w:rsid w:val="00D66188"/>
    <w:rsid w:val="00D67729"/>
    <w:rsid w:val="00D731F6"/>
    <w:rsid w:val="00D740CA"/>
    <w:rsid w:val="00D816F8"/>
    <w:rsid w:val="00D832AF"/>
    <w:rsid w:val="00D85728"/>
    <w:rsid w:val="00D86398"/>
    <w:rsid w:val="00D92B23"/>
    <w:rsid w:val="00D95481"/>
    <w:rsid w:val="00D96E40"/>
    <w:rsid w:val="00DA3976"/>
    <w:rsid w:val="00DB12F8"/>
    <w:rsid w:val="00DB1EC5"/>
    <w:rsid w:val="00DC7A13"/>
    <w:rsid w:val="00DD5CE1"/>
    <w:rsid w:val="00DE1BD9"/>
    <w:rsid w:val="00DE2BCA"/>
    <w:rsid w:val="00DE6A80"/>
    <w:rsid w:val="00DE7064"/>
    <w:rsid w:val="00DF2997"/>
    <w:rsid w:val="00E01DF6"/>
    <w:rsid w:val="00E10BC4"/>
    <w:rsid w:val="00E11502"/>
    <w:rsid w:val="00E13219"/>
    <w:rsid w:val="00E1415D"/>
    <w:rsid w:val="00E15840"/>
    <w:rsid w:val="00E213BD"/>
    <w:rsid w:val="00E21C45"/>
    <w:rsid w:val="00E233D3"/>
    <w:rsid w:val="00E30B0F"/>
    <w:rsid w:val="00E323E9"/>
    <w:rsid w:val="00E32FB6"/>
    <w:rsid w:val="00E34018"/>
    <w:rsid w:val="00E35FF8"/>
    <w:rsid w:val="00E437D2"/>
    <w:rsid w:val="00E43BF9"/>
    <w:rsid w:val="00E45D19"/>
    <w:rsid w:val="00E47BC6"/>
    <w:rsid w:val="00E50529"/>
    <w:rsid w:val="00E50C45"/>
    <w:rsid w:val="00E51930"/>
    <w:rsid w:val="00E53EDD"/>
    <w:rsid w:val="00E54B70"/>
    <w:rsid w:val="00E55751"/>
    <w:rsid w:val="00E5652C"/>
    <w:rsid w:val="00E6528F"/>
    <w:rsid w:val="00E663D4"/>
    <w:rsid w:val="00E67EEF"/>
    <w:rsid w:val="00E70CAA"/>
    <w:rsid w:val="00E71123"/>
    <w:rsid w:val="00E7398E"/>
    <w:rsid w:val="00E762C6"/>
    <w:rsid w:val="00E82B94"/>
    <w:rsid w:val="00E862D7"/>
    <w:rsid w:val="00E87217"/>
    <w:rsid w:val="00EA2311"/>
    <w:rsid w:val="00EA5DCF"/>
    <w:rsid w:val="00EA5DE7"/>
    <w:rsid w:val="00EB2A58"/>
    <w:rsid w:val="00EC0173"/>
    <w:rsid w:val="00EC7BC3"/>
    <w:rsid w:val="00ED7600"/>
    <w:rsid w:val="00EE3529"/>
    <w:rsid w:val="00EE39F4"/>
    <w:rsid w:val="00EE3B7B"/>
    <w:rsid w:val="00EF6073"/>
    <w:rsid w:val="00EF698B"/>
    <w:rsid w:val="00F02CEC"/>
    <w:rsid w:val="00F064B6"/>
    <w:rsid w:val="00F12B36"/>
    <w:rsid w:val="00F1362C"/>
    <w:rsid w:val="00F16FA4"/>
    <w:rsid w:val="00F2197C"/>
    <w:rsid w:val="00F22F8C"/>
    <w:rsid w:val="00F250CE"/>
    <w:rsid w:val="00F26CB8"/>
    <w:rsid w:val="00F30853"/>
    <w:rsid w:val="00F3144F"/>
    <w:rsid w:val="00F414F1"/>
    <w:rsid w:val="00F508B8"/>
    <w:rsid w:val="00F5314E"/>
    <w:rsid w:val="00F6613D"/>
    <w:rsid w:val="00F677A2"/>
    <w:rsid w:val="00F70129"/>
    <w:rsid w:val="00F72CB1"/>
    <w:rsid w:val="00F76388"/>
    <w:rsid w:val="00F768C1"/>
    <w:rsid w:val="00F8215E"/>
    <w:rsid w:val="00F824F5"/>
    <w:rsid w:val="00F84942"/>
    <w:rsid w:val="00F87623"/>
    <w:rsid w:val="00F90FAB"/>
    <w:rsid w:val="00F9326D"/>
    <w:rsid w:val="00F9374D"/>
    <w:rsid w:val="00F94AE4"/>
    <w:rsid w:val="00FA2E5B"/>
    <w:rsid w:val="00FA431C"/>
    <w:rsid w:val="00FA7291"/>
    <w:rsid w:val="00FA78A3"/>
    <w:rsid w:val="00FB5DF8"/>
    <w:rsid w:val="00FB6924"/>
    <w:rsid w:val="00FC29B9"/>
    <w:rsid w:val="00FC6FD3"/>
    <w:rsid w:val="00FD4C58"/>
    <w:rsid w:val="00FD516E"/>
    <w:rsid w:val="00FD5E59"/>
    <w:rsid w:val="00FD73DF"/>
    <w:rsid w:val="00FE08A4"/>
    <w:rsid w:val="00FE305C"/>
    <w:rsid w:val="00FE5803"/>
    <w:rsid w:val="00FE7BAA"/>
    <w:rsid w:val="00FF0301"/>
    <w:rsid w:val="00FF2080"/>
    <w:rsid w:val="00FF7E15"/>
    <w:rsid w:val="02067515"/>
    <w:rsid w:val="03A20E30"/>
    <w:rsid w:val="16053011"/>
    <w:rsid w:val="188241D5"/>
    <w:rsid w:val="211C0355"/>
    <w:rsid w:val="293C7FEC"/>
    <w:rsid w:val="2B6F5A69"/>
    <w:rsid w:val="2D5DFDB5"/>
    <w:rsid w:val="2F2D9CBC"/>
    <w:rsid w:val="2FDDEF08"/>
    <w:rsid w:val="36EF6ADF"/>
    <w:rsid w:val="3BB2794C"/>
    <w:rsid w:val="40F0E05F"/>
    <w:rsid w:val="43EB60B1"/>
    <w:rsid w:val="46930386"/>
    <w:rsid w:val="50E3CDE9"/>
    <w:rsid w:val="52D24A7E"/>
    <w:rsid w:val="62DE7D1D"/>
    <w:rsid w:val="660779FA"/>
    <w:rsid w:val="681456DC"/>
    <w:rsid w:val="6D43B159"/>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1"/>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AEA"/>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 w:type="paragraph" w:customStyle="1" w:styleId="CRCoverPage">
    <w:name w:val="CR Cover Page"/>
    <w:link w:val="CRCoverPageChar"/>
    <w:qFormat/>
    <w:rsid w:val="00E711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71123"/>
    <w:rPr>
      <w:rFonts w:ascii="Arial" w:eastAsia="Times New Roman" w:hAnsi="Arial" w:cs="Times New Roman"/>
      <w:sz w:val="20"/>
      <w:szCs w:val="20"/>
      <w:lang w:val="en-GB"/>
    </w:rPr>
  </w:style>
  <w:style w:type="paragraph" w:customStyle="1" w:styleId="B1">
    <w:name w:val="B1"/>
    <w:basedOn w:val="List"/>
    <w:link w:val="B1Char1"/>
    <w:qFormat/>
    <w:rsid w:val="00D12B0E"/>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character" w:customStyle="1" w:styleId="B1Char1">
    <w:name w:val="B1 Char1"/>
    <w:link w:val="B1"/>
    <w:qFormat/>
    <w:rsid w:val="00D12B0E"/>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12B0E"/>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B2Char">
    <w:name w:val="B2 Char"/>
    <w:link w:val="B2"/>
    <w:qFormat/>
    <w:rsid w:val="00D12B0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12B0E"/>
    <w:pPr>
      <w:ind w:left="283" w:hanging="283"/>
      <w:contextualSpacing/>
    </w:pPr>
  </w:style>
  <w:style w:type="paragraph" w:styleId="List2">
    <w:name w:val="List 2"/>
    <w:basedOn w:val="Normal"/>
    <w:uiPriority w:val="99"/>
    <w:semiHidden/>
    <w:unhideWhenUsed/>
    <w:rsid w:val="00D12B0E"/>
    <w:pPr>
      <w:ind w:left="566" w:hanging="283"/>
      <w:contextualSpacing/>
    </w:pPr>
  </w:style>
  <w:style w:type="paragraph" w:customStyle="1" w:styleId="PL">
    <w:name w:val="PL"/>
    <w:link w:val="PLChar"/>
    <w:qFormat/>
    <w:rsid w:val="002A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A4C63"/>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rsid w:val="008F570E"/>
    <w:pPr>
      <w:keepLines/>
      <w:spacing w:after="180" w:line="240" w:lineRule="auto"/>
      <w:ind w:left="1135" w:hanging="851"/>
    </w:pPr>
    <w:rPr>
      <w:rFonts w:eastAsia="SimSun" w:cs="Times New Roman"/>
      <w:szCs w:val="20"/>
    </w:rPr>
  </w:style>
  <w:style w:type="character" w:customStyle="1" w:styleId="NOChar">
    <w:name w:val="NO Char"/>
    <w:basedOn w:val="DefaultParagraphFont"/>
    <w:link w:val="NO"/>
    <w:rsid w:val="008F570E"/>
    <w:rPr>
      <w:rFonts w:ascii="Times New Roman" w:eastAsia="SimSun" w:hAnsi="Times New Roman" w:cs="Times New Roman"/>
      <w:sz w:val="20"/>
      <w:szCs w:val="20"/>
      <w:lang w:val="en-GB"/>
    </w:rPr>
  </w:style>
  <w:style w:type="paragraph" w:customStyle="1" w:styleId="TH">
    <w:name w:val="TH"/>
    <w:basedOn w:val="Normal"/>
    <w:link w:val="THChar"/>
    <w:rsid w:val="008F570E"/>
    <w:pPr>
      <w:keepNext/>
      <w:keepLines/>
      <w:spacing w:before="60" w:after="180" w:line="240" w:lineRule="auto"/>
      <w:jc w:val="center"/>
    </w:pPr>
    <w:rPr>
      <w:rFonts w:ascii="Arial" w:eastAsia="SimSun" w:hAnsi="Arial" w:cs="Times New Roman"/>
      <w:b/>
      <w:szCs w:val="20"/>
    </w:rPr>
  </w:style>
  <w:style w:type="character" w:customStyle="1" w:styleId="THChar">
    <w:name w:val="TH Char"/>
    <w:basedOn w:val="DefaultParagraphFont"/>
    <w:link w:val="TH"/>
    <w:locked/>
    <w:rsid w:val="008F570E"/>
    <w:rPr>
      <w:rFonts w:ascii="Arial" w:eastAsia="SimSun" w:hAnsi="Arial" w:cs="Times New Roman"/>
      <w:b/>
      <w:sz w:val="20"/>
      <w:szCs w:val="20"/>
      <w:lang w:val="en-GB"/>
    </w:rPr>
  </w:style>
  <w:style w:type="paragraph" w:customStyle="1" w:styleId="TF">
    <w:name w:val="TF"/>
    <w:basedOn w:val="TH"/>
    <w:link w:val="TFChar"/>
    <w:rsid w:val="008F570E"/>
    <w:pPr>
      <w:keepNext w:val="0"/>
      <w:spacing w:before="0" w:after="240"/>
    </w:pPr>
  </w:style>
  <w:style w:type="character" w:customStyle="1" w:styleId="TFChar">
    <w:name w:val="TF Char"/>
    <w:basedOn w:val="THChar"/>
    <w:link w:val="TF"/>
    <w:locked/>
    <w:rsid w:val="008F570E"/>
    <w:rPr>
      <w:rFonts w:ascii="Arial" w:eastAsia="SimSun" w:hAnsi="Arial" w:cs="Times New Roman"/>
      <w:b/>
      <w:sz w:val="20"/>
      <w:szCs w:val="20"/>
      <w:lang w:val="en-GB"/>
    </w:rPr>
  </w:style>
  <w:style w:type="paragraph" w:styleId="BodyText">
    <w:name w:val="Body Text"/>
    <w:basedOn w:val="Normal"/>
    <w:link w:val="BodyTextChar"/>
    <w:rsid w:val="008F570E"/>
    <w:pPr>
      <w:spacing w:after="180" w:line="240" w:lineRule="auto"/>
    </w:pPr>
    <w:rPr>
      <w:rFonts w:eastAsia="SimSun" w:cs="Times New Roman"/>
      <w:szCs w:val="20"/>
    </w:rPr>
  </w:style>
  <w:style w:type="character" w:customStyle="1" w:styleId="BodyTextChar">
    <w:name w:val="Body Text Char"/>
    <w:basedOn w:val="DefaultParagraphFont"/>
    <w:link w:val="BodyText"/>
    <w:rsid w:val="008F570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123525">
      <w:bodyDiv w:val="1"/>
      <w:marLeft w:val="0"/>
      <w:marRight w:val="0"/>
      <w:marTop w:val="0"/>
      <w:marBottom w:val="0"/>
      <w:divBdr>
        <w:top w:val="none" w:sz="0" w:space="0" w:color="auto"/>
        <w:left w:val="none" w:sz="0" w:space="0" w:color="auto"/>
        <w:bottom w:val="none" w:sz="0" w:space="0" w:color="auto"/>
        <w:right w:val="none" w:sz="0" w:space="0" w:color="auto"/>
      </w:divBdr>
    </w:div>
    <w:div w:id="447428197">
      <w:bodyDiv w:val="1"/>
      <w:marLeft w:val="0"/>
      <w:marRight w:val="0"/>
      <w:marTop w:val="0"/>
      <w:marBottom w:val="0"/>
      <w:divBdr>
        <w:top w:val="none" w:sz="0" w:space="0" w:color="auto"/>
        <w:left w:val="none" w:sz="0" w:space="0" w:color="auto"/>
        <w:bottom w:val="none" w:sz="0" w:space="0" w:color="auto"/>
        <w:right w:val="none" w:sz="0" w:space="0" w:color="auto"/>
      </w:divBdr>
    </w:div>
    <w:div w:id="867914858">
      <w:bodyDiv w:val="1"/>
      <w:marLeft w:val="0"/>
      <w:marRight w:val="0"/>
      <w:marTop w:val="0"/>
      <w:marBottom w:val="0"/>
      <w:divBdr>
        <w:top w:val="none" w:sz="0" w:space="0" w:color="auto"/>
        <w:left w:val="none" w:sz="0" w:space="0" w:color="auto"/>
        <w:bottom w:val="none" w:sz="0" w:space="0" w:color="auto"/>
        <w:right w:val="none" w:sz="0" w:space="0" w:color="auto"/>
      </w:divBdr>
    </w:div>
    <w:div w:id="1112289869">
      <w:bodyDiv w:val="1"/>
      <w:marLeft w:val="0"/>
      <w:marRight w:val="0"/>
      <w:marTop w:val="0"/>
      <w:marBottom w:val="0"/>
      <w:divBdr>
        <w:top w:val="none" w:sz="0" w:space="0" w:color="auto"/>
        <w:left w:val="none" w:sz="0" w:space="0" w:color="auto"/>
        <w:bottom w:val="none" w:sz="0" w:space="0" w:color="auto"/>
        <w:right w:val="none" w:sz="0" w:space="0" w:color="auto"/>
      </w:divBdr>
    </w:div>
    <w:div w:id="1851332450">
      <w:bodyDiv w:val="1"/>
      <w:marLeft w:val="0"/>
      <w:marRight w:val="0"/>
      <w:marTop w:val="0"/>
      <w:marBottom w:val="0"/>
      <w:divBdr>
        <w:top w:val="none" w:sz="0" w:space="0" w:color="auto"/>
        <w:left w:val="none" w:sz="0" w:space="0" w:color="auto"/>
        <w:bottom w:val="none" w:sz="0" w:space="0" w:color="auto"/>
        <w:right w:val="none" w:sz="0" w:space="0" w:color="auto"/>
      </w:divBdr>
    </w:div>
    <w:div w:id="2053918239">
      <w:bodyDiv w:val="1"/>
      <w:marLeft w:val="0"/>
      <w:marRight w:val="0"/>
      <w:marTop w:val="0"/>
      <w:marBottom w:val="0"/>
      <w:divBdr>
        <w:top w:val="none" w:sz="0" w:space="0" w:color="auto"/>
        <w:left w:val="none" w:sz="0" w:space="0" w:color="auto"/>
        <w:bottom w:val="none" w:sz="0" w:space="0" w:color="auto"/>
        <w:right w:val="none" w:sz="0" w:space="0" w:color="auto"/>
      </w:divBdr>
    </w:div>
    <w:div w:id="209705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362D-F77B-478B-8ED6-7D8AC99CE34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1926</Words>
  <Characters>10979</Characters>
  <Application>Microsoft Office Word</Application>
  <DocSecurity>0</DocSecurity>
  <Lines>91</Lines>
  <Paragraphs>25</Paragraphs>
  <ScaleCrop>false</ScaleCrop>
  <Company/>
  <LinksUpToDate>false</LinksUpToDate>
  <CharactersWithSpaces>12880</CharactersWithSpaces>
  <SharedDoc>false</SharedDoc>
  <HLinks>
    <vt:vector size="48" baseType="variant">
      <vt:variant>
        <vt:i4>8060928</vt:i4>
      </vt:variant>
      <vt:variant>
        <vt:i4>30</vt:i4>
      </vt:variant>
      <vt:variant>
        <vt:i4>0</vt:i4>
      </vt:variant>
      <vt:variant>
        <vt:i4>5</vt:i4>
      </vt:variant>
      <vt:variant>
        <vt:lpwstr>mailto:3GPPLiaison@etsi.org</vt:lpwstr>
      </vt:variant>
      <vt:variant>
        <vt:lpwstr/>
      </vt:variant>
      <vt:variant>
        <vt:i4>1638455</vt:i4>
      </vt:variant>
      <vt:variant>
        <vt:i4>26</vt:i4>
      </vt:variant>
      <vt:variant>
        <vt:i4>0</vt:i4>
      </vt:variant>
      <vt:variant>
        <vt:i4>5</vt:i4>
      </vt:variant>
      <vt:variant>
        <vt:lpwstr/>
      </vt:variant>
      <vt:variant>
        <vt:lpwstr>_Toc197709196</vt:lpwstr>
      </vt:variant>
      <vt:variant>
        <vt:i4>1638455</vt:i4>
      </vt:variant>
      <vt:variant>
        <vt:i4>23</vt:i4>
      </vt:variant>
      <vt:variant>
        <vt:i4>0</vt:i4>
      </vt:variant>
      <vt:variant>
        <vt:i4>5</vt:i4>
      </vt:variant>
      <vt:variant>
        <vt:lpwstr/>
      </vt:variant>
      <vt:variant>
        <vt:lpwstr>_Toc197709195</vt:lpwstr>
      </vt:variant>
      <vt:variant>
        <vt:i4>1638455</vt:i4>
      </vt:variant>
      <vt:variant>
        <vt:i4>20</vt:i4>
      </vt:variant>
      <vt:variant>
        <vt:i4>0</vt:i4>
      </vt:variant>
      <vt:variant>
        <vt:i4>5</vt:i4>
      </vt:variant>
      <vt:variant>
        <vt:lpwstr/>
      </vt:variant>
      <vt:variant>
        <vt:lpwstr>_Toc197709194</vt:lpwstr>
      </vt:variant>
      <vt:variant>
        <vt:i4>1638455</vt:i4>
      </vt:variant>
      <vt:variant>
        <vt:i4>17</vt:i4>
      </vt:variant>
      <vt:variant>
        <vt:i4>0</vt:i4>
      </vt:variant>
      <vt:variant>
        <vt:i4>5</vt:i4>
      </vt:variant>
      <vt:variant>
        <vt:lpwstr/>
      </vt:variant>
      <vt:variant>
        <vt:lpwstr>_Toc197709193</vt:lpwstr>
      </vt:variant>
      <vt:variant>
        <vt:i4>1638455</vt:i4>
      </vt:variant>
      <vt:variant>
        <vt:i4>14</vt:i4>
      </vt:variant>
      <vt:variant>
        <vt:i4>0</vt:i4>
      </vt:variant>
      <vt:variant>
        <vt:i4>5</vt:i4>
      </vt:variant>
      <vt:variant>
        <vt:lpwstr/>
      </vt:variant>
      <vt:variant>
        <vt:lpwstr>_Toc197709192</vt:lpwstr>
      </vt:variant>
      <vt:variant>
        <vt:i4>1638455</vt:i4>
      </vt:variant>
      <vt:variant>
        <vt:i4>11</vt:i4>
      </vt:variant>
      <vt:variant>
        <vt:i4>0</vt:i4>
      </vt:variant>
      <vt:variant>
        <vt:i4>5</vt:i4>
      </vt:variant>
      <vt:variant>
        <vt:lpwstr/>
      </vt:variant>
      <vt:variant>
        <vt:lpwstr>_Toc197709191</vt:lpwstr>
      </vt:variant>
      <vt:variant>
        <vt:i4>1638455</vt:i4>
      </vt:variant>
      <vt:variant>
        <vt:i4>8</vt:i4>
      </vt:variant>
      <vt:variant>
        <vt:i4>0</vt:i4>
      </vt:variant>
      <vt:variant>
        <vt:i4>5</vt:i4>
      </vt:variant>
      <vt:variant>
        <vt:lpwstr/>
      </vt:variant>
      <vt:variant>
        <vt:lpwstr>_Toc197709190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2025-05-10T01:58:00Z</dcterms:created>
  <dcterms:modified xsi:type="dcterms:W3CDTF">2025-08-15T07:07:00Z</dcterms:modified>
</cp:coreProperties>
</file>