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2F8C2C62" w:rsidR="00841BCD" w:rsidRPr="0013167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WG4 Meeting #</w:t>
      </w:r>
      <w:r w:rsidR="00DE7064" w:rsidRPr="0013167C">
        <w:rPr>
          <w:rFonts w:ascii="Arial" w:eastAsia="SimSun" w:hAnsi="Arial" w:cs="Arial"/>
          <w:b/>
          <w:sz w:val="24"/>
          <w:szCs w:val="20"/>
          <w:lang w:val="en-US"/>
        </w:rPr>
        <w:t>1</w:t>
      </w:r>
      <w:r w:rsidR="00381F95" w:rsidRPr="0013167C">
        <w:rPr>
          <w:rFonts w:ascii="Arial" w:eastAsia="SimSun" w:hAnsi="Arial" w:cs="Arial"/>
          <w:b/>
          <w:sz w:val="24"/>
          <w:szCs w:val="20"/>
          <w:lang w:val="en-US"/>
        </w:rPr>
        <w:t>1</w:t>
      </w:r>
      <w:r w:rsidR="00F27494">
        <w:rPr>
          <w:rFonts w:ascii="Arial" w:eastAsia="SimSun" w:hAnsi="Arial" w:cs="Arial"/>
          <w:b/>
          <w:sz w:val="24"/>
          <w:szCs w:val="20"/>
          <w:lang w:val="en-US"/>
        </w:rPr>
        <w:t>6</w:t>
      </w:r>
      <w:r w:rsidRPr="0013167C">
        <w:rPr>
          <w:rFonts w:ascii="Arial" w:eastAsia="SimSun" w:hAnsi="Arial" w:cs="Arial"/>
          <w:b/>
          <w:bCs/>
          <w:sz w:val="24"/>
          <w:szCs w:val="20"/>
          <w:lang w:val="en-US"/>
        </w:rPr>
        <w:tab/>
      </w:r>
      <w:r w:rsidR="00A46412" w:rsidRPr="00A46412">
        <w:rPr>
          <w:rFonts w:ascii="Arial" w:eastAsia="SimSun" w:hAnsi="Arial" w:cs="Arial"/>
          <w:b/>
          <w:bCs/>
          <w:sz w:val="24"/>
          <w:szCs w:val="20"/>
          <w:lang w:eastAsia="ja-JP"/>
        </w:rPr>
        <w:t>R4-2509646</w:t>
      </w:r>
    </w:p>
    <w:p w14:paraId="10A3C6A0" w14:textId="202DA408" w:rsidR="00841BCD" w:rsidRPr="00E45F27" w:rsidRDefault="00E45F27" w:rsidP="00E45F27">
      <w:pPr>
        <w:ind w:left="1988" w:hanging="1988"/>
        <w:jc w:val="both"/>
        <w:rPr>
          <w:rFonts w:ascii="Arial" w:hAnsi="Arial" w:cs="Arial"/>
          <w:b/>
          <w:bCs/>
          <w:sz w:val="24"/>
          <w:szCs w:val="24"/>
          <w:lang w:val="en-US"/>
        </w:rPr>
      </w:pPr>
      <w:bookmarkStart w:id="3" w:name="_Int_y82Ws820"/>
      <w:bookmarkStart w:id="4" w:name="_Hlk196232482"/>
      <w:bookmarkEnd w:id="0"/>
      <w:bookmarkEnd w:id="1"/>
      <w:r w:rsidRPr="004255A6">
        <w:rPr>
          <w:rFonts w:ascii="Arial" w:hAnsi="Arial" w:cs="Arial"/>
          <w:b/>
          <w:bCs/>
          <w:sz w:val="24"/>
          <w:szCs w:val="24"/>
          <w:lang w:val="en-US"/>
        </w:rPr>
        <w:t>Bengaluru, India, August 25th – 29th, 2025</w:t>
      </w:r>
      <w:bookmarkEnd w:id="3"/>
      <w:bookmarkEnd w:id="4"/>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79165516" w:rsidR="00841BCD" w:rsidRPr="0013167C" w:rsidRDefault="00841BCD" w:rsidP="007F139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bookmarkStart w:id="5" w:name="OLE_LINK13"/>
      <w:bookmarkStart w:id="6" w:name="OLE_LINK14"/>
      <w:r w:rsidR="002661EE" w:rsidRPr="002661EE">
        <w:rPr>
          <w:rFonts w:ascii="Arial" w:eastAsia="Calibri" w:hAnsi="Arial" w:cs="Arial" w:hint="eastAsia"/>
          <w:b/>
          <w:bCs/>
          <w:sz w:val="24"/>
          <w:lang w:val="en-US"/>
        </w:rPr>
        <w:t>S</w:t>
      </w:r>
      <w:r w:rsidR="002661EE" w:rsidRPr="002661EE">
        <w:rPr>
          <w:rFonts w:ascii="Arial" w:eastAsia="Calibri" w:hAnsi="Arial" w:cs="Arial"/>
          <w:b/>
          <w:bCs/>
          <w:sz w:val="24"/>
          <w:lang w:val="en-US"/>
        </w:rPr>
        <w:t xml:space="preserve">tudy of </w:t>
      </w:r>
      <w:bookmarkEnd w:id="5"/>
      <w:bookmarkEnd w:id="6"/>
      <w:r w:rsidR="00833A91" w:rsidRPr="00833A91">
        <w:rPr>
          <w:rFonts w:ascii="Arial" w:eastAsia="Calibri" w:hAnsi="Arial" w:cs="Arial"/>
          <w:b/>
          <w:bCs/>
          <w:sz w:val="24"/>
          <w:lang w:val="en-US"/>
        </w:rPr>
        <w:t xml:space="preserve">RAN4 impacts </w:t>
      </w:r>
      <w:r w:rsidR="00833A91" w:rsidRPr="00833A91">
        <w:rPr>
          <w:rFonts w:ascii="Arial" w:eastAsia="Calibri" w:hAnsi="Arial" w:cs="Arial" w:hint="eastAsia"/>
          <w:b/>
          <w:bCs/>
          <w:sz w:val="24"/>
          <w:lang w:val="en-US"/>
        </w:rPr>
        <w:t>f</w:t>
      </w:r>
      <w:r w:rsidR="00833A91" w:rsidRPr="00833A91">
        <w:rPr>
          <w:rFonts w:ascii="Arial" w:eastAsia="Calibri" w:hAnsi="Arial" w:cs="Arial"/>
          <w:b/>
          <w:bCs/>
          <w:sz w:val="24"/>
          <w:lang w:val="en-US"/>
        </w:rPr>
        <w:t>or RRM measurement prediction</w:t>
      </w:r>
      <w:r w:rsidR="002661EE" w:rsidRPr="002661EE">
        <w:rPr>
          <w:rFonts w:ascii="Arial" w:eastAsia="Calibri" w:hAnsi="Arial" w:cs="Arial"/>
          <w:b/>
          <w:bCs/>
          <w:sz w:val="24"/>
        </w:rPr>
        <w:t xml:space="preserve"> </w:t>
      </w:r>
      <w:r w:rsidR="00B5723B" w:rsidRPr="00B5723B">
        <w:rPr>
          <w:rFonts w:ascii="Arial" w:eastAsia="Calibri" w:hAnsi="Arial" w:cs="Arial"/>
          <w:b/>
          <w:bCs/>
          <w:sz w:val="24"/>
        </w:rPr>
        <w:t xml:space="preserve">for AIML </w:t>
      </w:r>
      <w:r w:rsidR="00B5723B">
        <w:rPr>
          <w:rFonts w:ascii="Arial" w:eastAsia="Calibri" w:hAnsi="Arial" w:cs="Arial"/>
          <w:b/>
          <w:bCs/>
          <w:sz w:val="24"/>
        </w:rPr>
        <w:t>m</w:t>
      </w:r>
      <w:r w:rsidR="00B5723B" w:rsidRPr="00B5723B">
        <w:rPr>
          <w:rFonts w:ascii="Arial" w:eastAsia="Calibri" w:hAnsi="Arial" w:cs="Arial"/>
          <w:b/>
          <w:bCs/>
          <w:sz w:val="24"/>
        </w:rPr>
        <w:t>obility in NR</w:t>
      </w:r>
    </w:p>
    <w:p w14:paraId="04A5E2C1" w14:textId="784B7713"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B97A6D" w:rsidRPr="0013167C">
        <w:rPr>
          <w:rFonts w:ascii="Arial" w:eastAsia="MS Mincho" w:hAnsi="Arial" w:cs="Arial"/>
          <w:b/>
          <w:bCs/>
          <w:sz w:val="24"/>
          <w:szCs w:val="20"/>
          <w:lang w:val="en-US"/>
        </w:rPr>
        <w:t>7</w:t>
      </w:r>
      <w:r w:rsidR="00C164A7" w:rsidRPr="0013167C">
        <w:rPr>
          <w:rFonts w:ascii="Arial" w:eastAsia="MS Mincho" w:hAnsi="Arial" w:cs="Arial"/>
          <w:b/>
          <w:bCs/>
          <w:sz w:val="24"/>
          <w:szCs w:val="20"/>
          <w:lang w:val="en-US"/>
        </w:rPr>
        <w:t>.</w:t>
      </w:r>
      <w:r w:rsidR="00A46412">
        <w:rPr>
          <w:rFonts w:ascii="Arial" w:eastAsia="MS Mincho" w:hAnsi="Arial" w:cs="Arial"/>
          <w:b/>
          <w:bCs/>
          <w:sz w:val="24"/>
          <w:szCs w:val="20"/>
          <w:lang w:val="en-US"/>
        </w:rPr>
        <w:t>19.3.1</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7" w:name="_Toc116995841"/>
      <w:bookmarkStart w:id="8" w:name="_Ref176878965"/>
      <w:bookmarkStart w:id="9" w:name="_Ref176878967"/>
      <w:bookmarkStart w:id="10" w:name="_Ref176878968"/>
      <w:bookmarkStart w:id="11"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7"/>
      <w:bookmarkEnd w:id="8"/>
      <w:bookmarkEnd w:id="9"/>
      <w:bookmarkEnd w:id="10"/>
      <w:bookmarkEnd w:id="11"/>
      <w:r w:rsidR="00E326B1" w:rsidRPr="0013167C">
        <w:rPr>
          <w:rFonts w:cs="Arial"/>
          <w:sz w:val="32"/>
          <w:szCs w:val="18"/>
          <w:lang w:val="en-US"/>
        </w:rPr>
        <w:t xml:space="preserve"> </w:t>
      </w:r>
    </w:p>
    <w:p w14:paraId="4FD0B586" w14:textId="08F17F91" w:rsidR="004D2D88" w:rsidRPr="00DD6DB1" w:rsidRDefault="004D2D88" w:rsidP="00A80B86">
      <w:pPr>
        <w:jc w:val="both"/>
        <w:rPr>
          <w:sz w:val="22"/>
          <w:szCs w:val="24"/>
        </w:rPr>
      </w:pPr>
      <w:r w:rsidRPr="00DD6DB1">
        <w:rPr>
          <w:sz w:val="22"/>
          <w:szCs w:val="24"/>
        </w:rPr>
        <w:t xml:space="preserve">The discussions on AI/ML </w:t>
      </w:r>
      <w:r w:rsidR="00917AD7">
        <w:rPr>
          <w:sz w:val="22"/>
          <w:szCs w:val="24"/>
        </w:rPr>
        <w:t xml:space="preserve">mobility in NR </w:t>
      </w:r>
      <w:r w:rsidRPr="00DD6DB1">
        <w:rPr>
          <w:sz w:val="22"/>
          <w:szCs w:val="24"/>
        </w:rPr>
        <w:t>were continued in RAN4#1</w:t>
      </w:r>
      <w:r w:rsidR="0001548C">
        <w:rPr>
          <w:sz w:val="22"/>
          <w:szCs w:val="24"/>
        </w:rPr>
        <w:t>1</w:t>
      </w:r>
      <w:r w:rsidR="005E62E6">
        <w:rPr>
          <w:sz w:val="22"/>
          <w:szCs w:val="24"/>
        </w:rPr>
        <w:t>5</w:t>
      </w:r>
      <w:r w:rsidRPr="00DD6DB1">
        <w:rPr>
          <w:sz w:val="22"/>
          <w:szCs w:val="24"/>
        </w:rPr>
        <w:t xml:space="preserve"> in the scope of Rel-19 </w:t>
      </w:r>
      <w:r w:rsidR="0001548C">
        <w:rPr>
          <w:sz w:val="22"/>
          <w:szCs w:val="24"/>
        </w:rPr>
        <w:t>S</w:t>
      </w:r>
      <w:r w:rsidRPr="00DD6DB1">
        <w:rPr>
          <w:sz w:val="22"/>
          <w:szCs w:val="24"/>
        </w:rPr>
        <w:t xml:space="preserve">I. Agreements achieved during </w:t>
      </w:r>
      <w:r w:rsidR="00D3143E" w:rsidRPr="00DD6DB1">
        <w:rPr>
          <w:sz w:val="22"/>
          <w:szCs w:val="24"/>
        </w:rPr>
        <w:t>this</w:t>
      </w:r>
      <w:r w:rsidRPr="00DD6DB1">
        <w:rPr>
          <w:sz w:val="22"/>
          <w:szCs w:val="24"/>
        </w:rPr>
        <w:t xml:space="preserve"> meeting are summarized in the WF </w:t>
      </w:r>
      <w:r w:rsidRPr="00DD6DB1">
        <w:rPr>
          <w:sz w:val="22"/>
          <w:szCs w:val="24"/>
        </w:rPr>
        <w:fldChar w:fldCharType="begin"/>
      </w:r>
      <w:r w:rsidRPr="00DD6DB1">
        <w:rPr>
          <w:sz w:val="22"/>
          <w:szCs w:val="24"/>
        </w:rPr>
        <w:instrText xml:space="preserve"> REF _Ref162427035 \r \h </w:instrText>
      </w:r>
      <w:r w:rsidR="00DD6DB1">
        <w:rPr>
          <w:sz w:val="22"/>
          <w:szCs w:val="24"/>
        </w:rPr>
        <w:instrText xml:space="preserve"> \* MERGEFORMAT </w:instrText>
      </w:r>
      <w:r w:rsidRPr="00DD6DB1">
        <w:rPr>
          <w:sz w:val="22"/>
          <w:szCs w:val="24"/>
        </w:rPr>
      </w:r>
      <w:r w:rsidRPr="00DD6DB1">
        <w:rPr>
          <w:sz w:val="22"/>
          <w:szCs w:val="24"/>
        </w:rPr>
        <w:fldChar w:fldCharType="separate"/>
      </w:r>
      <w:r w:rsidRPr="00DD6DB1">
        <w:rPr>
          <w:sz w:val="22"/>
          <w:szCs w:val="24"/>
        </w:rPr>
        <w:t>[1]</w:t>
      </w:r>
      <w:r w:rsidRPr="00DD6DB1">
        <w:rPr>
          <w:sz w:val="22"/>
          <w:szCs w:val="24"/>
        </w:rPr>
        <w:fldChar w:fldCharType="end"/>
      </w:r>
      <w:r w:rsidR="00D3143E" w:rsidRPr="00DD6DB1">
        <w:rPr>
          <w:sz w:val="22"/>
          <w:szCs w:val="24"/>
        </w:rPr>
        <w:t>.</w:t>
      </w:r>
    </w:p>
    <w:p w14:paraId="4813C971" w14:textId="0957B33A" w:rsidR="00341547" w:rsidRPr="00341547" w:rsidRDefault="003B659E" w:rsidP="00D3143E">
      <w:pPr>
        <w:pStyle w:val="RAN4H1"/>
        <w:rPr>
          <w:sz w:val="32"/>
          <w:szCs w:val="18"/>
          <w:lang w:val="en-US"/>
        </w:rPr>
      </w:pPr>
      <w:bookmarkStart w:id="12" w:name="_Toc116995842"/>
      <w:r w:rsidRPr="00BE01A4">
        <w:rPr>
          <w:sz w:val="32"/>
          <w:szCs w:val="18"/>
          <w:lang w:val="en-US"/>
        </w:rPr>
        <w:t>Discussion</w:t>
      </w:r>
      <w:bookmarkEnd w:id="12"/>
    </w:p>
    <w:p w14:paraId="3975873D" w14:textId="33B79918" w:rsidR="00AB5C27" w:rsidRPr="00C521DF" w:rsidRDefault="008C3308" w:rsidP="00946C8F">
      <w:pPr>
        <w:jc w:val="both"/>
        <w:rPr>
          <w:sz w:val="22"/>
          <w:szCs w:val="24"/>
        </w:rPr>
      </w:pPr>
      <w:r w:rsidRPr="008C3308">
        <w:rPr>
          <w:sz w:val="22"/>
          <w:szCs w:val="24"/>
        </w:rPr>
        <w:t>During the RAN4 #112bis meeting, RAN4 agreed to study aspects related to NR AIML mobility requirements</w:t>
      </w:r>
      <w:r w:rsidR="0087623A">
        <w:rPr>
          <w:sz w:val="22"/>
          <w:szCs w:val="24"/>
        </w:rPr>
        <w:t>. I</w:t>
      </w:r>
      <w:r w:rsidR="0087623A" w:rsidRPr="00DD6DB1">
        <w:rPr>
          <w:sz w:val="22"/>
          <w:szCs w:val="24"/>
        </w:rPr>
        <w:t>n this paper, we provide our views on issues related to</w:t>
      </w:r>
      <w:r w:rsidR="0087623A">
        <w:rPr>
          <w:sz w:val="22"/>
          <w:szCs w:val="24"/>
        </w:rPr>
        <w:t xml:space="preserve"> factors that potentially impact RAN4 requirements</w:t>
      </w:r>
      <w:r w:rsidR="0087623A" w:rsidRPr="00DD6DB1">
        <w:rPr>
          <w:sz w:val="22"/>
          <w:szCs w:val="24"/>
        </w:rPr>
        <w:t>.</w:t>
      </w:r>
    </w:p>
    <w:p w14:paraId="7BCD367F" w14:textId="2D06623E" w:rsidR="00B02E9C" w:rsidRDefault="00D77369" w:rsidP="00B02E9C">
      <w:pPr>
        <w:pStyle w:val="RAN4H2"/>
        <w:rPr>
          <w:sz w:val="28"/>
          <w:szCs w:val="28"/>
        </w:rPr>
      </w:pPr>
      <w:r>
        <w:rPr>
          <w:sz w:val="28"/>
          <w:szCs w:val="28"/>
        </w:rPr>
        <w:t>R</w:t>
      </w:r>
      <w:r w:rsidR="00B83B8F">
        <w:rPr>
          <w:sz w:val="28"/>
          <w:szCs w:val="28"/>
        </w:rPr>
        <w:t xml:space="preserve">elative </w:t>
      </w:r>
      <w:r w:rsidR="00006988">
        <w:rPr>
          <w:sz w:val="28"/>
          <w:szCs w:val="28"/>
        </w:rPr>
        <w:t xml:space="preserve">RSRP </w:t>
      </w:r>
      <w:r w:rsidR="006F1286" w:rsidRPr="006F1286">
        <w:rPr>
          <w:sz w:val="28"/>
          <w:szCs w:val="28"/>
        </w:rPr>
        <w:t>accuracy</w:t>
      </w:r>
      <w:r w:rsidR="004E06EF">
        <w:rPr>
          <w:sz w:val="28"/>
          <w:szCs w:val="28"/>
        </w:rPr>
        <w:t xml:space="preserve"> </w:t>
      </w:r>
      <w:r w:rsidR="00006988">
        <w:rPr>
          <w:sz w:val="28"/>
          <w:szCs w:val="28"/>
        </w:rPr>
        <w:t>definition</w:t>
      </w:r>
    </w:p>
    <w:tbl>
      <w:tblPr>
        <w:tblStyle w:val="TableGrid"/>
        <w:tblW w:w="0" w:type="auto"/>
        <w:tblLook w:val="04A0" w:firstRow="1" w:lastRow="0" w:firstColumn="1" w:lastColumn="0" w:noHBand="0" w:noVBand="1"/>
      </w:tblPr>
      <w:tblGrid>
        <w:gridCol w:w="9514"/>
      </w:tblGrid>
      <w:tr w:rsidR="00E215AE" w:rsidRPr="00422BDB" w14:paraId="42E08ED1" w14:textId="77777777" w:rsidTr="00865362">
        <w:tc>
          <w:tcPr>
            <w:tcW w:w="9514" w:type="dxa"/>
          </w:tcPr>
          <w:p w14:paraId="7F68360F" w14:textId="77777777" w:rsidR="005E62E6" w:rsidRPr="005E62E6" w:rsidRDefault="005E62E6" w:rsidP="005E62E6">
            <w:pPr>
              <w:spacing w:after="120"/>
              <w:rPr>
                <w:sz w:val="21"/>
                <w:lang w:eastAsia="zh-CN"/>
              </w:rPr>
            </w:pPr>
            <w:bookmarkStart w:id="13" w:name="_Hlk197510050"/>
            <w:r w:rsidRPr="005E62E6">
              <w:rPr>
                <w:rFonts w:hint="eastAsia"/>
                <w:sz w:val="21"/>
                <w:lang w:eastAsia="zh-CN"/>
              </w:rPr>
              <w:t>A</w:t>
            </w:r>
            <w:r w:rsidRPr="005E62E6">
              <w:rPr>
                <w:sz w:val="21"/>
                <w:lang w:eastAsia="zh-CN"/>
              </w:rPr>
              <w:t>greement:</w:t>
            </w:r>
          </w:p>
          <w:p w14:paraId="5BEECBD1" w14:textId="77777777" w:rsidR="005E62E6" w:rsidRPr="005E62E6" w:rsidRDefault="005E62E6" w:rsidP="005E62E6">
            <w:pPr>
              <w:pStyle w:val="ListParagraph"/>
              <w:numPr>
                <w:ilvl w:val="0"/>
                <w:numId w:val="16"/>
              </w:numPr>
              <w:overflowPunct w:val="0"/>
              <w:autoSpaceDE w:val="0"/>
              <w:autoSpaceDN w:val="0"/>
              <w:adjustRightInd w:val="0"/>
              <w:snapToGrid w:val="0"/>
              <w:spacing w:after="120"/>
              <w:contextualSpacing w:val="0"/>
              <w:rPr>
                <w:rFonts w:eastAsia="Yu Mincho"/>
              </w:rPr>
            </w:pPr>
            <w:r w:rsidRPr="005E62E6">
              <w:rPr>
                <w:rFonts w:eastAsia="Yu Mincho"/>
              </w:rPr>
              <w:t>For intra-frequency L3-RSRP,</w:t>
            </w:r>
          </w:p>
          <w:p w14:paraId="730E0031" w14:textId="77777777" w:rsidR="005E62E6" w:rsidRPr="005E62E6" w:rsidRDefault="005E62E6" w:rsidP="005E62E6">
            <w:pPr>
              <w:pStyle w:val="ListParagraph"/>
              <w:numPr>
                <w:ilvl w:val="1"/>
                <w:numId w:val="16"/>
              </w:numPr>
              <w:overflowPunct w:val="0"/>
              <w:autoSpaceDE w:val="0"/>
              <w:autoSpaceDN w:val="0"/>
              <w:adjustRightInd w:val="0"/>
              <w:snapToGrid w:val="0"/>
              <w:spacing w:after="120"/>
              <w:contextualSpacing w:val="0"/>
              <w:rPr>
                <w:rFonts w:eastAsia="Yu Mincho"/>
                <w:sz w:val="21"/>
                <w:szCs w:val="21"/>
              </w:rPr>
            </w:pPr>
            <w:r w:rsidRPr="005E62E6">
              <w:rPr>
                <w:rFonts w:eastAsia="Yu Mincho"/>
                <w:sz w:val="21"/>
                <w:szCs w:val="21"/>
                <w:lang w:val="sv-SE"/>
              </w:rPr>
              <w:t>Relative accuracy of predicted L3-RSRP</w:t>
            </w:r>
            <w:r w:rsidRPr="005E62E6">
              <w:rPr>
                <w:rFonts w:eastAsia="Yu Mincho"/>
                <w:sz w:val="21"/>
                <w:szCs w:val="21"/>
              </w:rPr>
              <w:t xml:space="preserve"> = (reported predicted L3-RSRP of cell 1 – reported RSRP of cell 2) – (ground truth of RSRP of cell 1 – ground truth of RSRP of cell 2), </w:t>
            </w:r>
          </w:p>
          <w:p w14:paraId="7B2A4DE2" w14:textId="77777777" w:rsidR="005E62E6" w:rsidRPr="005E62E6" w:rsidRDefault="005E62E6" w:rsidP="005E62E6">
            <w:pPr>
              <w:pStyle w:val="ListParagraph"/>
              <w:numPr>
                <w:ilvl w:val="2"/>
                <w:numId w:val="16"/>
              </w:numPr>
              <w:overflowPunct w:val="0"/>
              <w:autoSpaceDE w:val="0"/>
              <w:autoSpaceDN w:val="0"/>
              <w:adjustRightInd w:val="0"/>
              <w:snapToGrid w:val="0"/>
              <w:spacing w:after="120"/>
              <w:contextualSpacing w:val="0"/>
              <w:rPr>
                <w:rFonts w:eastAsia="Yu Mincho"/>
                <w:sz w:val="21"/>
                <w:szCs w:val="21"/>
              </w:rPr>
            </w:pPr>
            <w:r w:rsidRPr="005E62E6">
              <w:rPr>
                <w:rFonts w:eastAsia="Yu Mincho"/>
                <w:sz w:val="21"/>
                <w:szCs w:val="21"/>
              </w:rPr>
              <w:t>cell 1 and cell 2 are on the same frequency</w:t>
            </w:r>
          </w:p>
          <w:p w14:paraId="20FAE17F" w14:textId="77777777" w:rsidR="005E62E6" w:rsidRPr="005E62E6" w:rsidRDefault="005E62E6" w:rsidP="005E62E6">
            <w:pPr>
              <w:pStyle w:val="ListParagraph"/>
              <w:numPr>
                <w:ilvl w:val="2"/>
                <w:numId w:val="16"/>
              </w:numPr>
              <w:overflowPunct w:val="0"/>
              <w:autoSpaceDE w:val="0"/>
              <w:autoSpaceDN w:val="0"/>
              <w:adjustRightInd w:val="0"/>
              <w:snapToGrid w:val="0"/>
              <w:spacing w:after="120"/>
              <w:contextualSpacing w:val="0"/>
              <w:rPr>
                <w:rFonts w:eastAsia="Yu Mincho"/>
                <w:sz w:val="21"/>
                <w:szCs w:val="21"/>
              </w:rPr>
            </w:pPr>
            <w:r w:rsidRPr="005E62E6">
              <w:rPr>
                <w:rFonts w:eastAsia="Yu Mincho"/>
                <w:sz w:val="21"/>
                <w:szCs w:val="21"/>
              </w:rPr>
              <w:t>the reported RSRP of cell2 can be measured or predicted.</w:t>
            </w:r>
          </w:p>
          <w:p w14:paraId="53A98B7E" w14:textId="77777777" w:rsidR="005E62E6" w:rsidRPr="005E62E6" w:rsidRDefault="005E62E6" w:rsidP="005E62E6">
            <w:pPr>
              <w:pStyle w:val="ListParagraph"/>
              <w:numPr>
                <w:ilvl w:val="2"/>
                <w:numId w:val="16"/>
              </w:numPr>
              <w:overflowPunct w:val="0"/>
              <w:autoSpaceDE w:val="0"/>
              <w:autoSpaceDN w:val="0"/>
              <w:adjustRightInd w:val="0"/>
              <w:snapToGrid w:val="0"/>
              <w:spacing w:after="120"/>
              <w:contextualSpacing w:val="0"/>
              <w:rPr>
                <w:rFonts w:eastAsia="Yu Mincho"/>
                <w:sz w:val="21"/>
                <w:szCs w:val="21"/>
              </w:rPr>
            </w:pPr>
            <w:r w:rsidRPr="005E62E6">
              <w:rPr>
                <w:rFonts w:eastAsia="Yu Mincho"/>
                <w:sz w:val="21"/>
                <w:szCs w:val="21"/>
              </w:rPr>
              <w:t xml:space="preserve">FFS on </w:t>
            </w:r>
            <w:r w:rsidRPr="005E62E6">
              <w:rPr>
                <w:rFonts w:eastAsia="Yu Mincho"/>
                <w:sz w:val="21"/>
                <w:szCs w:val="21"/>
                <w:u w:val="single"/>
              </w:rPr>
              <w:t>whether and</w:t>
            </w:r>
            <w:r w:rsidRPr="005E62E6">
              <w:rPr>
                <w:rFonts w:eastAsia="Yu Mincho"/>
                <w:sz w:val="21"/>
                <w:szCs w:val="21"/>
              </w:rPr>
              <w:t xml:space="preserve"> how to consider time difference between the </w:t>
            </w:r>
            <w:r w:rsidRPr="005E62E6">
              <w:rPr>
                <w:rFonts w:eastAsia="Yu Mincho"/>
                <w:sz w:val="21"/>
                <w:szCs w:val="21"/>
                <w:u w:val="single"/>
              </w:rPr>
              <w:t>two reported RSRPs when applying the definition of the relative RSRP accuracy</w:t>
            </w:r>
          </w:p>
          <w:p w14:paraId="2A59501E" w14:textId="77777777" w:rsidR="005E62E6" w:rsidRPr="005E62E6" w:rsidRDefault="005E62E6" w:rsidP="005E62E6">
            <w:pPr>
              <w:pStyle w:val="ListParagraph"/>
              <w:numPr>
                <w:ilvl w:val="1"/>
                <w:numId w:val="16"/>
              </w:numPr>
              <w:overflowPunct w:val="0"/>
              <w:autoSpaceDE w:val="0"/>
              <w:autoSpaceDN w:val="0"/>
              <w:adjustRightInd w:val="0"/>
              <w:snapToGrid w:val="0"/>
              <w:spacing w:after="120"/>
              <w:contextualSpacing w:val="0"/>
              <w:rPr>
                <w:rFonts w:eastAsia="Yu Mincho"/>
                <w:sz w:val="21"/>
                <w:szCs w:val="21"/>
              </w:rPr>
            </w:pPr>
            <w:r w:rsidRPr="005E62E6">
              <w:rPr>
                <w:rFonts w:eastAsia="Yu Mincho"/>
                <w:sz w:val="21"/>
                <w:szCs w:val="21"/>
              </w:rPr>
              <w:t>Relative RSRP accuracy for Beam level measurements is FFS during WI phase depending upon RAN2 progress.</w:t>
            </w:r>
          </w:p>
          <w:p w14:paraId="3F636597" w14:textId="77777777" w:rsidR="005E62E6" w:rsidRPr="005E62E6" w:rsidRDefault="005E62E6" w:rsidP="005E62E6">
            <w:pPr>
              <w:pStyle w:val="ListParagraph"/>
              <w:numPr>
                <w:ilvl w:val="0"/>
                <w:numId w:val="16"/>
              </w:numPr>
              <w:overflowPunct w:val="0"/>
              <w:autoSpaceDE w:val="0"/>
              <w:autoSpaceDN w:val="0"/>
              <w:adjustRightInd w:val="0"/>
              <w:snapToGrid w:val="0"/>
              <w:spacing w:after="120"/>
              <w:ind w:hanging="357"/>
              <w:contextualSpacing w:val="0"/>
              <w:rPr>
                <w:rFonts w:eastAsia="Yu Mincho"/>
                <w:sz w:val="21"/>
                <w:szCs w:val="21"/>
              </w:rPr>
            </w:pPr>
            <w:r w:rsidRPr="005E62E6">
              <w:rPr>
                <w:rFonts w:eastAsia="Yu Mincho"/>
                <w:sz w:val="21"/>
                <w:szCs w:val="21"/>
              </w:rPr>
              <w:t>For inter-frequency L3-RSRP,</w:t>
            </w:r>
          </w:p>
          <w:p w14:paraId="633D31C3" w14:textId="77777777" w:rsidR="005E62E6" w:rsidRPr="005E62E6" w:rsidRDefault="005E62E6" w:rsidP="005E62E6">
            <w:pPr>
              <w:pStyle w:val="ListParagraph"/>
              <w:numPr>
                <w:ilvl w:val="1"/>
                <w:numId w:val="16"/>
              </w:numPr>
              <w:overflowPunct w:val="0"/>
              <w:autoSpaceDE w:val="0"/>
              <w:autoSpaceDN w:val="0"/>
              <w:adjustRightInd w:val="0"/>
              <w:snapToGrid w:val="0"/>
              <w:spacing w:after="120"/>
              <w:ind w:hanging="357"/>
              <w:contextualSpacing w:val="0"/>
              <w:rPr>
                <w:sz w:val="21"/>
                <w:szCs w:val="21"/>
                <w:lang w:eastAsia="zh-CN"/>
              </w:rPr>
            </w:pPr>
            <w:r w:rsidRPr="005E62E6">
              <w:rPr>
                <w:rFonts w:eastAsia="Yu Mincho"/>
                <w:sz w:val="21"/>
                <w:szCs w:val="21"/>
                <w:lang w:val="sv-SE"/>
              </w:rPr>
              <w:t>Relative accuracy of predicted L3-RSRP</w:t>
            </w:r>
            <w:r w:rsidRPr="005E62E6">
              <w:rPr>
                <w:rFonts w:eastAsia="Yu Mincho"/>
                <w:sz w:val="21"/>
                <w:szCs w:val="21"/>
              </w:rPr>
              <w:t xml:space="preserve"> = (reported predicted L3-RSRP of cell 1 – reported RSRP of cell 2) – (ground truth of RSRP of cell 1 – ground truth of RSRP of cell 2), </w:t>
            </w:r>
          </w:p>
          <w:p w14:paraId="3DAAF2DC" w14:textId="77777777" w:rsidR="005E62E6" w:rsidRPr="005E62E6" w:rsidRDefault="005E62E6" w:rsidP="005E62E6">
            <w:pPr>
              <w:pStyle w:val="ListParagraph"/>
              <w:numPr>
                <w:ilvl w:val="2"/>
                <w:numId w:val="16"/>
              </w:numPr>
              <w:overflowPunct w:val="0"/>
              <w:autoSpaceDE w:val="0"/>
              <w:autoSpaceDN w:val="0"/>
              <w:adjustRightInd w:val="0"/>
              <w:snapToGrid w:val="0"/>
              <w:spacing w:after="120"/>
              <w:contextualSpacing w:val="0"/>
              <w:rPr>
                <w:sz w:val="21"/>
                <w:szCs w:val="21"/>
                <w:lang w:eastAsia="zh-CN"/>
              </w:rPr>
            </w:pPr>
            <w:r w:rsidRPr="005E62E6">
              <w:rPr>
                <w:rFonts w:eastAsia="Yu Mincho"/>
                <w:sz w:val="21"/>
                <w:szCs w:val="21"/>
              </w:rPr>
              <w:t>cell 2 is on a different frequency than cell 1 but in the same FR as cell 1</w:t>
            </w:r>
          </w:p>
          <w:p w14:paraId="0CEA1972" w14:textId="77777777" w:rsidR="005E62E6" w:rsidRPr="005E62E6" w:rsidRDefault="005E62E6" w:rsidP="005E62E6">
            <w:pPr>
              <w:pStyle w:val="ListParagraph"/>
              <w:numPr>
                <w:ilvl w:val="2"/>
                <w:numId w:val="16"/>
              </w:numPr>
              <w:overflowPunct w:val="0"/>
              <w:autoSpaceDE w:val="0"/>
              <w:autoSpaceDN w:val="0"/>
              <w:adjustRightInd w:val="0"/>
              <w:snapToGrid w:val="0"/>
              <w:spacing w:after="120"/>
              <w:ind w:hanging="357"/>
              <w:contextualSpacing w:val="0"/>
              <w:rPr>
                <w:sz w:val="21"/>
                <w:szCs w:val="21"/>
                <w:lang w:eastAsia="zh-CN"/>
              </w:rPr>
            </w:pPr>
            <w:r w:rsidRPr="005E62E6">
              <w:rPr>
                <w:rFonts w:eastAsia="Yu Mincho"/>
                <w:sz w:val="21"/>
                <w:szCs w:val="21"/>
              </w:rPr>
              <w:t>the reported RSRP of cell2 can be measured or predicted.</w:t>
            </w:r>
          </w:p>
          <w:p w14:paraId="0CAC23A8" w14:textId="5B0293B9" w:rsidR="00E215AE" w:rsidRPr="005E62E6" w:rsidRDefault="005E62E6" w:rsidP="005E62E6">
            <w:pPr>
              <w:pStyle w:val="ListParagraph"/>
              <w:numPr>
                <w:ilvl w:val="2"/>
                <w:numId w:val="16"/>
              </w:numPr>
              <w:overflowPunct w:val="0"/>
              <w:autoSpaceDE w:val="0"/>
              <w:autoSpaceDN w:val="0"/>
              <w:adjustRightInd w:val="0"/>
              <w:snapToGrid w:val="0"/>
              <w:spacing w:after="120"/>
              <w:ind w:hanging="357"/>
              <w:contextualSpacing w:val="0"/>
              <w:rPr>
                <w:sz w:val="21"/>
                <w:szCs w:val="21"/>
                <w:lang w:eastAsia="zh-CN"/>
              </w:rPr>
            </w:pPr>
            <w:r w:rsidRPr="005E62E6">
              <w:rPr>
                <w:rFonts w:eastAsia="Yu Mincho"/>
                <w:sz w:val="21"/>
                <w:szCs w:val="21"/>
              </w:rPr>
              <w:t xml:space="preserve">FFS on </w:t>
            </w:r>
            <w:r w:rsidRPr="005E62E6">
              <w:rPr>
                <w:rFonts w:eastAsia="Yu Mincho"/>
                <w:sz w:val="21"/>
                <w:szCs w:val="21"/>
                <w:u w:val="single"/>
              </w:rPr>
              <w:t>whether and</w:t>
            </w:r>
            <w:r w:rsidRPr="005E62E6">
              <w:rPr>
                <w:rFonts w:eastAsia="Yu Mincho"/>
                <w:sz w:val="21"/>
                <w:szCs w:val="21"/>
              </w:rPr>
              <w:t xml:space="preserve"> how to consider time difference between the </w:t>
            </w:r>
            <w:r w:rsidRPr="005E62E6">
              <w:rPr>
                <w:rFonts w:eastAsia="Yu Mincho"/>
                <w:sz w:val="21"/>
                <w:szCs w:val="21"/>
                <w:u w:val="single"/>
              </w:rPr>
              <w:t>two reported RSRPs when applying the definition of the relative RSRP accuracy</w:t>
            </w:r>
          </w:p>
        </w:tc>
      </w:tr>
      <w:bookmarkEnd w:id="13"/>
    </w:tbl>
    <w:p w14:paraId="4D799F2F" w14:textId="29A15B51" w:rsidR="00654A04" w:rsidRPr="00BF2DA0" w:rsidRDefault="00654A04" w:rsidP="000125C6">
      <w:pPr>
        <w:jc w:val="both"/>
        <w:rPr>
          <w:sz w:val="22"/>
        </w:rPr>
      </w:pPr>
    </w:p>
    <w:p w14:paraId="477F175B" w14:textId="77777777" w:rsidR="00BF2DA0" w:rsidRPr="00BF2DA0" w:rsidRDefault="00BF2DA0" w:rsidP="00BF2DA0">
      <w:pPr>
        <w:jc w:val="both"/>
        <w:rPr>
          <w:sz w:val="22"/>
        </w:rPr>
      </w:pPr>
      <w:r w:rsidRPr="00BF2DA0">
        <w:rPr>
          <w:sz w:val="22"/>
        </w:rPr>
        <w:t>For FR2 testing, since it involves a radiated test setup, RAN4 has agreed that the reported measurements will be used for ground truth extraction. This implies that in the current definition of relative RSRP accuracy:</w:t>
      </w:r>
    </w:p>
    <w:p w14:paraId="71AFC95C" w14:textId="77777777" w:rsidR="00BF2DA0" w:rsidRPr="00BF2DA0" w:rsidRDefault="00BF2DA0" w:rsidP="00BF2DA0">
      <w:pPr>
        <w:jc w:val="both"/>
        <w:rPr>
          <w:sz w:val="22"/>
        </w:rPr>
      </w:pPr>
    </w:p>
    <w:p w14:paraId="6C879FAB" w14:textId="3682465F" w:rsidR="00BF2DA0" w:rsidRPr="00BF2DA0" w:rsidRDefault="00BF2DA0" w:rsidP="00BF2DA0">
      <w:pPr>
        <w:jc w:val="both"/>
        <w:rPr>
          <w:sz w:val="22"/>
        </w:rPr>
      </w:pPr>
      <w:r w:rsidRPr="00BF2DA0">
        <w:rPr>
          <w:sz w:val="22"/>
        </w:rPr>
        <w:lastRenderedPageBreak/>
        <w:t>Relative accuracy of predicted L3-RSRP = (reported predicted L3-RSRP of cell 1 – reported RSRP of cell 2) – (ground truth of RSRP of cell 1 – ground truth of RSRP of cell 2)</w:t>
      </w:r>
    </w:p>
    <w:p w14:paraId="2A055BD5" w14:textId="40987A9B" w:rsidR="00BF2DA0" w:rsidRDefault="00BF2DA0" w:rsidP="00BF2DA0">
      <w:pPr>
        <w:jc w:val="both"/>
        <w:rPr>
          <w:sz w:val="22"/>
        </w:rPr>
      </w:pPr>
      <w:r w:rsidRPr="00BF2DA0">
        <w:rPr>
          <w:sz w:val="22"/>
        </w:rPr>
        <w:t>the reported and ground truth values would be the same. As a result, the formula effectively reduces to an absolute RSRP definition, making the relative RSRP definition meaningless for FR2. Therefore, RAN4 should clarify the applicability of the relative RSRP definition for FR2.</w:t>
      </w:r>
    </w:p>
    <w:p w14:paraId="34A4537E" w14:textId="512E7EB5" w:rsidR="00BF2DA0" w:rsidRPr="00BF2DA0" w:rsidRDefault="00BF2DA0" w:rsidP="00BF2DA0">
      <w:pPr>
        <w:jc w:val="both"/>
        <w:rPr>
          <w:b/>
          <w:bCs/>
          <w:sz w:val="22"/>
        </w:rPr>
      </w:pPr>
      <w:r w:rsidRPr="00BF2DA0">
        <w:rPr>
          <w:b/>
          <w:bCs/>
          <w:sz w:val="22"/>
        </w:rPr>
        <w:t>Observation 1: For FR2, the reported measurements will be used for ground truth extraction.</w:t>
      </w:r>
    </w:p>
    <w:p w14:paraId="7DBAF2A2" w14:textId="2978BC29" w:rsidR="00BF2DA0" w:rsidRPr="0026255F" w:rsidRDefault="00BF2DA0" w:rsidP="00BF2DA0">
      <w:pPr>
        <w:jc w:val="both"/>
        <w:rPr>
          <w:b/>
          <w:bCs/>
          <w:sz w:val="22"/>
        </w:rPr>
      </w:pPr>
      <w:r w:rsidRPr="00BF2DA0">
        <w:rPr>
          <w:b/>
          <w:bCs/>
          <w:sz w:val="22"/>
        </w:rPr>
        <w:t>Proposal 1: RAN4 to clarify the applicability of relative RSRP definition in the case FR2 testing</w:t>
      </w:r>
      <w:r>
        <w:rPr>
          <w:b/>
          <w:bCs/>
          <w:sz w:val="22"/>
        </w:rPr>
        <w:t>.</w:t>
      </w:r>
    </w:p>
    <w:p w14:paraId="43C119D6" w14:textId="4C682EF1" w:rsidR="00BF2DA0" w:rsidRPr="00BF2DA0" w:rsidRDefault="00BF2DA0" w:rsidP="00BF2DA0">
      <w:pPr>
        <w:jc w:val="both"/>
        <w:rPr>
          <w:sz w:val="22"/>
        </w:rPr>
      </w:pPr>
      <w:r>
        <w:rPr>
          <w:sz w:val="22"/>
        </w:rPr>
        <w:t>Similarly, for</w:t>
      </w:r>
      <w:r w:rsidRPr="00BF2DA0">
        <w:rPr>
          <w:sz w:val="22"/>
        </w:rPr>
        <w:t xml:space="preserve"> FR1, the method for ground truth extraction is still under discussion. The possible options considered are:</w:t>
      </w:r>
    </w:p>
    <w:p w14:paraId="0D657172" w14:textId="53DDBCD3" w:rsidR="00BF2DA0" w:rsidRPr="00BF2DA0" w:rsidRDefault="00BF2DA0" w:rsidP="00BF2DA0">
      <w:pPr>
        <w:jc w:val="both"/>
        <w:rPr>
          <w:sz w:val="22"/>
        </w:rPr>
      </w:pPr>
      <w:r w:rsidRPr="00BF2DA0">
        <w:rPr>
          <w:sz w:val="22"/>
        </w:rPr>
        <w:t xml:space="preserve">    Alt 1: Ground truth for FR1 is based on the transmitted or received power.</w:t>
      </w:r>
    </w:p>
    <w:p w14:paraId="16C97444" w14:textId="7CA1CC5B" w:rsidR="00BF2DA0" w:rsidRPr="00BF2DA0" w:rsidRDefault="00BF2DA0" w:rsidP="00BF2DA0">
      <w:pPr>
        <w:jc w:val="both"/>
        <w:rPr>
          <w:sz w:val="22"/>
        </w:rPr>
      </w:pPr>
      <w:r w:rsidRPr="00BF2DA0">
        <w:rPr>
          <w:sz w:val="22"/>
        </w:rPr>
        <w:t xml:space="preserve">    Alt 2: Ground truth for FR1 is based on the reported measurement value under certain conditions.</w:t>
      </w:r>
    </w:p>
    <w:p w14:paraId="2054DE82" w14:textId="17D739E1" w:rsidR="000125C6" w:rsidRDefault="00BF2DA0" w:rsidP="000125C6">
      <w:pPr>
        <w:jc w:val="both"/>
        <w:rPr>
          <w:sz w:val="22"/>
        </w:rPr>
      </w:pPr>
      <w:r w:rsidRPr="00BF2DA0">
        <w:rPr>
          <w:sz w:val="22"/>
        </w:rPr>
        <w:t>If RAN4 agrees on Alt 2, the same issue identified for FR2 will also apply to FR1</w:t>
      </w:r>
      <w:r>
        <w:rPr>
          <w:sz w:val="22"/>
        </w:rPr>
        <w:t>. T</w:t>
      </w:r>
      <w:r w:rsidRPr="00BF2DA0">
        <w:rPr>
          <w:sz w:val="22"/>
        </w:rPr>
        <w:t>he reported and ground truth values will be identical, and the relative RSRP definition will effectively become obsolete. RAN4 should clarify the applicability of the relative RSRP definition for FR1 as well.</w:t>
      </w:r>
    </w:p>
    <w:p w14:paraId="7972F53B" w14:textId="5AD7997C" w:rsidR="000125C6" w:rsidRPr="00EE69C1" w:rsidRDefault="00BF2DA0" w:rsidP="000125C6">
      <w:pPr>
        <w:jc w:val="both"/>
        <w:rPr>
          <w:b/>
          <w:bCs/>
          <w:sz w:val="22"/>
        </w:rPr>
      </w:pPr>
      <w:r w:rsidRPr="00BF2DA0">
        <w:rPr>
          <w:b/>
          <w:bCs/>
          <w:sz w:val="22"/>
        </w:rPr>
        <w:t>Proposal 2: RAN4 to clarify the applicability of relative RSRP definition in the case FR1 testing.</w:t>
      </w:r>
    </w:p>
    <w:p w14:paraId="7E8D011B" w14:textId="77777777" w:rsidR="000E2869" w:rsidRPr="002C35A8" w:rsidRDefault="000E2869" w:rsidP="000E2869">
      <w:pPr>
        <w:pStyle w:val="RAN4H2"/>
        <w:rPr>
          <w:sz w:val="28"/>
          <w:szCs w:val="28"/>
        </w:rPr>
      </w:pPr>
      <w:r w:rsidRPr="002C35A8">
        <w:rPr>
          <w:sz w:val="28"/>
          <w:szCs w:val="28"/>
        </w:rPr>
        <w:t>Inter-frequency prediction scenario</w:t>
      </w:r>
    </w:p>
    <w:tbl>
      <w:tblPr>
        <w:tblStyle w:val="TableGrid"/>
        <w:tblW w:w="0" w:type="auto"/>
        <w:tblLook w:val="04A0" w:firstRow="1" w:lastRow="0" w:firstColumn="1" w:lastColumn="0" w:noHBand="0" w:noVBand="1"/>
      </w:tblPr>
      <w:tblGrid>
        <w:gridCol w:w="9514"/>
      </w:tblGrid>
      <w:tr w:rsidR="000E2869" w:rsidRPr="00422BDB" w14:paraId="7031F470" w14:textId="77777777" w:rsidTr="00F65382">
        <w:tc>
          <w:tcPr>
            <w:tcW w:w="9514" w:type="dxa"/>
          </w:tcPr>
          <w:p w14:paraId="02705F80" w14:textId="77777777" w:rsidR="000E2869" w:rsidRPr="00422BDB" w:rsidRDefault="000E2869" w:rsidP="00F65382">
            <w:pPr>
              <w:rPr>
                <w:rFonts w:eastAsia="Yu Mincho"/>
                <w:sz w:val="22"/>
                <w:szCs w:val="24"/>
              </w:rPr>
            </w:pPr>
            <w:r w:rsidRPr="00422BDB">
              <w:rPr>
                <w:rFonts w:eastAsia="Yu Mincho"/>
                <w:sz w:val="22"/>
                <w:szCs w:val="24"/>
              </w:rPr>
              <w:t>Agreement:</w:t>
            </w:r>
          </w:p>
          <w:p w14:paraId="2C0C5A30" w14:textId="77777777" w:rsidR="000E2869" w:rsidRPr="002C35A8" w:rsidRDefault="000E2869" w:rsidP="00F65382">
            <w:pPr>
              <w:numPr>
                <w:ilvl w:val="0"/>
                <w:numId w:val="16"/>
              </w:numPr>
              <w:spacing w:after="120"/>
              <w:rPr>
                <w:rFonts w:eastAsia="Yu Mincho"/>
              </w:rPr>
            </w:pPr>
            <w:r w:rsidRPr="002C35A8">
              <w:rPr>
                <w:rFonts w:eastAsia="Yu Mincho" w:hint="eastAsia"/>
              </w:rPr>
              <w:t>RAN</w:t>
            </w:r>
            <w:r w:rsidRPr="002C35A8">
              <w:rPr>
                <w:rFonts w:eastAsia="Yu Mincho"/>
              </w:rPr>
              <w:t xml:space="preserve">4 </w:t>
            </w:r>
            <w:r w:rsidRPr="002C35A8">
              <w:rPr>
                <w:rFonts w:eastAsia="Yu Mincho" w:hint="eastAsia"/>
              </w:rPr>
              <w:t>to</w:t>
            </w:r>
            <w:r w:rsidRPr="002C35A8">
              <w:rPr>
                <w:rFonts w:eastAsia="Yu Mincho"/>
              </w:rPr>
              <w:t xml:space="preserve"> </w:t>
            </w:r>
            <w:r w:rsidRPr="002C35A8">
              <w:rPr>
                <w:rFonts w:eastAsia="Yu Mincho" w:hint="eastAsia"/>
              </w:rPr>
              <w:t>study</w:t>
            </w:r>
            <w:r w:rsidRPr="002C35A8">
              <w:rPr>
                <w:rFonts w:eastAsia="Yu Mincho"/>
              </w:rPr>
              <w:t xml:space="preserve"> the factors potentially </w:t>
            </w:r>
            <w:r w:rsidRPr="002C35A8">
              <w:rPr>
                <w:rFonts w:eastAsia="Yu Mincho" w:hint="eastAsia"/>
              </w:rPr>
              <w:t>impact</w:t>
            </w:r>
            <w:r w:rsidRPr="002C35A8">
              <w:rPr>
                <w:rFonts w:eastAsia="Yu Mincho"/>
              </w:rPr>
              <w:t xml:space="preserve">ing RSRP prediction accuracy for inter-frequency prediction scenario considering at least the </w:t>
            </w:r>
            <w:r w:rsidRPr="002C35A8">
              <w:rPr>
                <w:rFonts w:eastAsia="Yu Mincho" w:hint="eastAsia"/>
              </w:rPr>
              <w:t>following</w:t>
            </w:r>
            <w:r w:rsidRPr="002C35A8">
              <w:rPr>
                <w:rFonts w:eastAsia="Yu Mincho"/>
              </w:rPr>
              <w:t xml:space="preserve"> </w:t>
            </w:r>
            <w:r w:rsidRPr="002C35A8">
              <w:rPr>
                <w:rFonts w:eastAsia="Yu Mincho" w:hint="eastAsia"/>
              </w:rPr>
              <w:t>aspects</w:t>
            </w:r>
            <w:r w:rsidRPr="002C35A8">
              <w:rPr>
                <w:rFonts w:eastAsia="Yu Mincho"/>
              </w:rPr>
              <w:t xml:space="preserve">: </w:t>
            </w:r>
          </w:p>
          <w:p w14:paraId="70ECAF1D" w14:textId="77777777" w:rsidR="000E2869" w:rsidRPr="002C35A8" w:rsidRDefault="000E2869" w:rsidP="00F65382">
            <w:pPr>
              <w:numPr>
                <w:ilvl w:val="1"/>
                <w:numId w:val="16"/>
              </w:numPr>
              <w:spacing w:after="120"/>
              <w:rPr>
                <w:rFonts w:eastAsia="Yu Mincho"/>
              </w:rPr>
            </w:pPr>
            <w:r w:rsidRPr="002C35A8">
              <w:rPr>
                <w:rFonts w:eastAsia="Yu Mincho"/>
              </w:rPr>
              <w:t>the side condition of frequency prediction (e.g., EPRE difference)</w:t>
            </w:r>
          </w:p>
          <w:p w14:paraId="4306EDE9" w14:textId="77777777" w:rsidR="000E2869" w:rsidRPr="002C35A8" w:rsidRDefault="000E2869" w:rsidP="00F65382">
            <w:pPr>
              <w:numPr>
                <w:ilvl w:val="1"/>
                <w:numId w:val="16"/>
              </w:numPr>
              <w:spacing w:after="120"/>
              <w:rPr>
                <w:rFonts w:eastAsia="Yu Mincho"/>
              </w:rPr>
            </w:pPr>
            <w:r w:rsidRPr="002C35A8">
              <w:rPr>
                <w:rFonts w:eastAsia="Yu Mincho"/>
              </w:rPr>
              <w:t>the impact of correlation coefficient between measured and predicted frequency layers</w:t>
            </w:r>
          </w:p>
          <w:p w14:paraId="7BE1DF94" w14:textId="77777777" w:rsidR="000E2869" w:rsidRPr="002C35A8" w:rsidRDefault="000E2869" w:rsidP="00F65382">
            <w:pPr>
              <w:numPr>
                <w:ilvl w:val="1"/>
                <w:numId w:val="16"/>
              </w:numPr>
              <w:spacing w:after="120"/>
              <w:rPr>
                <w:rFonts w:eastAsia="Yu Mincho"/>
              </w:rPr>
            </w:pPr>
            <w:r w:rsidRPr="002C35A8">
              <w:rPr>
                <w:rFonts w:eastAsia="Yu Mincho" w:hint="eastAsia"/>
              </w:rPr>
              <w:t>impact</w:t>
            </w:r>
            <w:r w:rsidRPr="002C35A8">
              <w:rPr>
                <w:rFonts w:eastAsia="Yu Mincho"/>
              </w:rPr>
              <w:t xml:space="preserve"> </w:t>
            </w:r>
            <w:r w:rsidRPr="002C35A8">
              <w:rPr>
                <w:rFonts w:eastAsia="Yu Mincho" w:hint="eastAsia"/>
              </w:rPr>
              <w:t>of</w:t>
            </w:r>
            <w:r w:rsidRPr="002C35A8">
              <w:rPr>
                <w:rFonts w:eastAsia="Yu Mincho"/>
              </w:rPr>
              <w:t xml:space="preserve"> cluster approach</w:t>
            </w:r>
            <w:r w:rsidRPr="002C35A8">
              <w:rPr>
                <w:rFonts w:eastAsia="Yu Mincho" w:hint="eastAsia"/>
              </w:rPr>
              <w:t>,</w:t>
            </w:r>
            <w:r w:rsidRPr="002C35A8">
              <w:rPr>
                <w:rFonts w:eastAsia="Yu Mincho"/>
              </w:rPr>
              <w:t xml:space="preserve"> e.g., </w:t>
            </w:r>
          </w:p>
          <w:p w14:paraId="234B2C1A" w14:textId="77777777" w:rsidR="000E2869" w:rsidRPr="002C35A8" w:rsidRDefault="000E2869" w:rsidP="00F65382">
            <w:pPr>
              <w:pStyle w:val="ListParagraph"/>
              <w:numPr>
                <w:ilvl w:val="2"/>
                <w:numId w:val="16"/>
              </w:numPr>
              <w:overflowPunct w:val="0"/>
              <w:autoSpaceDE w:val="0"/>
              <w:autoSpaceDN w:val="0"/>
              <w:adjustRightInd w:val="0"/>
              <w:spacing w:before="120" w:after="120"/>
              <w:contextualSpacing w:val="0"/>
              <w:textAlignment w:val="baseline"/>
              <w:rPr>
                <w:rFonts w:eastAsia="Yu Mincho"/>
              </w:rPr>
            </w:pPr>
            <w:r w:rsidRPr="002C35A8">
              <w:rPr>
                <w:rFonts w:eastAsia="Yu Mincho"/>
              </w:rPr>
              <w:t>When measurement from single cell in one carrier frequency is used by the UE as an input to predict the RRM measurement for the intra-FR and co-located cell in another carrier frequency.</w:t>
            </w:r>
          </w:p>
          <w:p w14:paraId="15E79453" w14:textId="77777777" w:rsidR="000E2869" w:rsidRPr="002C35A8" w:rsidRDefault="000E2869" w:rsidP="00F65382">
            <w:pPr>
              <w:pStyle w:val="ListParagraph"/>
              <w:numPr>
                <w:ilvl w:val="2"/>
                <w:numId w:val="16"/>
              </w:numPr>
              <w:overflowPunct w:val="0"/>
              <w:autoSpaceDE w:val="0"/>
              <w:autoSpaceDN w:val="0"/>
              <w:adjustRightInd w:val="0"/>
              <w:spacing w:after="180"/>
              <w:contextualSpacing w:val="0"/>
              <w:textAlignment w:val="baseline"/>
              <w:rPr>
                <w:rFonts w:eastAsia="Yu Mincho"/>
              </w:rPr>
            </w:pPr>
            <w:r w:rsidRPr="002C35A8">
              <w:rPr>
                <w:rFonts w:eastAsia="Yu Mincho"/>
              </w:rPr>
              <w:t>When measurement from a group of cells in one carrier frequency is used by the UE as an input to predict the RRM measurement for the intra-FR and co-located cell in another carrier frequency.</w:t>
            </w:r>
          </w:p>
        </w:tc>
      </w:tr>
    </w:tbl>
    <w:p w14:paraId="2009D36A" w14:textId="77777777" w:rsidR="00A76563" w:rsidRDefault="00A76563" w:rsidP="00A76563">
      <w:pPr>
        <w:jc w:val="both"/>
        <w:rPr>
          <w:b/>
          <w:bCs/>
          <w:sz w:val="22"/>
        </w:rPr>
      </w:pPr>
    </w:p>
    <w:p w14:paraId="35854F4A" w14:textId="487F5F36" w:rsidR="008F07CF" w:rsidRPr="008F07CF" w:rsidRDefault="00D6646A" w:rsidP="008F07CF">
      <w:pPr>
        <w:jc w:val="both"/>
        <w:rPr>
          <w:sz w:val="22"/>
          <w:szCs w:val="24"/>
        </w:rPr>
      </w:pPr>
      <w:r>
        <w:rPr>
          <w:sz w:val="22"/>
          <w:szCs w:val="24"/>
        </w:rPr>
        <w:t>FR1 to FR1 inter frequency measurement prediction based on AIML refers to predicting the measurements of a target cell at a different frequency based on the measurements from another cell</w:t>
      </w:r>
      <w:r w:rsidR="008F07CF" w:rsidRPr="008F07CF">
        <w:rPr>
          <w:sz w:val="22"/>
          <w:szCs w:val="24"/>
        </w:rPr>
        <w:t xml:space="preserve">. RAN4 has agreed that the inputs used to predict the measurements of Cell </w:t>
      </w:r>
      <w:r>
        <w:rPr>
          <w:sz w:val="22"/>
          <w:szCs w:val="24"/>
        </w:rPr>
        <w:t xml:space="preserve">may </w:t>
      </w:r>
      <w:r w:rsidR="008F07CF" w:rsidRPr="008F07CF">
        <w:rPr>
          <w:sz w:val="22"/>
          <w:szCs w:val="24"/>
        </w:rPr>
        <w:t>themselves be either directly measured or predicted.</w:t>
      </w:r>
    </w:p>
    <w:p w14:paraId="3B103534" w14:textId="4D62E558" w:rsidR="00D6646A" w:rsidRDefault="008F07CF" w:rsidP="008F07CF">
      <w:pPr>
        <w:jc w:val="both"/>
        <w:rPr>
          <w:sz w:val="22"/>
          <w:szCs w:val="24"/>
        </w:rPr>
      </w:pPr>
      <w:r w:rsidRPr="008F07CF">
        <w:rPr>
          <w:sz w:val="22"/>
          <w:szCs w:val="24"/>
        </w:rPr>
        <w:t xml:space="preserve">However, relying on a predicted result to predict another cell’s measurements may lead to reduced accuracy and should not compromise the prediction accuracy requirements. Therefore, it is important to identify the specific prediction method used for </w:t>
      </w:r>
      <w:r w:rsidR="00D6646A">
        <w:rPr>
          <w:sz w:val="22"/>
          <w:szCs w:val="24"/>
        </w:rPr>
        <w:t>input measurements</w:t>
      </w:r>
      <w:r w:rsidRPr="008F07CF">
        <w:rPr>
          <w:sz w:val="22"/>
          <w:szCs w:val="24"/>
        </w:rPr>
        <w:t xml:space="preserve">. If the prediction method </w:t>
      </w:r>
      <w:r w:rsidR="00D6646A">
        <w:rPr>
          <w:sz w:val="22"/>
          <w:szCs w:val="24"/>
        </w:rPr>
        <w:t>used is</w:t>
      </w:r>
      <w:r w:rsidRPr="008F07CF">
        <w:rPr>
          <w:sz w:val="22"/>
          <w:szCs w:val="24"/>
        </w:rPr>
        <w:t xml:space="preserve"> based on domains other than inter-frequency prediction</w:t>
      </w:r>
      <w:r w:rsidR="00D6646A">
        <w:rPr>
          <w:sz w:val="22"/>
          <w:szCs w:val="24"/>
        </w:rPr>
        <w:t xml:space="preserve">, </w:t>
      </w:r>
      <w:r w:rsidRPr="008F07CF">
        <w:rPr>
          <w:sz w:val="22"/>
          <w:szCs w:val="24"/>
        </w:rPr>
        <w:t>such as temporal domain prediction or spatial domain prediction</w:t>
      </w:r>
      <w:r w:rsidR="00D6646A">
        <w:rPr>
          <w:sz w:val="22"/>
          <w:szCs w:val="24"/>
        </w:rPr>
        <w:t xml:space="preserve">, </w:t>
      </w:r>
      <w:r w:rsidRPr="008F07CF">
        <w:rPr>
          <w:sz w:val="22"/>
          <w:szCs w:val="24"/>
        </w:rPr>
        <w:t>this approach effectively constitutes a combined domain prediction.</w:t>
      </w:r>
      <w:r w:rsidR="00D6646A">
        <w:rPr>
          <w:sz w:val="22"/>
          <w:szCs w:val="24"/>
        </w:rPr>
        <w:t xml:space="preserve"> </w:t>
      </w:r>
      <w:r w:rsidRPr="008F07CF">
        <w:rPr>
          <w:sz w:val="22"/>
          <w:szCs w:val="24"/>
        </w:rPr>
        <w:t>In such cases, it is worth considering whether other domain predictions, such as time-domain or spatial-domain techniques, can be effectively leveraged</w:t>
      </w:r>
      <w:r w:rsidR="00D6646A">
        <w:rPr>
          <w:sz w:val="22"/>
          <w:szCs w:val="24"/>
        </w:rPr>
        <w:t xml:space="preserve">. </w:t>
      </w:r>
      <w:r w:rsidRPr="008F07CF">
        <w:rPr>
          <w:sz w:val="22"/>
          <w:szCs w:val="24"/>
        </w:rPr>
        <w:t>If so, the combined domain prediction approach should be evaluated, as it has the potential to enhance prediction accuracy by integrating complementary prediction domains</w:t>
      </w:r>
      <w:r w:rsidR="00D6646A">
        <w:rPr>
          <w:sz w:val="22"/>
          <w:szCs w:val="24"/>
        </w:rPr>
        <w:t>.</w:t>
      </w:r>
    </w:p>
    <w:p w14:paraId="63B2CA6A" w14:textId="735475DB" w:rsidR="00D6646A" w:rsidRPr="00D6646A" w:rsidRDefault="00D6646A" w:rsidP="008F07CF">
      <w:pPr>
        <w:jc w:val="both"/>
        <w:rPr>
          <w:b/>
          <w:bCs/>
          <w:sz w:val="22"/>
          <w:szCs w:val="24"/>
        </w:rPr>
      </w:pPr>
      <w:r>
        <w:rPr>
          <w:b/>
          <w:bCs/>
          <w:sz w:val="22"/>
          <w:szCs w:val="24"/>
        </w:rPr>
        <w:t>Proposal 3</w:t>
      </w:r>
      <w:r w:rsidRPr="00BC3590">
        <w:rPr>
          <w:b/>
          <w:bCs/>
          <w:sz w:val="22"/>
          <w:szCs w:val="24"/>
        </w:rPr>
        <w:t xml:space="preserve">: </w:t>
      </w:r>
      <w:r w:rsidRPr="00CE48D6">
        <w:rPr>
          <w:b/>
          <w:bCs/>
          <w:sz w:val="22"/>
          <w:szCs w:val="24"/>
        </w:rPr>
        <w:t>RAN4 should explore potential enhancements in inter-frequency and spatial domain measurement prediction by combining them with temporal domain prediction.</w:t>
      </w:r>
    </w:p>
    <w:p w14:paraId="642D02A9" w14:textId="77777777" w:rsidR="000E2869" w:rsidRPr="00361CBC" w:rsidRDefault="000E2869" w:rsidP="000E2869">
      <w:pPr>
        <w:jc w:val="both"/>
        <w:rPr>
          <w:sz w:val="22"/>
          <w:szCs w:val="24"/>
        </w:rPr>
      </w:pPr>
      <w:r w:rsidRPr="00361CBC">
        <w:rPr>
          <w:sz w:val="22"/>
          <w:szCs w:val="24"/>
        </w:rPr>
        <w:lastRenderedPageBreak/>
        <w:t>As per the RAN2 study, using a group of cells in one carrier frequency as input for prediction can improve RRM measurement accuracy compared to using a single cell. However, defining separate performance requirements for cluster-based and non-cluster-based approaches may not be practical or beneficial. Standardizing the number of cells in a cluster is challenging, as intra-frequency neighbour cells may not always be available due to varying network deployments, UE mobility, and real-time channel conditions.</w:t>
      </w:r>
    </w:p>
    <w:p w14:paraId="2DCBFC4A" w14:textId="77777777" w:rsidR="000E2869" w:rsidRPr="00361CBC" w:rsidRDefault="000E2869" w:rsidP="000E2869">
      <w:pPr>
        <w:jc w:val="both"/>
        <w:rPr>
          <w:sz w:val="22"/>
          <w:szCs w:val="24"/>
        </w:rPr>
      </w:pPr>
      <w:r w:rsidRPr="00361CBC">
        <w:rPr>
          <w:sz w:val="22"/>
          <w:szCs w:val="24"/>
        </w:rPr>
        <w:t>Additionally, the decision to use a cluster-based or non-cluster-based prediction model should be left to the implementation. RAN4 should focus on defining the minimum requirements necessary to ensure accurate mobility event predictions.</w:t>
      </w:r>
    </w:p>
    <w:p w14:paraId="059A7622" w14:textId="3ACE5016" w:rsidR="000E2869" w:rsidRPr="00361CBC" w:rsidRDefault="000E2869" w:rsidP="000E2869">
      <w:pPr>
        <w:jc w:val="both"/>
        <w:rPr>
          <w:b/>
          <w:bCs/>
          <w:sz w:val="22"/>
          <w:szCs w:val="24"/>
        </w:rPr>
      </w:pPr>
      <w:r w:rsidRPr="00361CBC">
        <w:rPr>
          <w:b/>
          <w:bCs/>
          <w:sz w:val="22"/>
          <w:szCs w:val="24"/>
        </w:rPr>
        <w:t xml:space="preserve">Proposal </w:t>
      </w:r>
      <w:r w:rsidR="00D6646A">
        <w:rPr>
          <w:b/>
          <w:bCs/>
          <w:sz w:val="22"/>
          <w:szCs w:val="24"/>
        </w:rPr>
        <w:t>4</w:t>
      </w:r>
      <w:r w:rsidRPr="00361CBC">
        <w:rPr>
          <w:b/>
          <w:bCs/>
          <w:sz w:val="22"/>
          <w:szCs w:val="24"/>
        </w:rPr>
        <w:t>: RAN4 not study the impact of cluster-based and non-cluster-based inter-frequency prediction scenarios.</w:t>
      </w:r>
    </w:p>
    <w:p w14:paraId="453E353B" w14:textId="5AC7E784" w:rsidR="000E2869" w:rsidRDefault="000E2869" w:rsidP="000E2869">
      <w:pPr>
        <w:rPr>
          <w:b/>
          <w:bCs/>
          <w:sz w:val="22"/>
          <w:szCs w:val="24"/>
        </w:rPr>
      </w:pPr>
      <w:r w:rsidRPr="00361CBC">
        <w:rPr>
          <w:b/>
          <w:bCs/>
          <w:sz w:val="22"/>
          <w:szCs w:val="24"/>
        </w:rPr>
        <w:t xml:space="preserve">Proposal </w:t>
      </w:r>
      <w:r w:rsidR="00D6646A">
        <w:rPr>
          <w:b/>
          <w:bCs/>
          <w:sz w:val="22"/>
          <w:szCs w:val="24"/>
        </w:rPr>
        <w:t>5</w:t>
      </w:r>
      <w:r w:rsidRPr="00361CBC">
        <w:rPr>
          <w:b/>
          <w:bCs/>
          <w:sz w:val="22"/>
          <w:szCs w:val="24"/>
        </w:rPr>
        <w:t xml:space="preserve">: </w:t>
      </w:r>
      <w:r>
        <w:rPr>
          <w:b/>
          <w:bCs/>
          <w:sz w:val="22"/>
          <w:szCs w:val="24"/>
        </w:rPr>
        <w:t>No need to</w:t>
      </w:r>
      <w:r w:rsidRPr="00361CBC">
        <w:rPr>
          <w:b/>
          <w:bCs/>
          <w:sz w:val="22"/>
          <w:szCs w:val="24"/>
        </w:rPr>
        <w:t xml:space="preserve"> define separate requirement for clustered and non-clustered approach in inter frequency prediction scenario</w:t>
      </w:r>
      <w:r>
        <w:rPr>
          <w:b/>
          <w:bCs/>
          <w:sz w:val="22"/>
          <w:szCs w:val="24"/>
        </w:rPr>
        <w:t>.</w:t>
      </w:r>
    </w:p>
    <w:p w14:paraId="4209940F" w14:textId="77777777" w:rsidR="003B609E" w:rsidRPr="000E2869" w:rsidRDefault="003B609E" w:rsidP="000E2869">
      <w:pPr>
        <w:rPr>
          <w:b/>
          <w:bCs/>
          <w:sz w:val="22"/>
          <w:szCs w:val="24"/>
        </w:rPr>
      </w:pPr>
    </w:p>
    <w:p w14:paraId="1B35217A" w14:textId="12F4F966" w:rsidR="00847264" w:rsidRPr="0013167C" w:rsidRDefault="00CD7492" w:rsidP="008C39F7">
      <w:pPr>
        <w:pStyle w:val="RAN4H1"/>
        <w:rPr>
          <w:sz w:val="32"/>
          <w:szCs w:val="18"/>
          <w:lang w:val="en-US"/>
        </w:rPr>
      </w:pPr>
      <w:bookmarkStart w:id="14" w:name="_Toc116995848"/>
      <w:r w:rsidRPr="0013167C">
        <w:rPr>
          <w:sz w:val="32"/>
          <w:szCs w:val="18"/>
          <w:lang w:val="en-US"/>
        </w:rPr>
        <w:t>Conclusion</w:t>
      </w:r>
      <w:bookmarkStart w:id="15" w:name="_Toc116995849"/>
      <w:bookmarkEnd w:id="14"/>
    </w:p>
    <w:p w14:paraId="5B1067F0" w14:textId="40551E41" w:rsidR="00CC7F40" w:rsidRDefault="00CC7F40" w:rsidP="006130A2">
      <w:pPr>
        <w:jc w:val="both"/>
        <w:rPr>
          <w:sz w:val="22"/>
          <w:szCs w:val="24"/>
          <w:lang w:val="en-US"/>
        </w:rPr>
      </w:pPr>
      <w:bookmarkStart w:id="16" w:name="_Hlk181955750"/>
      <w:r>
        <w:rPr>
          <w:sz w:val="22"/>
          <w:szCs w:val="24"/>
          <w:lang w:val="en-US"/>
        </w:rPr>
        <w:t xml:space="preserve">This section summarizes our discussion by listing all the observations and proposals discussed in this contribution. </w:t>
      </w:r>
    </w:p>
    <w:p w14:paraId="6B978838" w14:textId="77777777" w:rsidR="003B609E" w:rsidRPr="00BF2DA0" w:rsidRDefault="003B609E" w:rsidP="003B609E">
      <w:pPr>
        <w:jc w:val="both"/>
        <w:rPr>
          <w:b/>
          <w:bCs/>
          <w:sz w:val="22"/>
        </w:rPr>
      </w:pPr>
      <w:r w:rsidRPr="00BF2DA0">
        <w:rPr>
          <w:b/>
          <w:bCs/>
          <w:sz w:val="22"/>
        </w:rPr>
        <w:t>Observation 1: For FR2, the reported measurements will be used for ground truth extraction.</w:t>
      </w:r>
    </w:p>
    <w:p w14:paraId="6D7A8720" w14:textId="77777777" w:rsidR="003B609E" w:rsidRPr="0026255F" w:rsidRDefault="003B609E" w:rsidP="003B609E">
      <w:pPr>
        <w:jc w:val="both"/>
        <w:rPr>
          <w:b/>
          <w:bCs/>
          <w:sz w:val="22"/>
        </w:rPr>
      </w:pPr>
      <w:r w:rsidRPr="00BF2DA0">
        <w:rPr>
          <w:b/>
          <w:bCs/>
          <w:sz w:val="22"/>
        </w:rPr>
        <w:t>Proposal 1: RAN4 to clarify the applicability of relative RSRP definition in the case FR2 testing</w:t>
      </w:r>
      <w:r>
        <w:rPr>
          <w:b/>
          <w:bCs/>
          <w:sz w:val="22"/>
        </w:rPr>
        <w:t>.</w:t>
      </w:r>
    </w:p>
    <w:p w14:paraId="35E41486" w14:textId="77777777" w:rsidR="003B609E" w:rsidRDefault="003B609E" w:rsidP="003B609E">
      <w:pPr>
        <w:jc w:val="both"/>
        <w:rPr>
          <w:b/>
          <w:bCs/>
          <w:sz w:val="22"/>
        </w:rPr>
      </w:pPr>
      <w:r w:rsidRPr="00BF2DA0">
        <w:rPr>
          <w:b/>
          <w:bCs/>
          <w:sz w:val="22"/>
        </w:rPr>
        <w:t>Proposal 2: RAN4 to clarify the applicability of relative RSRP definition in the case FR1 testing.</w:t>
      </w:r>
    </w:p>
    <w:p w14:paraId="765D1FD7" w14:textId="77777777" w:rsidR="003B609E" w:rsidRPr="00D6646A" w:rsidRDefault="003B609E" w:rsidP="003B609E">
      <w:pPr>
        <w:jc w:val="both"/>
        <w:rPr>
          <w:b/>
          <w:bCs/>
          <w:sz w:val="22"/>
          <w:szCs w:val="24"/>
        </w:rPr>
      </w:pPr>
      <w:r>
        <w:rPr>
          <w:b/>
          <w:bCs/>
          <w:sz w:val="22"/>
          <w:szCs w:val="24"/>
        </w:rPr>
        <w:t>Proposal 3</w:t>
      </w:r>
      <w:r w:rsidRPr="00BC3590">
        <w:rPr>
          <w:b/>
          <w:bCs/>
          <w:sz w:val="22"/>
          <w:szCs w:val="24"/>
        </w:rPr>
        <w:t xml:space="preserve">: </w:t>
      </w:r>
      <w:r w:rsidRPr="00CE48D6">
        <w:rPr>
          <w:b/>
          <w:bCs/>
          <w:sz w:val="22"/>
          <w:szCs w:val="24"/>
        </w:rPr>
        <w:t>RAN4 should explore potential enhancements in inter-frequency and spatial domain measurement prediction by combining them with temporal domain prediction.</w:t>
      </w:r>
    </w:p>
    <w:p w14:paraId="2BF6E2FF" w14:textId="7AFD417A" w:rsidR="003B609E" w:rsidRPr="00361CBC" w:rsidRDefault="003B609E" w:rsidP="003B609E">
      <w:pPr>
        <w:jc w:val="both"/>
        <w:rPr>
          <w:b/>
          <w:bCs/>
          <w:sz w:val="22"/>
          <w:szCs w:val="24"/>
        </w:rPr>
      </w:pPr>
      <w:r w:rsidRPr="00361CBC">
        <w:rPr>
          <w:b/>
          <w:bCs/>
          <w:sz w:val="22"/>
          <w:szCs w:val="24"/>
        </w:rPr>
        <w:t xml:space="preserve">Proposal </w:t>
      </w:r>
      <w:r>
        <w:rPr>
          <w:b/>
          <w:bCs/>
          <w:sz w:val="22"/>
          <w:szCs w:val="24"/>
        </w:rPr>
        <w:t>4</w:t>
      </w:r>
      <w:r w:rsidRPr="00361CBC">
        <w:rPr>
          <w:b/>
          <w:bCs/>
          <w:sz w:val="22"/>
          <w:szCs w:val="24"/>
        </w:rPr>
        <w:t>: RAN4 not study the impact of cluster-based and non-cluster-based inter-frequency prediction scenarios.</w:t>
      </w:r>
    </w:p>
    <w:p w14:paraId="1C76870C" w14:textId="7664A285" w:rsidR="004D51BD" w:rsidRPr="003B609E" w:rsidRDefault="003B609E" w:rsidP="003B609E">
      <w:pPr>
        <w:rPr>
          <w:b/>
          <w:bCs/>
          <w:sz w:val="22"/>
          <w:szCs w:val="24"/>
        </w:rPr>
      </w:pPr>
      <w:r w:rsidRPr="00361CBC">
        <w:rPr>
          <w:b/>
          <w:bCs/>
          <w:sz w:val="22"/>
          <w:szCs w:val="24"/>
        </w:rPr>
        <w:t xml:space="preserve">Proposal </w:t>
      </w:r>
      <w:r>
        <w:rPr>
          <w:b/>
          <w:bCs/>
          <w:sz w:val="22"/>
          <w:szCs w:val="24"/>
        </w:rPr>
        <w:t>5</w:t>
      </w:r>
      <w:r w:rsidRPr="00361CBC">
        <w:rPr>
          <w:b/>
          <w:bCs/>
          <w:sz w:val="22"/>
          <w:szCs w:val="24"/>
        </w:rPr>
        <w:t xml:space="preserve">: </w:t>
      </w:r>
      <w:r>
        <w:rPr>
          <w:b/>
          <w:bCs/>
          <w:sz w:val="22"/>
          <w:szCs w:val="24"/>
        </w:rPr>
        <w:t>No need to</w:t>
      </w:r>
      <w:r w:rsidRPr="00361CBC">
        <w:rPr>
          <w:b/>
          <w:bCs/>
          <w:sz w:val="22"/>
          <w:szCs w:val="24"/>
        </w:rPr>
        <w:t xml:space="preserve"> define separate requirement for clustered and non-clustered approach in inter frequency prediction scenario</w:t>
      </w:r>
      <w:r>
        <w:rPr>
          <w:b/>
          <w:bCs/>
          <w:sz w:val="22"/>
          <w:szCs w:val="24"/>
        </w:rPr>
        <w:t>.</w:t>
      </w:r>
    </w:p>
    <w:p w14:paraId="2728BD7F" w14:textId="77777777" w:rsidR="004D51BD" w:rsidRDefault="004D51BD" w:rsidP="006130A2">
      <w:pPr>
        <w:jc w:val="both"/>
        <w:rPr>
          <w:sz w:val="22"/>
          <w:szCs w:val="24"/>
          <w:lang w:val="en-US"/>
        </w:rPr>
      </w:pPr>
    </w:p>
    <w:bookmarkEnd w:id="16"/>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5"/>
    </w:p>
    <w:p w14:paraId="16CA53C6" w14:textId="4BF9FC37" w:rsidR="003D2DCA" w:rsidRPr="0026255F" w:rsidRDefault="0026255F" w:rsidP="0026255F">
      <w:pPr>
        <w:pStyle w:val="ListParagraph"/>
        <w:numPr>
          <w:ilvl w:val="0"/>
          <w:numId w:val="5"/>
        </w:numPr>
        <w:rPr>
          <w:rFonts w:cs="Times New Roman"/>
          <w:color w:val="000000"/>
          <w:sz w:val="22"/>
          <w:lang w:val="en-US" w:eastAsia="zh-CN"/>
        </w:rPr>
      </w:pPr>
      <w:bookmarkStart w:id="17" w:name="_Hlk206061504"/>
      <w:r w:rsidRPr="0026255F">
        <w:rPr>
          <w:rFonts w:eastAsia="SimSun" w:cs="Times New Roman"/>
          <w:sz w:val="22"/>
          <w:lang w:val="en-US" w:eastAsia="zh-CN"/>
        </w:rPr>
        <w:t>R4-2508268</w:t>
      </w:r>
      <w:r w:rsidR="00537EF0" w:rsidRPr="0026255F">
        <w:rPr>
          <w:rFonts w:eastAsia="SimSun" w:cs="Times New Roman"/>
          <w:sz w:val="22"/>
          <w:lang w:val="en-US" w:eastAsia="zh-CN"/>
        </w:rPr>
        <w:t xml:space="preserve">, </w:t>
      </w:r>
      <w:r w:rsidRPr="0026255F">
        <w:rPr>
          <w:rFonts w:eastAsia="SimSun" w:cs="Times New Roman"/>
          <w:sz w:val="22"/>
          <w:lang w:val="en-US" w:eastAsia="zh-CN"/>
        </w:rPr>
        <w:t>WF on AI/ML Mobility Part 1</w:t>
      </w:r>
      <w:r w:rsidR="00537EF0" w:rsidRPr="0026255F">
        <w:rPr>
          <w:rFonts w:cs="Times New Roman"/>
          <w:color w:val="000000"/>
          <w:sz w:val="22"/>
          <w:lang w:eastAsia="zh-CN"/>
        </w:rPr>
        <w:t xml:space="preserve"> (Nokia), </w:t>
      </w:r>
      <w:r w:rsidRPr="0026255F">
        <w:rPr>
          <w:rFonts w:cs="Times New Roman"/>
          <w:color w:val="000000"/>
          <w:sz w:val="22"/>
          <w:lang w:val="en-US" w:eastAsia="zh-CN"/>
        </w:rPr>
        <w:t>Malta, Malta, May 19th – May 23rd, 2025.</w:t>
      </w:r>
    </w:p>
    <w:p w14:paraId="087C4A1D" w14:textId="58F2B8A8" w:rsidR="00CF2D61" w:rsidRPr="0026255F" w:rsidRDefault="0026255F" w:rsidP="0026255F">
      <w:pPr>
        <w:pStyle w:val="ListParagraph"/>
        <w:numPr>
          <w:ilvl w:val="0"/>
          <w:numId w:val="5"/>
        </w:numPr>
        <w:rPr>
          <w:rFonts w:eastAsia="SimSun"/>
          <w:sz w:val="22"/>
          <w:lang w:eastAsia="zh-CN"/>
        </w:rPr>
      </w:pPr>
      <w:r w:rsidRPr="0026255F">
        <w:rPr>
          <w:rFonts w:eastAsia="SimSun"/>
          <w:sz w:val="22"/>
          <w:lang w:eastAsia="zh-CN"/>
        </w:rPr>
        <w:t>RP-250970</w:t>
      </w:r>
      <w:r w:rsidR="00537EF0" w:rsidRPr="0026255F">
        <w:rPr>
          <w:rFonts w:eastAsia="SimSun"/>
          <w:sz w:val="22"/>
          <w:lang w:eastAsia="zh-CN"/>
        </w:rPr>
        <w:t xml:space="preserve">, Status Report to TSG, </w:t>
      </w:r>
      <w:r w:rsidRPr="0026255F">
        <w:rPr>
          <w:rFonts w:eastAsia="SimSun" w:hint="eastAsia"/>
          <w:sz w:val="22"/>
          <w:lang w:eastAsia="zh-CN"/>
        </w:rPr>
        <w:t>Prague</w:t>
      </w:r>
      <w:r w:rsidRPr="0026255F">
        <w:rPr>
          <w:rFonts w:eastAsia="SimSun"/>
          <w:sz w:val="22"/>
          <w:lang w:eastAsia="zh-CN"/>
        </w:rPr>
        <w:t>, Czech Republic, June 9-13, 2025.</w:t>
      </w:r>
    </w:p>
    <w:p w14:paraId="6426B915" w14:textId="48C2DC0D" w:rsidR="00C34B38" w:rsidRPr="0026255F" w:rsidRDefault="00537EF0" w:rsidP="0026255F">
      <w:pPr>
        <w:pStyle w:val="ListParagraph"/>
        <w:numPr>
          <w:ilvl w:val="0"/>
          <w:numId w:val="5"/>
        </w:numPr>
        <w:rPr>
          <w:rFonts w:eastAsia="SimSun"/>
          <w:sz w:val="22"/>
          <w:lang w:val="en-US" w:eastAsia="zh-CN"/>
        </w:rPr>
      </w:pPr>
      <w:r w:rsidRPr="0026255F">
        <w:rPr>
          <w:rFonts w:eastAsia="SimSun"/>
          <w:sz w:val="22"/>
          <w:lang w:eastAsia="zh-CN"/>
        </w:rPr>
        <w:t xml:space="preserve">R4-2415968, </w:t>
      </w:r>
      <w:r w:rsidRPr="0026255F">
        <w:rPr>
          <w:rFonts w:eastAsia="SimSun"/>
          <w:sz w:val="22"/>
          <w:lang w:val="en-US" w:eastAsia="zh-CN"/>
        </w:rPr>
        <w:t>Work Plan for RAN4 Discussions on AI/ML for Mobility in NR, Nokia, OPPO, MediaTek, Hefei, China, Oct 14 – Oct 18, 2024</w:t>
      </w:r>
      <w:bookmarkEnd w:id="17"/>
    </w:p>
    <w:sectPr w:rsidR="00C34B38" w:rsidRPr="0026255F"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86BFD" w14:textId="77777777" w:rsidR="00DD1A40" w:rsidRDefault="00DD1A40" w:rsidP="00001C9B">
      <w:pPr>
        <w:spacing w:after="0" w:line="240" w:lineRule="auto"/>
      </w:pPr>
      <w:r>
        <w:separator/>
      </w:r>
    </w:p>
  </w:endnote>
  <w:endnote w:type="continuationSeparator" w:id="0">
    <w:p w14:paraId="4AD196B9" w14:textId="77777777" w:rsidR="00DD1A40" w:rsidRDefault="00DD1A40" w:rsidP="00001C9B">
      <w:pPr>
        <w:spacing w:after="0" w:line="240" w:lineRule="auto"/>
      </w:pPr>
      <w:r>
        <w:continuationSeparator/>
      </w:r>
    </w:p>
  </w:endnote>
  <w:endnote w:type="continuationNotice" w:id="1">
    <w:p w14:paraId="652F70E8" w14:textId="77777777" w:rsidR="00DD1A40" w:rsidRDefault="00DD1A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370A3" w14:textId="77777777" w:rsidR="00DD1A40" w:rsidRDefault="00DD1A40" w:rsidP="00001C9B">
      <w:pPr>
        <w:spacing w:after="0" w:line="240" w:lineRule="auto"/>
      </w:pPr>
      <w:r>
        <w:separator/>
      </w:r>
    </w:p>
  </w:footnote>
  <w:footnote w:type="continuationSeparator" w:id="0">
    <w:p w14:paraId="2D28B23B" w14:textId="77777777" w:rsidR="00DD1A40" w:rsidRDefault="00DD1A40" w:rsidP="00001C9B">
      <w:pPr>
        <w:spacing w:after="0" w:line="240" w:lineRule="auto"/>
      </w:pPr>
      <w:r>
        <w:continuationSeparator/>
      </w:r>
    </w:p>
  </w:footnote>
  <w:footnote w:type="continuationNotice" w:id="1">
    <w:p w14:paraId="77464D7D" w14:textId="77777777" w:rsidR="00DD1A40" w:rsidRDefault="00DD1A4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58224E"/>
    <w:multiLevelType w:val="multilevel"/>
    <w:tmpl w:val="628AA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756246"/>
    <w:multiLevelType w:val="hybridMultilevel"/>
    <w:tmpl w:val="C04A7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4D79F8"/>
    <w:multiLevelType w:val="hybridMultilevel"/>
    <w:tmpl w:val="F0D0E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07557A"/>
    <w:multiLevelType w:val="multilevel"/>
    <w:tmpl w:val="E0001C6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42A4040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FE77F0"/>
    <w:multiLevelType w:val="hybridMultilevel"/>
    <w:tmpl w:val="1A3E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0C6EE1"/>
    <w:multiLevelType w:val="multilevel"/>
    <w:tmpl w:val="71647D7C"/>
    <w:lvl w:ilvl="0">
      <w:start w:val="1"/>
      <w:numFmt w:val="bullet"/>
      <w:lvlText w:val=""/>
      <w:lvlJc w:val="left"/>
      <w:pPr>
        <w:ind w:left="936" w:firstLine="504"/>
      </w:pPr>
      <w:rPr>
        <w:rFonts w:ascii="Wingdings" w:hAnsi="Wingdings"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6"/>
  </w:num>
  <w:num w:numId="2">
    <w:abstractNumId w:val="12"/>
  </w:num>
  <w:num w:numId="3">
    <w:abstractNumId w:val="15"/>
  </w:num>
  <w:num w:numId="4">
    <w:abstractNumId w:val="22"/>
  </w:num>
  <w:num w:numId="5">
    <w:abstractNumId w:val="18"/>
  </w:num>
  <w:num w:numId="6">
    <w:abstractNumId w:val="0"/>
  </w:num>
  <w:num w:numId="7">
    <w:abstractNumId w:val="9"/>
  </w:num>
  <w:num w:numId="8">
    <w:abstractNumId w:val="23"/>
  </w:num>
  <w:num w:numId="9">
    <w:abstractNumId w:val="13"/>
  </w:num>
  <w:num w:numId="10">
    <w:abstractNumId w:val="3"/>
  </w:num>
  <w:num w:numId="11">
    <w:abstractNumId w:val="1"/>
  </w:num>
  <w:num w:numId="12">
    <w:abstractNumId w:val="21"/>
  </w:num>
  <w:num w:numId="13">
    <w:abstractNumId w:val="10"/>
  </w:num>
  <w:num w:numId="14">
    <w:abstractNumId w:val="22"/>
  </w:num>
  <w:num w:numId="15">
    <w:abstractNumId w:val="22"/>
  </w:num>
  <w:num w:numId="16">
    <w:abstractNumId w:val="17"/>
  </w:num>
  <w:num w:numId="17">
    <w:abstractNumId w:val="22"/>
  </w:num>
  <w:num w:numId="18">
    <w:abstractNumId w:val="22"/>
  </w:num>
  <w:num w:numId="19">
    <w:abstractNumId w:val="8"/>
  </w:num>
  <w:num w:numId="20">
    <w:abstractNumId w:val="11"/>
  </w:num>
  <w:num w:numId="21">
    <w:abstractNumId w:val="6"/>
  </w:num>
  <w:num w:numId="22">
    <w:abstractNumId w:val="22"/>
  </w:num>
  <w:num w:numId="23">
    <w:abstractNumId w:val="22"/>
  </w:num>
  <w:num w:numId="24">
    <w:abstractNumId w:val="20"/>
  </w:num>
  <w:num w:numId="25">
    <w:abstractNumId w:val="14"/>
  </w:num>
  <w:num w:numId="26">
    <w:abstractNumId w:val="19"/>
  </w:num>
  <w:num w:numId="27">
    <w:abstractNumId w:val="22"/>
  </w:num>
  <w:num w:numId="28">
    <w:abstractNumId w:val="4"/>
  </w:num>
  <w:num w:numId="29">
    <w:abstractNumId w:val="22"/>
  </w:num>
  <w:num w:numId="30">
    <w:abstractNumId w:val="24"/>
  </w:num>
  <w:num w:numId="31">
    <w:abstractNumId w:val="7"/>
  </w:num>
  <w:num w:numId="32">
    <w:abstractNumId w:val="5"/>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
  </w:num>
  <w:num w:numId="38">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284"/>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51"/>
    <w:rsid w:val="000A6ED6"/>
    <w:rsid w:val="000A7204"/>
    <w:rsid w:val="000A7495"/>
    <w:rsid w:val="000A7984"/>
    <w:rsid w:val="000A79E7"/>
    <w:rsid w:val="000A7BB6"/>
    <w:rsid w:val="000A7F53"/>
    <w:rsid w:val="000A7FDE"/>
    <w:rsid w:val="000B0043"/>
    <w:rsid w:val="000B0056"/>
    <w:rsid w:val="000B0760"/>
    <w:rsid w:val="000B0EE7"/>
    <w:rsid w:val="000B2D32"/>
    <w:rsid w:val="000B30E7"/>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869"/>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10057D"/>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2AE"/>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73E"/>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167C"/>
    <w:rsid w:val="00132081"/>
    <w:rsid w:val="001324AF"/>
    <w:rsid w:val="00132998"/>
    <w:rsid w:val="00132D00"/>
    <w:rsid w:val="00132F6A"/>
    <w:rsid w:val="00132F96"/>
    <w:rsid w:val="001333F9"/>
    <w:rsid w:val="00133913"/>
    <w:rsid w:val="00133927"/>
    <w:rsid w:val="0013467C"/>
    <w:rsid w:val="00134932"/>
    <w:rsid w:val="0013597D"/>
    <w:rsid w:val="00136F1C"/>
    <w:rsid w:val="00137269"/>
    <w:rsid w:val="0013732D"/>
    <w:rsid w:val="00140221"/>
    <w:rsid w:val="00140BFD"/>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4C0"/>
    <w:rsid w:val="00153F33"/>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556"/>
    <w:rsid w:val="00166645"/>
    <w:rsid w:val="001667DF"/>
    <w:rsid w:val="00166C75"/>
    <w:rsid w:val="00166DCC"/>
    <w:rsid w:val="001673B6"/>
    <w:rsid w:val="001676A0"/>
    <w:rsid w:val="0016775C"/>
    <w:rsid w:val="00167BE5"/>
    <w:rsid w:val="001702F0"/>
    <w:rsid w:val="0017045D"/>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2B7"/>
    <w:rsid w:val="001C6B5D"/>
    <w:rsid w:val="001C6F0E"/>
    <w:rsid w:val="001C74DD"/>
    <w:rsid w:val="001C7B31"/>
    <w:rsid w:val="001C7B9E"/>
    <w:rsid w:val="001C7FB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B6A"/>
    <w:rsid w:val="0023409D"/>
    <w:rsid w:val="00234465"/>
    <w:rsid w:val="002356D6"/>
    <w:rsid w:val="00235C1B"/>
    <w:rsid w:val="00235C74"/>
    <w:rsid w:val="00235F5C"/>
    <w:rsid w:val="0023640D"/>
    <w:rsid w:val="002374C9"/>
    <w:rsid w:val="00237C41"/>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FA3"/>
    <w:rsid w:val="00260278"/>
    <w:rsid w:val="00260788"/>
    <w:rsid w:val="00260A04"/>
    <w:rsid w:val="00261133"/>
    <w:rsid w:val="00261C15"/>
    <w:rsid w:val="00261D8B"/>
    <w:rsid w:val="00261F97"/>
    <w:rsid w:val="0026210C"/>
    <w:rsid w:val="0026255F"/>
    <w:rsid w:val="002631A4"/>
    <w:rsid w:val="002645BC"/>
    <w:rsid w:val="002654DE"/>
    <w:rsid w:val="00265520"/>
    <w:rsid w:val="00265D27"/>
    <w:rsid w:val="00265E7F"/>
    <w:rsid w:val="00265E97"/>
    <w:rsid w:val="002661EE"/>
    <w:rsid w:val="00266238"/>
    <w:rsid w:val="0026679D"/>
    <w:rsid w:val="00266D57"/>
    <w:rsid w:val="00266E0B"/>
    <w:rsid w:val="0026710F"/>
    <w:rsid w:val="002676F2"/>
    <w:rsid w:val="00267979"/>
    <w:rsid w:val="002705AE"/>
    <w:rsid w:val="00270845"/>
    <w:rsid w:val="00270AED"/>
    <w:rsid w:val="00270FD2"/>
    <w:rsid w:val="002712D8"/>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6F8"/>
    <w:rsid w:val="00291802"/>
    <w:rsid w:val="00291DE7"/>
    <w:rsid w:val="00291DFF"/>
    <w:rsid w:val="00292622"/>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6DBA"/>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5A8"/>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1A1D"/>
    <w:rsid w:val="002D3457"/>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0804"/>
    <w:rsid w:val="002E12C7"/>
    <w:rsid w:val="002E1E35"/>
    <w:rsid w:val="002E1F62"/>
    <w:rsid w:val="002E2C13"/>
    <w:rsid w:val="002E2D9E"/>
    <w:rsid w:val="002E3361"/>
    <w:rsid w:val="002E369B"/>
    <w:rsid w:val="002E3705"/>
    <w:rsid w:val="002E39F8"/>
    <w:rsid w:val="002E3EB6"/>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AF6"/>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1CBC"/>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09E"/>
    <w:rsid w:val="003B6140"/>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47C"/>
    <w:rsid w:val="00422BDB"/>
    <w:rsid w:val="00422BE8"/>
    <w:rsid w:val="00422F65"/>
    <w:rsid w:val="00422F66"/>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E8A"/>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816"/>
    <w:rsid w:val="00457E55"/>
    <w:rsid w:val="00457F2B"/>
    <w:rsid w:val="00460239"/>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2B0E"/>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635"/>
    <w:rsid w:val="004D07D4"/>
    <w:rsid w:val="004D07E5"/>
    <w:rsid w:val="004D11A0"/>
    <w:rsid w:val="004D141F"/>
    <w:rsid w:val="004D1D25"/>
    <w:rsid w:val="004D206B"/>
    <w:rsid w:val="004D2D88"/>
    <w:rsid w:val="004D337D"/>
    <w:rsid w:val="004D3C32"/>
    <w:rsid w:val="004D46D6"/>
    <w:rsid w:val="004D4F7D"/>
    <w:rsid w:val="004D51B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A22"/>
    <w:rsid w:val="00560BF0"/>
    <w:rsid w:val="00561648"/>
    <w:rsid w:val="00562492"/>
    <w:rsid w:val="00562945"/>
    <w:rsid w:val="00562B9E"/>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972"/>
    <w:rsid w:val="005E2A9F"/>
    <w:rsid w:val="005E2C42"/>
    <w:rsid w:val="005E33BB"/>
    <w:rsid w:val="005E34B8"/>
    <w:rsid w:val="005E3816"/>
    <w:rsid w:val="005E3830"/>
    <w:rsid w:val="005E3E70"/>
    <w:rsid w:val="005E42F3"/>
    <w:rsid w:val="005E4300"/>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D1"/>
    <w:rsid w:val="006274C0"/>
    <w:rsid w:val="00627F44"/>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75F"/>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7082"/>
    <w:rsid w:val="00670024"/>
    <w:rsid w:val="006705AF"/>
    <w:rsid w:val="00671117"/>
    <w:rsid w:val="00671823"/>
    <w:rsid w:val="00671937"/>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206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22A4"/>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BA7"/>
    <w:rsid w:val="00751515"/>
    <w:rsid w:val="00751613"/>
    <w:rsid w:val="0075174A"/>
    <w:rsid w:val="00751AA9"/>
    <w:rsid w:val="00751D39"/>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982"/>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414"/>
    <w:rsid w:val="007B5A27"/>
    <w:rsid w:val="007B5CAD"/>
    <w:rsid w:val="007B603F"/>
    <w:rsid w:val="007B6341"/>
    <w:rsid w:val="007B673B"/>
    <w:rsid w:val="007B6CE6"/>
    <w:rsid w:val="007B6E17"/>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64A9"/>
    <w:rsid w:val="007C704D"/>
    <w:rsid w:val="007C78D8"/>
    <w:rsid w:val="007D00A8"/>
    <w:rsid w:val="007D03AC"/>
    <w:rsid w:val="007D0536"/>
    <w:rsid w:val="007D0850"/>
    <w:rsid w:val="007D13DC"/>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EB4"/>
    <w:rsid w:val="008161FD"/>
    <w:rsid w:val="00816814"/>
    <w:rsid w:val="00816C80"/>
    <w:rsid w:val="00816EF7"/>
    <w:rsid w:val="0081797B"/>
    <w:rsid w:val="00817A58"/>
    <w:rsid w:val="00820877"/>
    <w:rsid w:val="00820C03"/>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3A91"/>
    <w:rsid w:val="008342EB"/>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23A"/>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41B"/>
    <w:rsid w:val="008D3FB6"/>
    <w:rsid w:val="008D4319"/>
    <w:rsid w:val="008D4441"/>
    <w:rsid w:val="008D4FAE"/>
    <w:rsid w:val="008D5A17"/>
    <w:rsid w:val="008D5A50"/>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07CF"/>
    <w:rsid w:val="008F1173"/>
    <w:rsid w:val="008F1250"/>
    <w:rsid w:val="008F1391"/>
    <w:rsid w:val="008F1804"/>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C8F"/>
    <w:rsid w:val="00946E32"/>
    <w:rsid w:val="009470EE"/>
    <w:rsid w:val="00950AB1"/>
    <w:rsid w:val="00950C6C"/>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609B4"/>
    <w:rsid w:val="00960D11"/>
    <w:rsid w:val="00960F49"/>
    <w:rsid w:val="0096124F"/>
    <w:rsid w:val="00961E96"/>
    <w:rsid w:val="00961F3B"/>
    <w:rsid w:val="00962183"/>
    <w:rsid w:val="00962721"/>
    <w:rsid w:val="00962925"/>
    <w:rsid w:val="00963D89"/>
    <w:rsid w:val="00963ECB"/>
    <w:rsid w:val="00963FD7"/>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2A1"/>
    <w:rsid w:val="009D234E"/>
    <w:rsid w:val="009D249C"/>
    <w:rsid w:val="009D34E6"/>
    <w:rsid w:val="009D4199"/>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412"/>
    <w:rsid w:val="00A469AC"/>
    <w:rsid w:val="00A46C2A"/>
    <w:rsid w:val="00A47178"/>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2808"/>
    <w:rsid w:val="00A735B9"/>
    <w:rsid w:val="00A743EF"/>
    <w:rsid w:val="00A74467"/>
    <w:rsid w:val="00A74DE0"/>
    <w:rsid w:val="00A75447"/>
    <w:rsid w:val="00A75861"/>
    <w:rsid w:val="00A75BEF"/>
    <w:rsid w:val="00A7611C"/>
    <w:rsid w:val="00A76563"/>
    <w:rsid w:val="00A76FCA"/>
    <w:rsid w:val="00A772B4"/>
    <w:rsid w:val="00A77828"/>
    <w:rsid w:val="00A77F2A"/>
    <w:rsid w:val="00A80420"/>
    <w:rsid w:val="00A808F3"/>
    <w:rsid w:val="00A80A05"/>
    <w:rsid w:val="00A80B86"/>
    <w:rsid w:val="00A817CB"/>
    <w:rsid w:val="00A81877"/>
    <w:rsid w:val="00A81F6B"/>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D2D"/>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5C27"/>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2E9C"/>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46"/>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F34"/>
    <w:rsid w:val="00BA0339"/>
    <w:rsid w:val="00BA076B"/>
    <w:rsid w:val="00BA0A8A"/>
    <w:rsid w:val="00BA1E9E"/>
    <w:rsid w:val="00BA308C"/>
    <w:rsid w:val="00BA31A5"/>
    <w:rsid w:val="00BA40FD"/>
    <w:rsid w:val="00BA4793"/>
    <w:rsid w:val="00BA48A3"/>
    <w:rsid w:val="00BA5D74"/>
    <w:rsid w:val="00BA62C1"/>
    <w:rsid w:val="00BA6938"/>
    <w:rsid w:val="00BA69C5"/>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5F65"/>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CFC"/>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2DA0"/>
    <w:rsid w:val="00BF3344"/>
    <w:rsid w:val="00BF4349"/>
    <w:rsid w:val="00BF44C2"/>
    <w:rsid w:val="00BF498C"/>
    <w:rsid w:val="00BF5289"/>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49F7"/>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FC5"/>
    <w:rsid w:val="00C334A5"/>
    <w:rsid w:val="00C33652"/>
    <w:rsid w:val="00C336FF"/>
    <w:rsid w:val="00C3442D"/>
    <w:rsid w:val="00C3468A"/>
    <w:rsid w:val="00C34B38"/>
    <w:rsid w:val="00C34C10"/>
    <w:rsid w:val="00C34CF2"/>
    <w:rsid w:val="00C35022"/>
    <w:rsid w:val="00C35065"/>
    <w:rsid w:val="00C35173"/>
    <w:rsid w:val="00C3521C"/>
    <w:rsid w:val="00C35585"/>
    <w:rsid w:val="00C3568F"/>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2B6B"/>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1DF"/>
    <w:rsid w:val="00C525BB"/>
    <w:rsid w:val="00C52895"/>
    <w:rsid w:val="00C52CE9"/>
    <w:rsid w:val="00C5308C"/>
    <w:rsid w:val="00C54585"/>
    <w:rsid w:val="00C54A36"/>
    <w:rsid w:val="00C54FDB"/>
    <w:rsid w:val="00C55FB6"/>
    <w:rsid w:val="00C563A3"/>
    <w:rsid w:val="00C565BE"/>
    <w:rsid w:val="00C5705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A0"/>
    <w:rsid w:val="00C853D6"/>
    <w:rsid w:val="00C85515"/>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3BA"/>
    <w:rsid w:val="00CA0ADA"/>
    <w:rsid w:val="00CA0EC5"/>
    <w:rsid w:val="00CA180C"/>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FF8"/>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150"/>
    <w:rsid w:val="00D155C2"/>
    <w:rsid w:val="00D157A1"/>
    <w:rsid w:val="00D165A8"/>
    <w:rsid w:val="00D16B92"/>
    <w:rsid w:val="00D16F5C"/>
    <w:rsid w:val="00D202AD"/>
    <w:rsid w:val="00D206EE"/>
    <w:rsid w:val="00D2090D"/>
    <w:rsid w:val="00D22FBA"/>
    <w:rsid w:val="00D23226"/>
    <w:rsid w:val="00D2375F"/>
    <w:rsid w:val="00D240E7"/>
    <w:rsid w:val="00D24585"/>
    <w:rsid w:val="00D25D61"/>
    <w:rsid w:val="00D265A5"/>
    <w:rsid w:val="00D269FE"/>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46A"/>
    <w:rsid w:val="00D6671B"/>
    <w:rsid w:val="00D66873"/>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BE8"/>
    <w:rsid w:val="00D74EBE"/>
    <w:rsid w:val="00D75413"/>
    <w:rsid w:val="00D7583C"/>
    <w:rsid w:val="00D75F74"/>
    <w:rsid w:val="00D7615E"/>
    <w:rsid w:val="00D762F6"/>
    <w:rsid w:val="00D763BE"/>
    <w:rsid w:val="00D77369"/>
    <w:rsid w:val="00D7738D"/>
    <w:rsid w:val="00D77428"/>
    <w:rsid w:val="00D774D1"/>
    <w:rsid w:val="00D7758D"/>
    <w:rsid w:val="00D80461"/>
    <w:rsid w:val="00D805AF"/>
    <w:rsid w:val="00D8065C"/>
    <w:rsid w:val="00D8081F"/>
    <w:rsid w:val="00D80E3A"/>
    <w:rsid w:val="00D80F63"/>
    <w:rsid w:val="00D80F65"/>
    <w:rsid w:val="00D81387"/>
    <w:rsid w:val="00D816B7"/>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1A40"/>
    <w:rsid w:val="00DD2176"/>
    <w:rsid w:val="00DD28A5"/>
    <w:rsid w:val="00DD2A84"/>
    <w:rsid w:val="00DD4710"/>
    <w:rsid w:val="00DD4CB8"/>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207C"/>
    <w:rsid w:val="00DE2CC1"/>
    <w:rsid w:val="00DE2CC9"/>
    <w:rsid w:val="00DE337A"/>
    <w:rsid w:val="00DE3C3B"/>
    <w:rsid w:val="00DE3EC8"/>
    <w:rsid w:val="00DE42CC"/>
    <w:rsid w:val="00DE47BC"/>
    <w:rsid w:val="00DE4A30"/>
    <w:rsid w:val="00DE4EF3"/>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E7"/>
    <w:rsid w:val="00E23854"/>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5B0"/>
    <w:rsid w:val="00E34F26"/>
    <w:rsid w:val="00E3526B"/>
    <w:rsid w:val="00E358DE"/>
    <w:rsid w:val="00E37760"/>
    <w:rsid w:val="00E40623"/>
    <w:rsid w:val="00E40730"/>
    <w:rsid w:val="00E4108C"/>
    <w:rsid w:val="00E42021"/>
    <w:rsid w:val="00E4276D"/>
    <w:rsid w:val="00E43691"/>
    <w:rsid w:val="00E437D2"/>
    <w:rsid w:val="00E43BF9"/>
    <w:rsid w:val="00E4467C"/>
    <w:rsid w:val="00E45B2F"/>
    <w:rsid w:val="00E45DD4"/>
    <w:rsid w:val="00E45F27"/>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674"/>
    <w:rsid w:val="00E811A0"/>
    <w:rsid w:val="00E81DA1"/>
    <w:rsid w:val="00E81F34"/>
    <w:rsid w:val="00E821E2"/>
    <w:rsid w:val="00E82930"/>
    <w:rsid w:val="00E82979"/>
    <w:rsid w:val="00E82B94"/>
    <w:rsid w:val="00E8325F"/>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9C1"/>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675"/>
    <w:rsid w:val="00F0307F"/>
    <w:rsid w:val="00F03776"/>
    <w:rsid w:val="00F038D8"/>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27494"/>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3DFDFDA"/>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43B8A"/>
    <w:rsid w:val="38AB7086"/>
    <w:rsid w:val="38C1CC79"/>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D39EB24"/>
    <w:rsid w:val="6F46FC46"/>
    <w:rsid w:val="6F8C38D3"/>
    <w:rsid w:val="703FD612"/>
    <w:rsid w:val="70452DA5"/>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9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62F1CF0-4E60-4E0F-9C50-338B6F0CA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179</TotalTime>
  <Pages>3</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23</cp:revision>
  <dcterms:created xsi:type="dcterms:W3CDTF">2025-07-23T06:29:00Z</dcterms:created>
  <dcterms:modified xsi:type="dcterms:W3CDTF">2025-08-15T07:37:00Z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0x010100F0EDFFE801F5C14E968DC363DEC0C6C4</vt:lpwstr>
  </property>
  <property fmtid="{D5CDD505-2E9C-101B-9397-08002B2CF9AE}" pid="10" name="_dlc_DocIdItemGuid">
    <vt:lpwstr>26b31f4f-dd34-4aff-b62e-78584dcd4f8e</vt:lpwstr>
  </property>
  <property fmtid="{D5CDD505-2E9C-101B-9397-08002B2CF9AE}" pid="11" name="MediaServiceImageTags">
    <vt:lpwstr/>
  </property>
</Properties>
</file>