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76824" w14:textId="1E88F8C7" w:rsidR="002004E5" w:rsidRPr="002004E5" w:rsidRDefault="00C05077" w:rsidP="002004E5">
      <w:pPr>
        <w:pStyle w:val="CRCoverPage"/>
        <w:outlineLvl w:val="0"/>
        <w:rPr>
          <w:b/>
          <w:sz w:val="24"/>
          <w:szCs w:val="24"/>
        </w:rPr>
      </w:pPr>
      <w:bookmarkStart w:id="0" w:name="OLE_LINK138"/>
      <w:bookmarkStart w:id="1" w:name="OLE_LINK137"/>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r>
      <w:r w:rsidRPr="002004E5">
        <w:rPr>
          <w:b/>
          <w:sz w:val="24"/>
          <w:szCs w:val="24"/>
        </w:rPr>
        <w:t xml:space="preserve">    </w:t>
      </w:r>
      <w:r w:rsidR="002004E5" w:rsidRPr="002004E5">
        <w:rPr>
          <w:b/>
          <w:sz w:val="24"/>
          <w:szCs w:val="24"/>
        </w:rPr>
        <w:t xml:space="preserve"> </w:t>
      </w:r>
      <w:r w:rsidR="002004E5" w:rsidRPr="002004E5">
        <w:rPr>
          <w:b/>
          <w:sz w:val="24"/>
          <w:szCs w:val="24"/>
        </w:rPr>
        <w:t>R4-2509456</w:t>
      </w:r>
    </w:p>
    <w:p w14:paraId="0A756258" w14:textId="3FE56C47" w:rsidR="00C05077" w:rsidRDefault="00C05077" w:rsidP="002004E5">
      <w:pPr>
        <w:pStyle w:val="CRCoverPage"/>
        <w:outlineLvl w:val="0"/>
        <w:rPr>
          <w:b/>
          <w:sz w:val="24"/>
        </w:rPr>
      </w:pPr>
      <w:r>
        <w:rPr>
          <w:rFonts w:hint="eastAsia"/>
          <w:b/>
          <w:sz w:val="24"/>
        </w:rPr>
        <w:t>B</w:t>
      </w:r>
      <w:proofErr w:type="spellStart"/>
      <w:r>
        <w:rPr>
          <w:b/>
          <w:sz w:val="24"/>
          <w:lang w:val="en-US"/>
        </w:rPr>
        <w:t>angalore</w:t>
      </w:r>
      <w:proofErr w:type="spellEnd"/>
      <w:r>
        <w:rPr>
          <w:b/>
          <w:sz w:val="24"/>
        </w:rPr>
        <w:t xml:space="preserve">, India, 25 – 29 </w:t>
      </w:r>
      <w:proofErr w:type="gramStart"/>
      <w:r>
        <w:rPr>
          <w:b/>
          <w:sz w:val="24"/>
        </w:rPr>
        <w:t>August,</w:t>
      </w:r>
      <w:proofErr w:type="gramEnd"/>
      <w:r>
        <w:rPr>
          <w:b/>
          <w:sz w:val="24"/>
        </w:rPr>
        <w:t xml:space="preserve"> 2025</w:t>
      </w:r>
    </w:p>
    <w:p w14:paraId="77D424C8" w14:textId="77777777" w:rsidR="00E310D5" w:rsidRPr="00EE49AB" w:rsidRDefault="00E310D5">
      <w:pPr>
        <w:pStyle w:val="3GPPHeader"/>
        <w:rPr>
          <w:rFonts w:ascii="Arial" w:hAnsi="Arial" w:cs="Arial"/>
          <w:color w:val="FF0000"/>
          <w:lang w:val="en-US" w:eastAsia="zh-TW"/>
        </w:rPr>
      </w:pPr>
    </w:p>
    <w:p w14:paraId="20940F2F" w14:textId="795534E4" w:rsidR="00E310D5" w:rsidRPr="006276E0" w:rsidRDefault="004552DD">
      <w:pPr>
        <w:pStyle w:val="3GPPHeader"/>
        <w:rPr>
          <w:rFonts w:ascii="Arial" w:hAnsi="Arial" w:cs="Arial"/>
          <w:lang w:val="en-CN"/>
        </w:rPr>
      </w:pPr>
      <w:r w:rsidRPr="00EE49AB">
        <w:rPr>
          <w:rFonts w:ascii="Arial" w:hAnsi="Arial" w:cs="Arial"/>
          <w:lang w:val="en-US"/>
        </w:rPr>
        <w:t>Agenda Item:</w:t>
      </w:r>
      <w:r w:rsidRPr="00EE49AB">
        <w:rPr>
          <w:rFonts w:ascii="Arial" w:hAnsi="Arial" w:cs="Arial"/>
          <w:lang w:val="en-US"/>
        </w:rPr>
        <w:tab/>
      </w:r>
      <w:r w:rsidR="006276E0" w:rsidRPr="006276E0">
        <w:rPr>
          <w:rFonts w:ascii="Arial" w:hAnsi="Arial" w:cs="Arial"/>
          <w:lang w:val="en-CN"/>
        </w:rPr>
        <w:t>7.2</w:t>
      </w:r>
      <w:r w:rsidR="00A77DB5">
        <w:rPr>
          <w:rFonts w:ascii="Arial" w:hAnsi="Arial" w:cs="Arial"/>
          <w:lang w:val="en-CN"/>
        </w:rPr>
        <w:t>5</w:t>
      </w:r>
      <w:r w:rsidR="006276E0" w:rsidRPr="006276E0">
        <w:rPr>
          <w:rFonts w:ascii="Arial" w:hAnsi="Arial" w:cs="Arial"/>
          <w:lang w:val="en-CN"/>
        </w:rPr>
        <w:t>.</w:t>
      </w:r>
      <w:r w:rsidR="00BB403A">
        <w:rPr>
          <w:rFonts w:ascii="Arial" w:hAnsi="Arial" w:cs="Arial"/>
          <w:lang w:val="en-CN"/>
        </w:rPr>
        <w:t>3</w:t>
      </w:r>
      <w:r w:rsidR="006276E0" w:rsidRPr="006276E0">
        <w:rPr>
          <w:rFonts w:ascii="Arial" w:hAnsi="Arial" w:cs="Arial"/>
          <w:lang w:val="en-CN"/>
        </w:rPr>
        <w:t>.1</w:t>
      </w:r>
    </w:p>
    <w:p w14:paraId="6B1741BB" w14:textId="5EFA0B03" w:rsidR="00E310D5" w:rsidRPr="00EE49AB" w:rsidRDefault="004552DD">
      <w:pPr>
        <w:pStyle w:val="3GPPHeader"/>
        <w:rPr>
          <w:rFonts w:ascii="Arial" w:hAnsi="Arial" w:cs="Arial"/>
          <w:lang w:val="en-US"/>
        </w:rPr>
      </w:pPr>
      <w:r w:rsidRPr="00EE49AB">
        <w:rPr>
          <w:rFonts w:ascii="Arial" w:hAnsi="Arial" w:cs="Arial"/>
          <w:lang w:val="en-US"/>
        </w:rPr>
        <w:t xml:space="preserve">Source: </w:t>
      </w:r>
      <w:r w:rsidRPr="00EE49AB">
        <w:rPr>
          <w:rFonts w:ascii="Arial" w:hAnsi="Arial" w:cs="Arial"/>
          <w:lang w:val="en-US"/>
        </w:rPr>
        <w:tab/>
        <w:t>Apple</w:t>
      </w:r>
    </w:p>
    <w:p w14:paraId="263C503D" w14:textId="72DEE9E2" w:rsidR="00B53F71" w:rsidRPr="00B53F71" w:rsidRDefault="004552DD" w:rsidP="00B53F71">
      <w:pPr>
        <w:pStyle w:val="3GPPHeaderArial"/>
        <w:tabs>
          <w:tab w:val="left" w:pos="1701"/>
        </w:tabs>
        <w:ind w:left="1701" w:hanging="1701"/>
        <w:rPr>
          <w:b/>
        </w:rPr>
      </w:pPr>
      <w:r w:rsidRPr="00EE49AB">
        <w:rPr>
          <w:b/>
        </w:rPr>
        <w:t>Title:</w:t>
      </w:r>
      <w:r w:rsidRPr="00EE49AB">
        <w:rPr>
          <w:b/>
        </w:rPr>
        <w:tab/>
      </w:r>
      <w:r w:rsidR="00B53F71" w:rsidRPr="00B53F71">
        <w:rPr>
          <w:b/>
        </w:rPr>
        <w:t>Discussion on event triggered L1 measurement reporting</w:t>
      </w:r>
    </w:p>
    <w:p w14:paraId="4F3BE61D" w14:textId="77777777" w:rsidR="00E310D5" w:rsidRPr="00EE49AB" w:rsidRDefault="00E310D5">
      <w:pPr>
        <w:pStyle w:val="3GPPHeaderArial"/>
        <w:tabs>
          <w:tab w:val="left" w:pos="1701"/>
        </w:tabs>
        <w:rPr>
          <w:b/>
          <w:lang w:eastAsia="zh-TW"/>
        </w:rPr>
      </w:pPr>
    </w:p>
    <w:p w14:paraId="47F7C6F8" w14:textId="48E636E8" w:rsidR="00E310D5" w:rsidRPr="00EE49AB" w:rsidRDefault="004552DD">
      <w:pPr>
        <w:pStyle w:val="3GPPHeader"/>
        <w:rPr>
          <w:rFonts w:ascii="Arial" w:hAnsi="Arial" w:cs="Arial"/>
          <w:lang w:val="en-US"/>
        </w:rPr>
      </w:pPr>
      <w:r w:rsidRPr="00EE49AB">
        <w:rPr>
          <w:rFonts w:ascii="Arial" w:hAnsi="Arial" w:cs="Arial"/>
          <w:lang w:val="en-US"/>
        </w:rPr>
        <w:t>Document for:</w:t>
      </w:r>
      <w:r w:rsidR="00B125DE" w:rsidRPr="00EE49AB">
        <w:rPr>
          <w:rFonts w:ascii="Arial" w:hAnsi="Arial" w:cs="Arial"/>
          <w:lang w:val="en-US"/>
        </w:rPr>
        <w:tab/>
      </w:r>
      <w:r w:rsidR="006023D3">
        <w:rPr>
          <w:rFonts w:ascii="Arial" w:hAnsi="Arial" w:cs="Arial"/>
          <w:lang w:val="en-US"/>
        </w:rPr>
        <w:t>Discussion</w:t>
      </w:r>
      <w:r w:rsidR="00B125DE" w:rsidRPr="00EE49AB">
        <w:rPr>
          <w:rFonts w:ascii="Arial" w:hAnsi="Arial" w:cs="Arial"/>
          <w:lang w:val="en-US"/>
        </w:rPr>
        <w:t xml:space="preserve"> </w:t>
      </w:r>
    </w:p>
    <w:p w14:paraId="0798E92C" w14:textId="77777777" w:rsidR="00E310D5" w:rsidRPr="00EE49AB" w:rsidRDefault="004552DD">
      <w:pPr>
        <w:pStyle w:val="Heading1"/>
        <w:overflowPunct w:val="0"/>
        <w:autoSpaceDE w:val="0"/>
        <w:autoSpaceDN w:val="0"/>
        <w:adjustRightInd w:val="0"/>
        <w:rPr>
          <w:rFonts w:eastAsia="PMingLiU" w:cs="Arial"/>
          <w:lang w:val="en-US"/>
        </w:rPr>
      </w:pPr>
      <w:r w:rsidRPr="00EE49AB">
        <w:rPr>
          <w:rFonts w:eastAsia="PMingLiU" w:cs="Arial"/>
          <w:lang w:val="en-US"/>
        </w:rPr>
        <w:t>Introduction</w:t>
      </w:r>
      <w:bookmarkStart w:id="2" w:name="OLE_LINK39"/>
      <w:bookmarkStart w:id="3" w:name="OLE_LINK37"/>
      <w:bookmarkStart w:id="4" w:name="OLE_LINK38"/>
    </w:p>
    <w:bookmarkEnd w:id="2"/>
    <w:bookmarkEnd w:id="3"/>
    <w:bookmarkEnd w:id="4"/>
    <w:p w14:paraId="4D0B89A1" w14:textId="374CCC0B" w:rsidR="00DF3439" w:rsidRPr="00976D7B" w:rsidRDefault="00976D7B">
      <w:pPr>
        <w:spacing w:before="120" w:after="120"/>
        <w:jc w:val="both"/>
      </w:pPr>
      <w:r>
        <w:t>L1 event triggered measurement reporting</w:t>
      </w:r>
      <w:r w:rsidR="00B52912" w:rsidRPr="00EE49AB">
        <w:t xml:space="preserve"> </w:t>
      </w:r>
      <w:r w:rsidR="000C3F69" w:rsidRPr="00EE49AB">
        <w:t xml:space="preserve">has been widely discussed in previous RAN4 meeting. </w:t>
      </w:r>
      <w:r w:rsidR="00C77C7A" w:rsidRPr="00EE49AB">
        <w:t>The latest agreements can be found in [1]</w:t>
      </w:r>
      <w:r w:rsidR="0029611A" w:rsidRPr="00EE49AB">
        <w:t xml:space="preserve">, according to which there </w:t>
      </w:r>
      <w:r w:rsidR="006F2507">
        <w:t>are still some open issues</w:t>
      </w:r>
      <w:r w:rsidR="0029611A" w:rsidRPr="00EE49AB">
        <w:t xml:space="preserve">. </w:t>
      </w:r>
      <w:r w:rsidR="00373FBE" w:rsidRPr="00EE49AB">
        <w:t>In this contribution, we continue discussing the open issues.</w:t>
      </w:r>
    </w:p>
    <w:p w14:paraId="05EC175E" w14:textId="77777777" w:rsidR="009C79FE" w:rsidRDefault="009C79FE" w:rsidP="009C79FE">
      <w:pPr>
        <w:pStyle w:val="Heading1"/>
        <w:overflowPunct w:val="0"/>
        <w:autoSpaceDE w:val="0"/>
        <w:autoSpaceDN w:val="0"/>
        <w:adjustRightInd w:val="0"/>
        <w:spacing w:before="0" w:after="120"/>
        <w:rPr>
          <w:rFonts w:eastAsia="PMingLiU" w:cs="Arial"/>
          <w:lang w:val="en-US"/>
        </w:rPr>
      </w:pPr>
      <w:r w:rsidRPr="00EE49AB">
        <w:rPr>
          <w:rFonts w:eastAsia="PMingLiU" w:cs="Arial"/>
          <w:lang w:val="en-US"/>
        </w:rPr>
        <w:t>Discussion</w:t>
      </w:r>
    </w:p>
    <w:p w14:paraId="034E22C9" w14:textId="77777777" w:rsidR="00C33BD4" w:rsidRPr="008611D4" w:rsidRDefault="00C33BD4" w:rsidP="00C33BD4">
      <w:pPr>
        <w:pStyle w:val="Heading4"/>
        <w:numPr>
          <w:ilvl w:val="0"/>
          <w:numId w:val="0"/>
        </w:numPr>
        <w:rPr>
          <w:lang w:val="en-US"/>
        </w:rPr>
      </w:pPr>
      <w:r w:rsidRPr="008611D4">
        <w:rPr>
          <w:lang w:val="en-US"/>
        </w:rPr>
        <w:t>Issue 2-1: applicability of L1-RSRP reporting delay</w:t>
      </w:r>
    </w:p>
    <w:p w14:paraId="67992740" w14:textId="77777777" w:rsidR="00C33BD4" w:rsidRPr="005B738F" w:rsidRDefault="00C33BD4" w:rsidP="00C33BD4">
      <w:pPr>
        <w:spacing w:after="120"/>
        <w:rPr>
          <w:b/>
          <w:bCs/>
          <w:color w:val="000000" w:themeColor="text1"/>
        </w:rPr>
      </w:pPr>
      <w:r w:rsidRPr="008611D4">
        <w:rPr>
          <w:b/>
          <w:bCs/>
          <w:color w:val="000000" w:themeColor="text1"/>
        </w:rPr>
        <w:t>Candidate options:</w:t>
      </w:r>
    </w:p>
    <w:p w14:paraId="79839EDC" w14:textId="77777777" w:rsidR="00C33BD4" w:rsidRPr="00EE7D14" w:rsidRDefault="00C33BD4" w:rsidP="00C33BD4">
      <w:pPr>
        <w:pStyle w:val="ListParagraph"/>
        <w:numPr>
          <w:ilvl w:val="0"/>
          <w:numId w:val="67"/>
        </w:numPr>
        <w:spacing w:after="120"/>
        <w:contextualSpacing w:val="0"/>
        <w:rPr>
          <w:color w:val="000000" w:themeColor="text1"/>
        </w:rPr>
      </w:pPr>
      <w:r>
        <w:rPr>
          <w:color w:val="000000" w:themeColor="text1"/>
        </w:rPr>
        <w:t>Option 1</w:t>
      </w:r>
      <w:r w:rsidRPr="00EE7D14">
        <w:rPr>
          <w:color w:val="000000" w:themeColor="text1"/>
        </w:rPr>
        <w:t>: RAN4 considers following conditions in the test for L1-RSRP reporting delay requirements:</w:t>
      </w:r>
      <w:r>
        <w:rPr>
          <w:color w:val="000000" w:themeColor="text1"/>
        </w:rPr>
        <w:t xml:space="preserve"> (vivo, Xiaomi)</w:t>
      </w:r>
    </w:p>
    <w:p w14:paraId="4972623F" w14:textId="77777777" w:rsidR="00C33BD4" w:rsidRPr="00EE7D14" w:rsidRDefault="00C33BD4" w:rsidP="00C33BD4">
      <w:pPr>
        <w:pStyle w:val="ListParagraph"/>
        <w:numPr>
          <w:ilvl w:val="1"/>
          <w:numId w:val="67"/>
        </w:numPr>
        <w:spacing w:after="120"/>
        <w:contextualSpacing w:val="0"/>
        <w:rPr>
          <w:color w:val="000000" w:themeColor="text1"/>
        </w:rPr>
      </w:pPr>
      <w:r w:rsidRPr="00EE7D14">
        <w:rPr>
          <w:rFonts w:hint="eastAsia"/>
          <w:color w:val="000000" w:themeColor="text1"/>
        </w:rPr>
        <w:t>N</w:t>
      </w:r>
      <w:r w:rsidRPr="00EE7D14">
        <w:rPr>
          <w:color w:val="000000" w:themeColor="text1"/>
        </w:rPr>
        <w:t>o indicate TCI change during the evaluation period.</w:t>
      </w:r>
    </w:p>
    <w:p w14:paraId="442FDC2F" w14:textId="77777777" w:rsidR="00C33BD4" w:rsidRPr="00EE7D14" w:rsidRDefault="00C33BD4" w:rsidP="00C33BD4">
      <w:pPr>
        <w:pStyle w:val="ListParagraph"/>
        <w:numPr>
          <w:ilvl w:val="1"/>
          <w:numId w:val="67"/>
        </w:numPr>
        <w:spacing w:after="120"/>
        <w:contextualSpacing w:val="0"/>
        <w:rPr>
          <w:color w:val="000000" w:themeColor="text1"/>
        </w:rPr>
      </w:pPr>
      <w:r w:rsidRPr="00EE7D14">
        <w:rPr>
          <w:rFonts w:hint="eastAsia"/>
          <w:color w:val="000000" w:themeColor="text1"/>
        </w:rPr>
        <w:t>N</w:t>
      </w:r>
      <w:r w:rsidRPr="00EE7D14">
        <w:rPr>
          <w:color w:val="000000" w:themeColor="text1"/>
        </w:rPr>
        <w:t>o configuration change w.r.t measurement RS during the evaluation period</w:t>
      </w:r>
    </w:p>
    <w:p w14:paraId="7B1ED3FB" w14:textId="77777777" w:rsidR="00C33BD4" w:rsidRDefault="00C33BD4" w:rsidP="00C33BD4">
      <w:pPr>
        <w:pStyle w:val="ListParagraph"/>
        <w:numPr>
          <w:ilvl w:val="1"/>
          <w:numId w:val="67"/>
        </w:numPr>
        <w:spacing w:after="120"/>
        <w:contextualSpacing w:val="0"/>
        <w:rPr>
          <w:color w:val="000000" w:themeColor="text1"/>
        </w:rPr>
      </w:pPr>
      <w:r w:rsidRPr="00EE7D14">
        <w:rPr>
          <w:color w:val="000000" w:themeColor="text1"/>
        </w:rPr>
        <w:t>After the condition that would trigger the event takes effect, the condition is assumed to be fixed during the whole L1 measurement period</w:t>
      </w:r>
    </w:p>
    <w:p w14:paraId="68B74D60" w14:textId="77777777" w:rsidR="00C33BD4" w:rsidRPr="005B738F" w:rsidRDefault="00C33BD4" w:rsidP="00C33BD4">
      <w:pPr>
        <w:pStyle w:val="ListParagraph"/>
        <w:numPr>
          <w:ilvl w:val="0"/>
          <w:numId w:val="67"/>
        </w:numPr>
        <w:spacing w:after="120"/>
        <w:contextualSpacing w:val="0"/>
        <w:rPr>
          <w:color w:val="000000" w:themeColor="text1"/>
        </w:rPr>
      </w:pPr>
      <w:r w:rsidRPr="00956073">
        <w:rPr>
          <w:bCs/>
          <w:color w:val="000000" w:themeColor="text1"/>
        </w:rPr>
        <w:t xml:space="preserve">Option 2: </w:t>
      </w:r>
      <w:r w:rsidRPr="00956073">
        <w:rPr>
          <w:color w:val="000000" w:themeColor="text1"/>
        </w:rPr>
        <w:t>Seems no need to capture assumptions listed under option-1 into core requirements.</w:t>
      </w:r>
      <w:r w:rsidRPr="00956073">
        <w:rPr>
          <w:bCs/>
          <w:color w:val="000000" w:themeColor="text1"/>
        </w:rPr>
        <w:t xml:space="preserve"> (Apple)</w:t>
      </w:r>
    </w:p>
    <w:p w14:paraId="5B204C31" w14:textId="77777777" w:rsidR="00C33BD4" w:rsidRPr="00956073" w:rsidRDefault="00C33BD4" w:rsidP="00C33BD4">
      <w:pPr>
        <w:pStyle w:val="ListParagraph"/>
        <w:numPr>
          <w:ilvl w:val="0"/>
          <w:numId w:val="67"/>
        </w:numPr>
        <w:spacing w:after="120"/>
        <w:contextualSpacing w:val="0"/>
        <w:rPr>
          <w:color w:val="000000" w:themeColor="text1"/>
        </w:rPr>
      </w:pPr>
      <w:r>
        <w:rPr>
          <w:bCs/>
          <w:color w:val="000000" w:themeColor="text1"/>
        </w:rPr>
        <w:t>O</w:t>
      </w:r>
      <w:r>
        <w:rPr>
          <w:rFonts w:hint="eastAsia"/>
          <w:bCs/>
          <w:color w:val="000000" w:themeColor="text1"/>
        </w:rPr>
        <w:t>ptio</w:t>
      </w:r>
      <w:r>
        <w:rPr>
          <w:bCs/>
          <w:color w:val="000000" w:themeColor="text1"/>
        </w:rPr>
        <w:t>n 2a</w:t>
      </w:r>
      <w:r w:rsidRPr="005B738F">
        <w:rPr>
          <w:bCs/>
          <w:color w:val="000000" w:themeColor="text1"/>
        </w:rPr>
        <w:t xml:space="preserve">: The proposed L1-RSRP reporting assumptions are not captured in core requirements. During performance phase, RAN4 can consider </w:t>
      </w:r>
      <w:proofErr w:type="gramStart"/>
      <w:r w:rsidRPr="005B738F">
        <w:rPr>
          <w:bCs/>
          <w:color w:val="000000" w:themeColor="text1"/>
        </w:rPr>
        <w:t>to ensure</w:t>
      </w:r>
      <w:proofErr w:type="gramEnd"/>
      <w:r w:rsidRPr="005B738F">
        <w:rPr>
          <w:bCs/>
          <w:color w:val="000000" w:themeColor="text1"/>
        </w:rPr>
        <w:t xml:space="preserve"> serving beam kept unchanged (e.g., no indicate TCI change, and no configuration change) for L1 event trigger reporting test cases. (HW)</w:t>
      </w:r>
    </w:p>
    <w:p w14:paraId="0F9B2A4D" w14:textId="2B25BE3B" w:rsidR="00BD2288" w:rsidRDefault="00450733" w:rsidP="00BD2288">
      <w:pPr>
        <w:rPr>
          <w:bCs/>
          <w:color w:val="000000" w:themeColor="text1"/>
          <w:lang w:val="en-US"/>
        </w:rPr>
      </w:pPr>
      <w:r>
        <w:rPr>
          <w:rFonts w:eastAsia="PMingLiU"/>
          <w:lang w:val="en-US" w:eastAsia="en-US"/>
        </w:rPr>
        <w:t xml:space="preserve">We understand the concern and motivation from vivo regarding the above side conditions from UE side. </w:t>
      </w:r>
      <w:r w:rsidR="00635005">
        <w:rPr>
          <w:rFonts w:eastAsia="PMingLiU"/>
          <w:lang w:val="en-US" w:eastAsia="en-US"/>
        </w:rPr>
        <w:t xml:space="preserve">However, </w:t>
      </w:r>
      <w:r w:rsidR="00024E81">
        <w:rPr>
          <w:rFonts w:eastAsia="PMingLiU"/>
          <w:lang w:val="en-US" w:eastAsia="en-US"/>
        </w:rPr>
        <w:t xml:space="preserve">we don’t think we should simply add those conditions since it may result in too much constraint to network implementation. For instance, if TCI switch happens during L1 measurement period, i.e. UE needs to compare the target beam with a different serving beam, UE just needs to perform another round of measurement on the new beam as minimum requirements. </w:t>
      </w:r>
      <w:r w:rsidR="00E6446C">
        <w:rPr>
          <w:rFonts w:eastAsia="PMingLiU"/>
          <w:lang w:val="en-US" w:eastAsia="en-US"/>
        </w:rPr>
        <w:t xml:space="preserve">Therefore, </w:t>
      </w:r>
      <w:r w:rsidR="00635005">
        <w:rPr>
          <w:rFonts w:eastAsia="PMingLiU"/>
          <w:lang w:val="en-US" w:eastAsia="en-US"/>
        </w:rPr>
        <w:t xml:space="preserve"> </w:t>
      </w:r>
      <w:r w:rsidR="00E6446C">
        <w:rPr>
          <w:rFonts w:eastAsia="PMingLiU"/>
          <w:lang w:val="en-US" w:eastAsia="en-US"/>
        </w:rPr>
        <w:t>it is unnecessary to say that “</w:t>
      </w:r>
      <w:r w:rsidR="00E6446C" w:rsidRPr="008611D4">
        <w:rPr>
          <w:bCs/>
          <w:color w:val="000000" w:themeColor="text1"/>
          <w:lang w:val="en-US"/>
        </w:rPr>
        <w:t>No indicate TCI change during the evaluation period</w:t>
      </w:r>
      <w:r w:rsidR="00E6446C">
        <w:rPr>
          <w:rFonts w:eastAsia="PMingLiU"/>
          <w:lang w:val="en-US" w:eastAsia="en-US"/>
        </w:rPr>
        <w:t xml:space="preserve">”. Regarding </w:t>
      </w:r>
      <w:r w:rsidR="00E6446C" w:rsidRPr="008611D4">
        <w:rPr>
          <w:bCs/>
          <w:color w:val="000000" w:themeColor="text1"/>
          <w:lang w:val="en-US"/>
        </w:rPr>
        <w:t>configuration change</w:t>
      </w:r>
      <w:r w:rsidR="00E6446C">
        <w:rPr>
          <w:bCs/>
          <w:color w:val="000000" w:themeColor="text1"/>
          <w:lang w:val="en-US"/>
        </w:rPr>
        <w:t xml:space="preserve">, it is similar as legacy to some extent. </w:t>
      </w:r>
      <w:r w:rsidR="00896FAD">
        <w:rPr>
          <w:bCs/>
          <w:color w:val="000000" w:themeColor="text1"/>
          <w:lang w:val="en-US"/>
        </w:rPr>
        <w:t xml:space="preserve">Configuration can only be changed via RRC. After RRC reconfiguration UE needs to follow the updated configuration to perform measurement, including both L1 and L3. </w:t>
      </w:r>
      <w:r w:rsidR="0020166C">
        <w:rPr>
          <w:bCs/>
          <w:color w:val="000000" w:themeColor="text1"/>
          <w:lang w:val="en-US"/>
        </w:rPr>
        <w:t>To compromise, we can add them in the test case design.</w:t>
      </w:r>
    </w:p>
    <w:p w14:paraId="1962F6C4" w14:textId="1E74B3C9" w:rsidR="00322E5D" w:rsidRDefault="00322E5D" w:rsidP="00322E5D">
      <w:pPr>
        <w:pStyle w:val="Caption"/>
        <w:rPr>
          <w:rFonts w:eastAsia="SimSun"/>
          <w:color w:val="000000" w:themeColor="text1"/>
        </w:rPr>
      </w:pPr>
      <w:bookmarkStart w:id="5" w:name="_Ref193917974"/>
      <w:bookmarkStart w:id="6" w:name="_Ref205923482"/>
      <w:r>
        <w:t xml:space="preserve">Proposal </w:t>
      </w:r>
      <w:r>
        <w:fldChar w:fldCharType="begin"/>
      </w:r>
      <w:r>
        <w:instrText xml:space="preserve"> SEQ Proposal \* ARABIC </w:instrText>
      </w:r>
      <w:r>
        <w:fldChar w:fldCharType="separate"/>
      </w:r>
      <w:r w:rsidR="0052240B">
        <w:rPr>
          <w:noProof/>
        </w:rPr>
        <w:t>1</w:t>
      </w:r>
      <w:r>
        <w:fldChar w:fldCharType="end"/>
      </w:r>
      <w:r>
        <w:t xml:space="preserve">: </w:t>
      </w:r>
      <w:bookmarkEnd w:id="5"/>
      <w:r w:rsidR="0020166C">
        <w:rPr>
          <w:rFonts w:eastAsia="SimSun"/>
          <w:color w:val="000000" w:themeColor="text1"/>
        </w:rPr>
        <w:t>the</w:t>
      </w:r>
      <w:r w:rsidR="0020166C" w:rsidRPr="00EE7D14">
        <w:rPr>
          <w:rFonts w:eastAsia="SimSun"/>
          <w:color w:val="000000" w:themeColor="text1"/>
        </w:rPr>
        <w:t xml:space="preserve"> following conditions </w:t>
      </w:r>
      <w:r w:rsidR="0020166C">
        <w:rPr>
          <w:rFonts w:eastAsia="SimSun"/>
          <w:color w:val="000000" w:themeColor="text1"/>
        </w:rPr>
        <w:t xml:space="preserve">are considered </w:t>
      </w:r>
      <w:r w:rsidR="0020166C" w:rsidRPr="00EE7D14">
        <w:rPr>
          <w:rFonts w:eastAsia="SimSun"/>
          <w:color w:val="000000" w:themeColor="text1"/>
        </w:rPr>
        <w:t xml:space="preserve">in the test </w:t>
      </w:r>
      <w:r w:rsidR="0020166C">
        <w:rPr>
          <w:rFonts w:eastAsia="SimSun"/>
          <w:color w:val="000000" w:themeColor="text1"/>
        </w:rPr>
        <w:t xml:space="preserve">case design </w:t>
      </w:r>
      <w:r w:rsidR="0020166C" w:rsidRPr="00EE7D14">
        <w:rPr>
          <w:rFonts w:eastAsia="SimSun"/>
          <w:color w:val="000000" w:themeColor="text1"/>
        </w:rPr>
        <w:t>for L1-RSRP reporting delay requirem</w:t>
      </w:r>
      <w:r w:rsidR="0020166C">
        <w:rPr>
          <w:rFonts w:eastAsia="SimSun"/>
          <w:color w:val="000000" w:themeColor="text1"/>
        </w:rPr>
        <w:t>ents, but not in core requirements.</w:t>
      </w:r>
      <w:bookmarkEnd w:id="6"/>
    </w:p>
    <w:p w14:paraId="3580D138" w14:textId="77777777" w:rsidR="0020166C" w:rsidRPr="0020166C" w:rsidRDefault="0020166C" w:rsidP="0020166C">
      <w:pPr>
        <w:pStyle w:val="ListParagraph"/>
        <w:numPr>
          <w:ilvl w:val="1"/>
          <w:numId w:val="67"/>
        </w:numPr>
        <w:spacing w:after="120"/>
        <w:contextualSpacing w:val="0"/>
        <w:rPr>
          <w:b/>
          <w:bCs/>
          <w:color w:val="000000" w:themeColor="text1"/>
        </w:rPr>
      </w:pPr>
      <w:r w:rsidRPr="0020166C">
        <w:rPr>
          <w:rFonts w:hint="eastAsia"/>
          <w:b/>
          <w:bCs/>
          <w:color w:val="000000" w:themeColor="text1"/>
        </w:rPr>
        <w:lastRenderedPageBreak/>
        <w:t>N</w:t>
      </w:r>
      <w:r w:rsidRPr="0020166C">
        <w:rPr>
          <w:b/>
          <w:bCs/>
          <w:color w:val="000000" w:themeColor="text1"/>
        </w:rPr>
        <w:t>o indicate TCI change during the evaluation period.</w:t>
      </w:r>
    </w:p>
    <w:p w14:paraId="29E70E7D" w14:textId="77777777" w:rsidR="0020166C" w:rsidRPr="0020166C" w:rsidRDefault="0020166C" w:rsidP="0020166C">
      <w:pPr>
        <w:pStyle w:val="ListParagraph"/>
        <w:numPr>
          <w:ilvl w:val="1"/>
          <w:numId w:val="67"/>
        </w:numPr>
        <w:spacing w:after="120"/>
        <w:contextualSpacing w:val="0"/>
        <w:rPr>
          <w:b/>
          <w:bCs/>
          <w:color w:val="000000" w:themeColor="text1"/>
        </w:rPr>
      </w:pPr>
      <w:r w:rsidRPr="0020166C">
        <w:rPr>
          <w:rFonts w:hint="eastAsia"/>
          <w:b/>
          <w:bCs/>
          <w:color w:val="000000" w:themeColor="text1"/>
        </w:rPr>
        <w:t>N</w:t>
      </w:r>
      <w:r w:rsidRPr="0020166C">
        <w:rPr>
          <w:b/>
          <w:bCs/>
          <w:color w:val="000000" w:themeColor="text1"/>
        </w:rPr>
        <w:t>o configuration change w.r.t measurement RS during the evaluation period</w:t>
      </w:r>
    </w:p>
    <w:p w14:paraId="20238D48" w14:textId="77777777" w:rsidR="0020166C" w:rsidRPr="0020166C" w:rsidRDefault="0020166C" w:rsidP="0020166C">
      <w:pPr>
        <w:pStyle w:val="ListParagraph"/>
        <w:numPr>
          <w:ilvl w:val="1"/>
          <w:numId w:val="67"/>
        </w:numPr>
        <w:spacing w:after="120"/>
        <w:contextualSpacing w:val="0"/>
        <w:rPr>
          <w:b/>
          <w:bCs/>
          <w:color w:val="000000" w:themeColor="text1"/>
        </w:rPr>
      </w:pPr>
      <w:r w:rsidRPr="0020166C">
        <w:rPr>
          <w:b/>
          <w:bCs/>
          <w:color w:val="000000" w:themeColor="text1"/>
        </w:rPr>
        <w:t>After the condition that would trigger the event takes effect, the condition is assumed to be fixed during the whole L1 measurement period</w:t>
      </w:r>
    </w:p>
    <w:p w14:paraId="557D43C9" w14:textId="77777777" w:rsidR="0020166C" w:rsidRPr="0020166C" w:rsidRDefault="0020166C" w:rsidP="0020166C">
      <w:pPr>
        <w:rPr>
          <w:lang w:val="en-GB" w:eastAsia="en-US"/>
        </w:rPr>
      </w:pPr>
    </w:p>
    <w:p w14:paraId="0B2CC1A3" w14:textId="77777777" w:rsidR="002A3207" w:rsidRDefault="002A3207" w:rsidP="002A3207">
      <w:pPr>
        <w:rPr>
          <w:rFonts w:eastAsia="PMingLiU"/>
          <w:lang w:val="en-GB" w:eastAsia="en-US"/>
        </w:rPr>
      </w:pPr>
    </w:p>
    <w:p w14:paraId="4590DA1F" w14:textId="77777777" w:rsidR="0020166C" w:rsidRPr="008611D4" w:rsidRDefault="0020166C" w:rsidP="0020166C">
      <w:pPr>
        <w:pStyle w:val="Heading4"/>
        <w:numPr>
          <w:ilvl w:val="0"/>
          <w:numId w:val="0"/>
        </w:numPr>
        <w:rPr>
          <w:lang w:val="en-US"/>
        </w:rPr>
      </w:pPr>
      <w:r w:rsidRPr="008611D4">
        <w:rPr>
          <w:lang w:val="en-US"/>
        </w:rPr>
        <w:t>Issue 2-</w:t>
      </w:r>
      <w:r>
        <w:rPr>
          <w:lang w:val="en-US"/>
        </w:rPr>
        <w:t>3</w:t>
      </w:r>
      <w:r w:rsidRPr="008611D4">
        <w:rPr>
          <w:lang w:val="en-US"/>
        </w:rPr>
        <w:t>: whether to introduce/update requirements for reporting criteria per measurement category</w:t>
      </w:r>
    </w:p>
    <w:p w14:paraId="610CB538" w14:textId="77777777" w:rsidR="0020166C" w:rsidRPr="008611D4" w:rsidRDefault="0020166C" w:rsidP="0020166C">
      <w:pPr>
        <w:spacing w:after="120"/>
        <w:rPr>
          <w:b/>
          <w:bCs/>
          <w:color w:val="000000" w:themeColor="text1"/>
        </w:rPr>
      </w:pPr>
      <w:r w:rsidRPr="008611D4">
        <w:rPr>
          <w:b/>
          <w:bCs/>
          <w:color w:val="000000" w:themeColor="text1"/>
        </w:rPr>
        <w:t>Candidate options:</w:t>
      </w:r>
    </w:p>
    <w:p w14:paraId="3F911D01" w14:textId="77777777" w:rsidR="0020166C" w:rsidRDefault="0020166C" w:rsidP="0020166C">
      <w:pPr>
        <w:pStyle w:val="ListParagraph"/>
        <w:numPr>
          <w:ilvl w:val="0"/>
          <w:numId w:val="67"/>
        </w:numPr>
        <w:spacing w:after="120"/>
        <w:contextualSpacing w:val="0"/>
        <w:rPr>
          <w:color w:val="000000" w:themeColor="text1"/>
        </w:rPr>
      </w:pPr>
      <w:r w:rsidRPr="008611D4">
        <w:rPr>
          <w:color w:val="000000" w:themeColor="text1"/>
        </w:rPr>
        <w:t xml:space="preserve">Option 1: </w:t>
      </w:r>
      <w:r w:rsidRPr="00441123">
        <w:rPr>
          <w:rFonts w:hint="eastAsia"/>
          <w:color w:val="000000" w:themeColor="text1"/>
        </w:rPr>
        <w:t>D</w:t>
      </w:r>
      <w:r w:rsidRPr="00441123">
        <w:rPr>
          <w:color w:val="000000" w:themeColor="text1"/>
        </w:rPr>
        <w:t>efine a separate capability for supported number of events triggered L1 measurement reporting</w:t>
      </w:r>
      <w:r>
        <w:rPr>
          <w:color w:val="000000" w:themeColor="text1"/>
        </w:rPr>
        <w:t>. (CTC, Nokia, Xiaomi, CATT, vivo, MTK, ZTE, CMCC, E///)</w:t>
      </w:r>
    </w:p>
    <w:p w14:paraId="3D128C46" w14:textId="77777777" w:rsidR="0020166C" w:rsidRPr="0064704D" w:rsidRDefault="0020166C" w:rsidP="0020166C">
      <w:pPr>
        <w:pStyle w:val="ListParagraph"/>
        <w:numPr>
          <w:ilvl w:val="1"/>
          <w:numId w:val="67"/>
        </w:numPr>
        <w:spacing w:after="120"/>
        <w:contextualSpacing w:val="0"/>
        <w:rPr>
          <w:bCs/>
          <w:color w:val="000000" w:themeColor="text1"/>
        </w:rPr>
      </w:pPr>
      <w:r w:rsidRPr="00D84F2C">
        <w:rPr>
          <w:bCs/>
          <w:color w:val="000000" w:themeColor="text1"/>
        </w:rPr>
        <w:t>Details</w:t>
      </w:r>
      <w:r>
        <w:rPr>
          <w:bCs/>
          <w:color w:val="000000" w:themeColor="text1"/>
        </w:rPr>
        <w:t>:</w:t>
      </w:r>
      <w:r w:rsidRPr="0064704D">
        <w:rPr>
          <w:bCs/>
          <w:color w:val="000000" w:themeColor="text1"/>
        </w:rPr>
        <w:t xml:space="preserve"> </w:t>
      </w:r>
    </w:p>
    <w:p w14:paraId="0B9C3C43" w14:textId="77777777" w:rsidR="0020166C" w:rsidRPr="0064704D" w:rsidRDefault="0020166C" w:rsidP="0020166C">
      <w:pPr>
        <w:pStyle w:val="ListParagraph"/>
        <w:numPr>
          <w:ilvl w:val="2"/>
          <w:numId w:val="67"/>
        </w:numPr>
        <w:spacing w:after="120"/>
        <w:contextualSpacing w:val="0"/>
        <w:rPr>
          <w:bCs/>
          <w:color w:val="000000" w:themeColor="text1"/>
        </w:rPr>
      </w:pPr>
      <w:r>
        <w:rPr>
          <w:bCs/>
          <w:color w:val="000000" w:themeColor="text1"/>
        </w:rPr>
        <w:t>Option 1a:</w:t>
      </w:r>
      <w:r w:rsidRPr="0064704D">
        <w:rPr>
          <w:bCs/>
          <w:color w:val="000000" w:themeColor="text1"/>
        </w:rPr>
        <w:t>(vivo)</w:t>
      </w:r>
    </w:p>
    <w:p w14:paraId="03C0A039" w14:textId="77777777" w:rsidR="0020166C" w:rsidRPr="00D84F2C" w:rsidRDefault="0020166C" w:rsidP="0020166C">
      <w:pPr>
        <w:pStyle w:val="ListParagraph"/>
        <w:numPr>
          <w:ilvl w:val="3"/>
          <w:numId w:val="67"/>
        </w:numPr>
        <w:spacing w:after="120"/>
        <w:contextualSpacing w:val="0"/>
        <w:rPr>
          <w:bCs/>
          <w:color w:val="000000" w:themeColor="text1"/>
        </w:rPr>
      </w:pPr>
      <w:r w:rsidRPr="00D84F2C">
        <w:rPr>
          <w:bCs/>
          <w:color w:val="000000" w:themeColor="text1"/>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0FCF61EF" w14:textId="77777777" w:rsidR="0020166C" w:rsidRPr="000B6769" w:rsidRDefault="0020166C" w:rsidP="0020166C">
      <w:pPr>
        <w:pStyle w:val="ListParagraph"/>
        <w:numPr>
          <w:ilvl w:val="3"/>
          <w:numId w:val="67"/>
        </w:numPr>
        <w:spacing w:after="120"/>
        <w:contextualSpacing w:val="0"/>
        <w:rPr>
          <w:color w:val="000000" w:themeColor="text1"/>
        </w:rPr>
      </w:pPr>
      <w:r w:rsidRPr="000B6769">
        <w:rPr>
          <w:color w:val="000000" w:themeColor="text1"/>
        </w:rPr>
        <w:t>Reporting criteria for LTM event triggered reporting is 4 per frequency layer.</w:t>
      </w:r>
    </w:p>
    <w:p w14:paraId="21ECBC48" w14:textId="77777777" w:rsidR="0020166C" w:rsidRPr="0064704D" w:rsidRDefault="0020166C" w:rsidP="0020166C">
      <w:pPr>
        <w:pStyle w:val="ListParagraph"/>
        <w:numPr>
          <w:ilvl w:val="3"/>
          <w:numId w:val="67"/>
        </w:numPr>
        <w:spacing w:after="120"/>
        <w:contextualSpacing w:val="0"/>
        <w:rPr>
          <w:color w:val="000000" w:themeColor="text1"/>
        </w:rPr>
      </w:pPr>
      <w:r w:rsidRPr="000B6769">
        <w:rPr>
          <w:color w:val="000000" w:themeColor="text1"/>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11FFE150" w14:textId="77777777" w:rsidR="0020166C" w:rsidRPr="0064704D" w:rsidRDefault="0020166C" w:rsidP="0020166C">
      <w:pPr>
        <w:pStyle w:val="ListParagraph"/>
        <w:numPr>
          <w:ilvl w:val="2"/>
          <w:numId w:val="67"/>
        </w:numPr>
        <w:spacing w:after="120"/>
        <w:contextualSpacing w:val="0"/>
        <w:rPr>
          <w:color w:val="000000" w:themeColor="text1"/>
        </w:rPr>
      </w:pPr>
      <w:r>
        <w:rPr>
          <w:color w:val="000000" w:themeColor="text1"/>
        </w:rPr>
        <w:t>Option 1b: E///</w:t>
      </w:r>
    </w:p>
    <w:p w14:paraId="207374A9" w14:textId="77777777" w:rsidR="0020166C" w:rsidRPr="0064704D" w:rsidRDefault="0020166C" w:rsidP="0020166C">
      <w:pPr>
        <w:pStyle w:val="ListParagraph"/>
        <w:numPr>
          <w:ilvl w:val="3"/>
          <w:numId w:val="67"/>
        </w:numPr>
        <w:spacing w:after="120"/>
        <w:contextualSpacing w:val="0"/>
        <w:rPr>
          <w:color w:val="000000" w:themeColor="text1"/>
        </w:rPr>
      </w:pPr>
      <w:r w:rsidRPr="0064704D">
        <w:rPr>
          <w:color w:val="000000" w:themeColor="text1"/>
        </w:rPr>
        <w:t xml:space="preserve">RAN4 to support a common LTM </w:t>
      </w:r>
      <w:proofErr w:type="spellStart"/>
      <w:r w:rsidRPr="0064704D">
        <w:rPr>
          <w:color w:val="000000" w:themeColor="text1"/>
        </w:rPr>
        <w:t>Ecat</w:t>
      </w:r>
      <w:proofErr w:type="spellEnd"/>
      <w:r w:rsidRPr="0064704D">
        <w:rPr>
          <w:color w:val="000000" w:themeColor="text1"/>
        </w:rPr>
        <w:t xml:space="preserve"> capability to be shared between intra- and inter-frequency candidate cells.</w:t>
      </w:r>
    </w:p>
    <w:p w14:paraId="084F2C86" w14:textId="77777777" w:rsidR="0020166C" w:rsidRPr="000B6769" w:rsidRDefault="0020166C" w:rsidP="0020166C">
      <w:pPr>
        <w:pStyle w:val="ListParagraph"/>
        <w:numPr>
          <w:ilvl w:val="3"/>
          <w:numId w:val="67"/>
        </w:numPr>
        <w:spacing w:after="120"/>
        <w:contextualSpacing w:val="0"/>
        <w:rPr>
          <w:color w:val="000000" w:themeColor="text1"/>
        </w:rPr>
      </w:pPr>
      <w:r w:rsidRPr="0064704D">
        <w:rPr>
          <w:color w:val="000000" w:themeColor="text1"/>
        </w:rPr>
        <w:t xml:space="preserve">RAN4 to agree that </w:t>
      </w:r>
      <w:proofErr w:type="spellStart"/>
      <w:r w:rsidRPr="0064704D">
        <w:rPr>
          <w:color w:val="000000" w:themeColor="text1"/>
        </w:rPr>
        <w:t>Ecat</w:t>
      </w:r>
      <w:proofErr w:type="spellEnd"/>
      <w:r w:rsidRPr="0064704D">
        <w:rPr>
          <w:color w:val="000000" w:themeColor="text1"/>
        </w:rPr>
        <w:t xml:space="preserve"> capability for LTM L1 measurements includes both PCell event, and candidate cells’ events. The detail number of </w:t>
      </w:r>
      <w:proofErr w:type="spellStart"/>
      <w:r w:rsidRPr="0064704D">
        <w:rPr>
          <w:color w:val="000000" w:themeColor="text1"/>
        </w:rPr>
        <w:t>Ecat</w:t>
      </w:r>
      <w:proofErr w:type="spellEnd"/>
      <w:r w:rsidRPr="0064704D">
        <w:rPr>
          <w:color w:val="000000" w:themeColor="text1"/>
        </w:rPr>
        <w:t xml:space="preserve"> is FFS</w:t>
      </w:r>
    </w:p>
    <w:p w14:paraId="606BBBD6" w14:textId="77777777" w:rsidR="0020166C" w:rsidRPr="008611D4" w:rsidRDefault="0020166C" w:rsidP="0020166C">
      <w:pPr>
        <w:pStyle w:val="ListParagraph"/>
        <w:numPr>
          <w:ilvl w:val="0"/>
          <w:numId w:val="67"/>
        </w:numPr>
        <w:spacing w:after="120"/>
        <w:contextualSpacing w:val="0"/>
        <w:rPr>
          <w:color w:val="000000" w:themeColor="text1"/>
        </w:rPr>
      </w:pPr>
      <w:r>
        <w:rPr>
          <w:color w:val="000000" w:themeColor="text1"/>
        </w:rPr>
        <w:t xml:space="preserve">Option 2: </w:t>
      </w:r>
      <w:r w:rsidRPr="007A3140">
        <w:rPr>
          <w:bCs/>
          <w:color w:val="000000" w:themeColor="text1"/>
        </w:rPr>
        <w:t xml:space="preserve">update the </w:t>
      </w:r>
      <w:r>
        <w:rPr>
          <w:bCs/>
          <w:color w:val="000000" w:themeColor="text1"/>
        </w:rPr>
        <w:t xml:space="preserve">existing </w:t>
      </w:r>
      <w:r w:rsidRPr="007A3140">
        <w:rPr>
          <w:bCs/>
          <w:color w:val="000000" w:themeColor="text1"/>
        </w:rPr>
        <w:t xml:space="preserve">requirements </w:t>
      </w:r>
      <w:r>
        <w:rPr>
          <w:bCs/>
          <w:color w:val="000000" w:themeColor="text1"/>
        </w:rPr>
        <w:t>to cover</w:t>
      </w:r>
      <w:r w:rsidRPr="007A3140">
        <w:rPr>
          <w:bCs/>
          <w:color w:val="000000" w:themeColor="text1"/>
        </w:rPr>
        <w:t xml:space="preserve"> L1 event triggered reporting criteria per measurement category.</w:t>
      </w:r>
      <w:r>
        <w:rPr>
          <w:bCs/>
          <w:color w:val="000000" w:themeColor="text1"/>
        </w:rPr>
        <w:t xml:space="preserve"> (OPPO)</w:t>
      </w:r>
    </w:p>
    <w:p w14:paraId="2011F28F" w14:textId="77777777" w:rsidR="0020166C" w:rsidRPr="00F53388" w:rsidRDefault="0020166C" w:rsidP="0020166C">
      <w:pPr>
        <w:pStyle w:val="ListParagraph"/>
        <w:numPr>
          <w:ilvl w:val="0"/>
          <w:numId w:val="67"/>
        </w:numPr>
        <w:spacing w:after="120"/>
        <w:contextualSpacing w:val="0"/>
        <w:rPr>
          <w:color w:val="000000" w:themeColor="text1"/>
        </w:rPr>
      </w:pPr>
      <w:r w:rsidRPr="008611D4">
        <w:rPr>
          <w:color w:val="000000" w:themeColor="text1"/>
        </w:rPr>
        <w:t xml:space="preserve">Option </w:t>
      </w:r>
      <w:r>
        <w:rPr>
          <w:color w:val="000000" w:themeColor="text1"/>
        </w:rPr>
        <w:t>3</w:t>
      </w:r>
      <w:r w:rsidRPr="008611D4">
        <w:rPr>
          <w:color w:val="000000" w:themeColor="text1"/>
        </w:rPr>
        <w:t xml:space="preserve">: </w:t>
      </w:r>
      <w:r w:rsidRPr="00A67CB6">
        <w:rPr>
          <w:color w:val="000000" w:themeColor="text1"/>
        </w:rPr>
        <w:t>assuming new UE capabilities regarding support of event triggering needs to be introduced, RAN4 shall discuss whether it is still necessary to update/introduce new Event Triggering and Reporting Criteria for LTM.</w:t>
      </w:r>
      <w:r>
        <w:rPr>
          <w:color w:val="000000" w:themeColor="text1"/>
        </w:rPr>
        <w:t xml:space="preserve"> (Apple)</w:t>
      </w:r>
    </w:p>
    <w:p w14:paraId="40894F30" w14:textId="394CB5DA" w:rsidR="008D5C51" w:rsidRPr="003133C2" w:rsidRDefault="008D5C51" w:rsidP="003133C2">
      <w:pPr>
        <w:spacing w:after="120"/>
        <w:rPr>
          <w:bCs/>
          <w:color w:val="000000" w:themeColor="text1"/>
          <w:lang w:val="en-US"/>
        </w:rPr>
      </w:pPr>
    </w:p>
    <w:p w14:paraId="3C087174" w14:textId="6D6A110B" w:rsidR="005037F4" w:rsidRDefault="0020166C" w:rsidP="0020166C">
      <w:pPr>
        <w:rPr>
          <w:rFonts w:eastAsia="PMingLiU"/>
          <w:lang w:val="en-US"/>
        </w:rPr>
      </w:pPr>
      <w:r>
        <w:rPr>
          <w:rFonts w:eastAsia="PMingLiU"/>
          <w:lang w:val="en-US" w:eastAsia="en-US"/>
        </w:rPr>
        <w:t xml:space="preserve">Given that there are clear capability for how many cells/resources that UE can support for LTM L1 RSRP measurement, we don’t see the need to define new </w:t>
      </w:r>
      <w:r w:rsidRPr="008611D4">
        <w:rPr>
          <w:lang w:val="en-US"/>
        </w:rPr>
        <w:t>reporting criteria per measurement category</w:t>
      </w:r>
      <w:r>
        <w:rPr>
          <w:lang w:val="en-US"/>
        </w:rPr>
        <w:t xml:space="preserve">. However, we have no strong view. </w:t>
      </w:r>
    </w:p>
    <w:p w14:paraId="2F9FB5C3" w14:textId="77777777" w:rsidR="00C53DE1" w:rsidRDefault="00C53DE1" w:rsidP="00C53DE1">
      <w:pPr>
        <w:rPr>
          <w:rFonts w:eastAsia="PMingLiU"/>
          <w:lang w:val="en-US" w:eastAsia="en-US"/>
        </w:rPr>
      </w:pPr>
    </w:p>
    <w:p w14:paraId="2C61A800" w14:textId="77777777" w:rsidR="00282295" w:rsidRPr="008611D4" w:rsidRDefault="00282295" w:rsidP="00282295">
      <w:pPr>
        <w:pStyle w:val="Heading4"/>
        <w:numPr>
          <w:ilvl w:val="0"/>
          <w:numId w:val="0"/>
        </w:numPr>
        <w:rPr>
          <w:lang w:val="en-US"/>
        </w:rPr>
      </w:pPr>
      <w:r w:rsidRPr="008611D4">
        <w:rPr>
          <w:lang w:val="en-US"/>
        </w:rPr>
        <w:t>Issue 2-</w:t>
      </w:r>
      <w:r>
        <w:rPr>
          <w:lang w:val="en-US"/>
        </w:rPr>
        <w:t>7</w:t>
      </w:r>
      <w:r w:rsidRPr="008611D4">
        <w:rPr>
          <w:lang w:val="en-US"/>
        </w:rPr>
        <w:t>: Impact on other LTM requirements</w:t>
      </w:r>
    </w:p>
    <w:p w14:paraId="62541B4D" w14:textId="77777777" w:rsidR="00051B44" w:rsidRPr="00807DF0" w:rsidRDefault="00051B44" w:rsidP="00051B44">
      <w:pPr>
        <w:spacing w:after="120"/>
        <w:rPr>
          <w:b/>
          <w:bCs/>
          <w:color w:val="5B9BD5" w:themeColor="accent1"/>
        </w:rPr>
      </w:pPr>
      <w:r w:rsidRPr="00807DF0">
        <w:rPr>
          <w:b/>
          <w:bCs/>
          <w:color w:val="5B9BD5" w:themeColor="accent1"/>
        </w:rPr>
        <w:t>Agreement in RAN4#114bis:</w:t>
      </w:r>
    </w:p>
    <w:p w14:paraId="4FA83A01" w14:textId="77777777" w:rsidR="00051B44" w:rsidRPr="00807DF0" w:rsidRDefault="00051B44" w:rsidP="00051B44">
      <w:pPr>
        <w:numPr>
          <w:ilvl w:val="0"/>
          <w:numId w:val="67"/>
        </w:numPr>
        <w:spacing w:after="120"/>
        <w:rPr>
          <w:bCs/>
          <w:color w:val="5B9BD5" w:themeColor="accent1"/>
        </w:rPr>
      </w:pPr>
      <w:r w:rsidRPr="00807DF0">
        <w:rPr>
          <w:bCs/>
          <w:color w:val="5B9BD5" w:themeColor="accent1"/>
        </w:rPr>
        <w:t xml:space="preserve">For FR1: </w:t>
      </w:r>
    </w:p>
    <w:p w14:paraId="03C61AD3" w14:textId="77777777" w:rsidR="00051B44" w:rsidRPr="00807DF0" w:rsidRDefault="00051B44" w:rsidP="00051B44">
      <w:pPr>
        <w:numPr>
          <w:ilvl w:val="1"/>
          <w:numId w:val="67"/>
        </w:numPr>
        <w:spacing w:after="120"/>
        <w:rPr>
          <w:bCs/>
          <w:color w:val="5B9BD5" w:themeColor="accent1"/>
        </w:rPr>
      </w:pPr>
      <w:r w:rsidRPr="00807DF0">
        <w:rPr>
          <w:bCs/>
          <w:color w:val="5B9BD5" w:themeColor="accent1"/>
        </w:rPr>
        <w:lastRenderedPageBreak/>
        <w:t xml:space="preserve">UE has sent an event-triggered L1 report and the reporting condition continues to be met at the time of receiving the cell switch command or TCI state activation command, </w:t>
      </w:r>
    </w:p>
    <w:p w14:paraId="61FFB7B0" w14:textId="77777777" w:rsidR="00051B44" w:rsidRPr="00807DF0" w:rsidRDefault="00051B44" w:rsidP="00051B44">
      <w:pPr>
        <w:numPr>
          <w:ilvl w:val="2"/>
          <w:numId w:val="67"/>
        </w:numPr>
        <w:spacing w:after="120"/>
        <w:rPr>
          <w:bCs/>
          <w:color w:val="5B9BD5" w:themeColor="accent1"/>
        </w:rPr>
      </w:pPr>
      <w:r w:rsidRPr="00807DF0">
        <w:rPr>
          <w:bCs/>
          <w:color w:val="5B9BD5" w:themeColor="accent1"/>
        </w:rPr>
        <w:t>Case 1: leaving condition of the event is configured and corresponding condition is not met,</w:t>
      </w:r>
    </w:p>
    <w:p w14:paraId="2A36CD21" w14:textId="77777777" w:rsidR="00051B44" w:rsidRPr="00807DF0" w:rsidRDefault="00051B44" w:rsidP="00051B44">
      <w:pPr>
        <w:numPr>
          <w:ilvl w:val="3"/>
          <w:numId w:val="67"/>
        </w:numPr>
        <w:spacing w:after="120"/>
        <w:rPr>
          <w:bCs/>
          <w:color w:val="5B9BD5" w:themeColor="accent1"/>
        </w:rPr>
      </w:pPr>
      <w:r w:rsidRPr="00807DF0">
        <w:rPr>
          <w:bCs/>
          <w:color w:val="5B9BD5" w:themeColor="accent1"/>
        </w:rPr>
        <w:t>the related cell switch delay and TCI state activation requirements are applicable</w:t>
      </w:r>
    </w:p>
    <w:p w14:paraId="13683DF0" w14:textId="77777777" w:rsidR="00051B44" w:rsidRPr="00807DF0" w:rsidRDefault="00051B44" w:rsidP="00051B44">
      <w:pPr>
        <w:numPr>
          <w:ilvl w:val="2"/>
          <w:numId w:val="67"/>
        </w:numPr>
        <w:spacing w:after="120"/>
        <w:rPr>
          <w:bCs/>
          <w:color w:val="5B9BD5" w:themeColor="accent1"/>
        </w:rPr>
      </w:pPr>
      <w:r w:rsidRPr="00807DF0">
        <w:rPr>
          <w:bCs/>
          <w:color w:val="5B9BD5" w:themeColor="accent1"/>
        </w:rPr>
        <w:t>Case 2: leaving condition of the event is NOT configured, FFS</w:t>
      </w:r>
    </w:p>
    <w:p w14:paraId="211CD696" w14:textId="77777777" w:rsidR="00051B44" w:rsidRPr="00807DF0" w:rsidRDefault="00051B44" w:rsidP="00051B44">
      <w:pPr>
        <w:numPr>
          <w:ilvl w:val="0"/>
          <w:numId w:val="67"/>
        </w:numPr>
        <w:spacing w:after="120"/>
        <w:rPr>
          <w:bCs/>
          <w:color w:val="5B9BD5" w:themeColor="accent1"/>
        </w:rPr>
      </w:pPr>
      <w:r w:rsidRPr="00807DF0">
        <w:rPr>
          <w:bCs/>
          <w:color w:val="5B9BD5" w:themeColor="accent1"/>
        </w:rPr>
        <w:t>For FR2: FFS</w:t>
      </w:r>
    </w:p>
    <w:p w14:paraId="6A610D62" w14:textId="77777777" w:rsidR="00051B44" w:rsidRPr="008611D4" w:rsidRDefault="00051B44" w:rsidP="00051B44">
      <w:pPr>
        <w:spacing w:after="120"/>
        <w:rPr>
          <w:b/>
          <w:bCs/>
          <w:color w:val="000000" w:themeColor="text1"/>
        </w:rPr>
      </w:pPr>
      <w:r w:rsidRPr="008611D4">
        <w:rPr>
          <w:b/>
          <w:bCs/>
          <w:color w:val="000000" w:themeColor="text1"/>
        </w:rPr>
        <w:t>Candidate options:</w:t>
      </w:r>
    </w:p>
    <w:p w14:paraId="284B6117" w14:textId="77777777" w:rsidR="00051B44" w:rsidRPr="00A55E8A" w:rsidRDefault="00051B44" w:rsidP="00051B44">
      <w:pPr>
        <w:pStyle w:val="ListParagraph"/>
        <w:numPr>
          <w:ilvl w:val="0"/>
          <w:numId w:val="67"/>
        </w:numPr>
        <w:spacing w:after="120"/>
        <w:contextualSpacing w:val="0"/>
        <w:rPr>
          <w:color w:val="000000" w:themeColor="text1"/>
        </w:rPr>
      </w:pPr>
      <w:r>
        <w:rPr>
          <w:bCs/>
          <w:color w:val="000000" w:themeColor="text1"/>
        </w:rPr>
        <w:t xml:space="preserve">Proposal 1: considering </w:t>
      </w:r>
      <w:r>
        <w:rPr>
          <w:color w:val="000000" w:themeColor="text1"/>
        </w:rPr>
        <w:t>i</w:t>
      </w:r>
      <w:r w:rsidRPr="00A55E8A">
        <w:rPr>
          <w:color w:val="000000" w:themeColor="text1"/>
        </w:rPr>
        <w:t>t is invalid that only event entering condition is configured and leaving condition is not configured</w:t>
      </w:r>
      <w:r>
        <w:rPr>
          <w:color w:val="000000" w:themeColor="text1"/>
        </w:rPr>
        <w:t xml:space="preserve">, update previous agreement to: </w:t>
      </w:r>
      <w:r>
        <w:rPr>
          <w:bCs/>
          <w:color w:val="000000" w:themeColor="text1"/>
        </w:rPr>
        <w:t>(Huawei)</w:t>
      </w:r>
    </w:p>
    <w:p w14:paraId="6ED865D3" w14:textId="77777777" w:rsidR="00051B44" w:rsidRPr="00A55E8A" w:rsidRDefault="00051B44" w:rsidP="00051B44">
      <w:pPr>
        <w:pStyle w:val="ListParagraph"/>
        <w:numPr>
          <w:ilvl w:val="1"/>
          <w:numId w:val="67"/>
        </w:numPr>
        <w:spacing w:after="120"/>
        <w:contextualSpacing w:val="0"/>
        <w:rPr>
          <w:color w:val="000000" w:themeColor="text1"/>
        </w:rPr>
      </w:pPr>
      <w:r w:rsidRPr="00A55E8A">
        <w:rPr>
          <w:color w:val="000000" w:themeColor="text1"/>
        </w:rPr>
        <w:t xml:space="preserve">For FR1: </w:t>
      </w:r>
    </w:p>
    <w:p w14:paraId="7EC751E0" w14:textId="77777777" w:rsidR="00051B44" w:rsidRPr="00A55E8A" w:rsidRDefault="00051B44" w:rsidP="00051B44">
      <w:pPr>
        <w:pStyle w:val="ListParagraph"/>
        <w:numPr>
          <w:ilvl w:val="2"/>
          <w:numId w:val="67"/>
        </w:numPr>
        <w:spacing w:after="120"/>
        <w:contextualSpacing w:val="0"/>
        <w:rPr>
          <w:color w:val="000000" w:themeColor="text1"/>
        </w:rPr>
      </w:pPr>
      <w:r w:rsidRPr="00A55E8A">
        <w:rPr>
          <w:color w:val="000000" w:themeColor="text1"/>
        </w:rPr>
        <w:t>UE has sent an event-triggered L1 report due to the entering condition is met and the reporting condition continues to be met at the time of receiving the cell switch command or TCI state activation command, and leaving condition of the event is not met</w:t>
      </w:r>
    </w:p>
    <w:p w14:paraId="3F9CF2BD" w14:textId="77777777" w:rsidR="00051B44" w:rsidRPr="00A55E8A" w:rsidRDefault="00051B44" w:rsidP="00051B44">
      <w:pPr>
        <w:pStyle w:val="ListParagraph"/>
        <w:numPr>
          <w:ilvl w:val="2"/>
          <w:numId w:val="67"/>
        </w:numPr>
        <w:spacing w:after="120"/>
        <w:contextualSpacing w:val="0"/>
        <w:rPr>
          <w:color w:val="000000" w:themeColor="text1"/>
        </w:rPr>
      </w:pPr>
      <w:r>
        <w:rPr>
          <w:color w:val="000000" w:themeColor="text1"/>
        </w:rPr>
        <w:t>T</w:t>
      </w:r>
      <w:r w:rsidRPr="00A55E8A">
        <w:rPr>
          <w:color w:val="000000" w:themeColor="text1"/>
        </w:rPr>
        <w:t>he related cell switch delay and TCI state activation requirements are applicable</w:t>
      </w:r>
    </w:p>
    <w:p w14:paraId="031919F3" w14:textId="77777777" w:rsidR="00051B44" w:rsidRDefault="00051B44" w:rsidP="00051B44">
      <w:pPr>
        <w:pStyle w:val="ListParagraph"/>
        <w:numPr>
          <w:ilvl w:val="1"/>
          <w:numId w:val="67"/>
        </w:numPr>
        <w:spacing w:after="120"/>
        <w:contextualSpacing w:val="0"/>
        <w:rPr>
          <w:color w:val="000000" w:themeColor="text1"/>
        </w:rPr>
      </w:pPr>
      <w:r w:rsidRPr="00A55E8A">
        <w:rPr>
          <w:color w:val="000000" w:themeColor="text1"/>
        </w:rPr>
        <w:t>The above optimization is not applicable to FR2</w:t>
      </w:r>
    </w:p>
    <w:p w14:paraId="75053838" w14:textId="77777777" w:rsidR="00051B44" w:rsidRDefault="00051B44" w:rsidP="00051B44">
      <w:pPr>
        <w:pStyle w:val="ListParagraph"/>
        <w:numPr>
          <w:ilvl w:val="0"/>
          <w:numId w:val="67"/>
        </w:numPr>
        <w:spacing w:after="120"/>
        <w:contextualSpacing w:val="0"/>
        <w:rPr>
          <w:color w:val="000000" w:themeColor="text1"/>
        </w:rPr>
      </w:pPr>
      <w:r>
        <w:rPr>
          <w:color w:val="000000" w:themeColor="text1"/>
        </w:rPr>
        <w:t>Proposal</w:t>
      </w:r>
      <w:r w:rsidRPr="008611D4">
        <w:rPr>
          <w:color w:val="000000" w:themeColor="text1"/>
        </w:rPr>
        <w:t xml:space="preserve"> </w:t>
      </w:r>
      <w:r>
        <w:rPr>
          <w:color w:val="000000" w:themeColor="text1"/>
        </w:rPr>
        <w:t>2</w:t>
      </w:r>
      <w:r w:rsidRPr="008611D4">
        <w:rPr>
          <w:color w:val="000000" w:themeColor="text1"/>
        </w:rPr>
        <w:t xml:space="preserve">: </w:t>
      </w:r>
      <w:bookmarkStart w:id="7" w:name="_Toc197674419"/>
      <w:r w:rsidRPr="00845D14">
        <w:rPr>
          <w:color w:val="000000" w:themeColor="text1"/>
        </w:rPr>
        <w:t>Apply to both FR1 and FR2: When UE has sent event-triggered L1 report and leave condition of the event is configured and UE has not sent report on leave before receiving the cell switch command, delay requirements are applicable.</w:t>
      </w:r>
      <w:bookmarkEnd w:id="7"/>
      <w:r w:rsidRPr="00845D14">
        <w:rPr>
          <w:color w:val="000000" w:themeColor="text1"/>
        </w:rPr>
        <w:t xml:space="preserve"> </w:t>
      </w:r>
      <w:r>
        <w:rPr>
          <w:color w:val="000000" w:themeColor="text1"/>
        </w:rPr>
        <w:t>(Nokia)</w:t>
      </w:r>
      <w:bookmarkStart w:id="8" w:name="_Toc197674420"/>
    </w:p>
    <w:p w14:paraId="644ABE58" w14:textId="77777777" w:rsidR="00051B44" w:rsidRPr="00845D14" w:rsidRDefault="00051B44" w:rsidP="00051B44">
      <w:pPr>
        <w:pStyle w:val="ListParagraph"/>
        <w:numPr>
          <w:ilvl w:val="0"/>
          <w:numId w:val="67"/>
        </w:numPr>
        <w:spacing w:after="120"/>
        <w:contextualSpacing w:val="0"/>
        <w:rPr>
          <w:color w:val="000000" w:themeColor="text1"/>
        </w:rPr>
      </w:pPr>
      <w:r>
        <w:rPr>
          <w:color w:val="000000" w:themeColor="text1"/>
        </w:rPr>
        <w:t xml:space="preserve">Proposal 3: </w:t>
      </w:r>
      <w:r>
        <w:t>Either a) introduce no further conditions than UE having sent L1 event-triggered report and condition continuing to be met for the case without leave condition configured, or b) extend applicability from the existing e.g. to 5 seconds based on event-triggered L1 report.</w:t>
      </w:r>
      <w:bookmarkEnd w:id="8"/>
    </w:p>
    <w:p w14:paraId="22752C6F" w14:textId="77777777" w:rsidR="00051B44" w:rsidRPr="00DB20C5" w:rsidRDefault="00051B44" w:rsidP="00051B44">
      <w:pPr>
        <w:pStyle w:val="ListParagraph"/>
        <w:numPr>
          <w:ilvl w:val="0"/>
          <w:numId w:val="67"/>
        </w:numPr>
        <w:spacing w:after="120"/>
        <w:contextualSpacing w:val="0"/>
        <w:rPr>
          <w:color w:val="000000" w:themeColor="text1"/>
        </w:rPr>
      </w:pPr>
      <w:r>
        <w:rPr>
          <w:color w:val="000000" w:themeColor="text1"/>
        </w:rPr>
        <w:t xml:space="preserve">Proposal 4: </w:t>
      </w:r>
      <w:bookmarkStart w:id="9" w:name="_Toc197674421"/>
      <w:r w:rsidRPr="00B05C05">
        <w:rPr>
          <w:color w:val="000000" w:themeColor="text1"/>
        </w:rPr>
        <w:t>Add the following additional condition for T</w:t>
      </w:r>
      <w:r w:rsidRPr="00B05C05">
        <w:rPr>
          <w:color w:val="000000" w:themeColor="text1"/>
          <w:vertAlign w:val="subscript"/>
        </w:rPr>
        <w:t>first-RS</w:t>
      </w:r>
      <w:r w:rsidRPr="00B05C05">
        <w:rPr>
          <w:color w:val="000000" w:themeColor="text1"/>
        </w:rPr>
        <w:t xml:space="preserve"> and T</w:t>
      </w:r>
      <w:r w:rsidRPr="00B05C05">
        <w:rPr>
          <w:color w:val="000000" w:themeColor="text1"/>
          <w:vertAlign w:val="subscript"/>
        </w:rPr>
        <w:t>RS-proc</w:t>
      </w:r>
      <w:r w:rsidRPr="00B05C05">
        <w:rPr>
          <w:color w:val="000000" w:themeColor="text1"/>
        </w:rPr>
        <w:t xml:space="preserve"> = 0: The target TCI state is on the active TCI state list, and the UE has sent an event-triggered L1 report associated to the target TCI state no longer than 160 ms before reception of the cell switch command.</w:t>
      </w:r>
      <w:bookmarkEnd w:id="9"/>
      <w:r>
        <w:rPr>
          <w:color w:val="000000" w:themeColor="text1"/>
        </w:rPr>
        <w:t xml:space="preserve"> (Nokia)</w:t>
      </w:r>
    </w:p>
    <w:p w14:paraId="04365879" w14:textId="77777777" w:rsidR="00051B44" w:rsidRPr="00DB20C5" w:rsidRDefault="00051B44" w:rsidP="00051B44">
      <w:pPr>
        <w:pStyle w:val="ListParagraph"/>
        <w:numPr>
          <w:ilvl w:val="0"/>
          <w:numId w:val="67"/>
        </w:numPr>
        <w:spacing w:after="120"/>
        <w:contextualSpacing w:val="0"/>
        <w:rPr>
          <w:color w:val="000000" w:themeColor="text1"/>
        </w:rPr>
      </w:pPr>
      <w:r w:rsidRPr="00DB20C5">
        <w:rPr>
          <w:color w:val="000000" w:themeColor="text1"/>
        </w:rPr>
        <w:t xml:space="preserve">Proposal </w:t>
      </w:r>
      <w:r>
        <w:rPr>
          <w:color w:val="000000" w:themeColor="text1"/>
        </w:rPr>
        <w:t>5</w:t>
      </w:r>
      <w:r w:rsidRPr="00DB20C5">
        <w:rPr>
          <w:color w:val="000000" w:themeColor="text1"/>
        </w:rPr>
        <w:t>: add the following condition on agreements under issue 2-7 in RAN4#114bis:</w:t>
      </w:r>
      <w:r>
        <w:rPr>
          <w:color w:val="000000" w:themeColor="text1"/>
        </w:rPr>
        <w:t xml:space="preserve"> (Apple)</w:t>
      </w:r>
    </w:p>
    <w:p w14:paraId="33ECCBA3" w14:textId="77777777" w:rsidR="00051B44" w:rsidRDefault="00051B44" w:rsidP="00051B44">
      <w:pPr>
        <w:pStyle w:val="ListParagraph"/>
        <w:numPr>
          <w:ilvl w:val="1"/>
          <w:numId w:val="67"/>
        </w:numPr>
        <w:spacing w:after="120"/>
        <w:contextualSpacing w:val="0"/>
        <w:rPr>
          <w:color w:val="000000" w:themeColor="text1"/>
        </w:rPr>
      </w:pPr>
      <w:r w:rsidRPr="00DB20C5">
        <w:rPr>
          <w:color w:val="000000" w:themeColor="text1"/>
        </w:rPr>
        <w:t>Number of active TCI does not exceed that UE can support.</w:t>
      </w:r>
    </w:p>
    <w:p w14:paraId="1E4CF01A" w14:textId="77777777" w:rsidR="00051B44" w:rsidRDefault="00051B44" w:rsidP="00051B44">
      <w:pPr>
        <w:pStyle w:val="ListParagraph"/>
        <w:numPr>
          <w:ilvl w:val="0"/>
          <w:numId w:val="67"/>
        </w:numPr>
        <w:spacing w:after="120"/>
        <w:contextualSpacing w:val="0"/>
        <w:rPr>
          <w:color w:val="000000" w:themeColor="text1"/>
        </w:rPr>
      </w:pPr>
      <w:r w:rsidRPr="00C27B68">
        <w:rPr>
          <w:color w:val="000000" w:themeColor="text1"/>
        </w:rPr>
        <w:t xml:space="preserve">Proposal </w:t>
      </w:r>
      <w:r>
        <w:rPr>
          <w:color w:val="000000" w:themeColor="text1"/>
        </w:rPr>
        <w:t>6</w:t>
      </w:r>
      <w:r w:rsidRPr="00C27B68">
        <w:rPr>
          <w:color w:val="000000" w:themeColor="text1"/>
        </w:rPr>
        <w:t>: For FR1, if UE has sent an event-triggered L1 report and the reporting condition continues to be met at the time of receiving the cell switch command or TCI state activation command, leaving condition of the event is configured and corresponding condition is not met,</w:t>
      </w:r>
      <w:r w:rsidRPr="00C27B68">
        <w:rPr>
          <w:rFonts w:hint="eastAsia"/>
          <w:color w:val="000000" w:themeColor="text1"/>
        </w:rPr>
        <w:t xml:space="preserve"> </w:t>
      </w:r>
      <w:r w:rsidRPr="00C27B68">
        <w:rPr>
          <w:color w:val="000000" w:themeColor="text1"/>
        </w:rPr>
        <w:t>the related cell switch delay and TCI state activation requirements are applicable. Not to extend the optimization to other cases. (MTK)</w:t>
      </w:r>
    </w:p>
    <w:p w14:paraId="08A3DEA7" w14:textId="77777777" w:rsidR="00051B44" w:rsidRPr="00A55E8A" w:rsidRDefault="00051B44" w:rsidP="00051B44">
      <w:pPr>
        <w:pStyle w:val="ListParagraph"/>
        <w:numPr>
          <w:ilvl w:val="0"/>
          <w:numId w:val="67"/>
        </w:numPr>
        <w:spacing w:after="120"/>
        <w:contextualSpacing w:val="0"/>
        <w:rPr>
          <w:color w:val="000000" w:themeColor="text1"/>
        </w:rPr>
      </w:pPr>
      <w:r>
        <w:rPr>
          <w:color w:val="000000" w:themeColor="text1"/>
        </w:rPr>
        <w:t>Proposal 7:</w:t>
      </w:r>
      <w:r w:rsidRPr="00FA0674">
        <w:rPr>
          <w:bCs/>
          <w:color w:val="000000" w:themeColor="text1"/>
        </w:rPr>
        <w:t xml:space="preserve"> </w:t>
      </w:r>
      <w:r w:rsidRPr="00FA0674">
        <w:rPr>
          <w:rFonts w:hint="eastAsia"/>
          <w:bCs/>
          <w:color w:val="000000" w:themeColor="text1"/>
        </w:rPr>
        <w:t>For both FR1 and FR2, the TCI state is considered as known during 1280ms after event-triggered L1 report. And the related cell switch delay and TCI state activation requirements are applicable.</w:t>
      </w:r>
      <w:r w:rsidRPr="00FA0674">
        <w:rPr>
          <w:bCs/>
          <w:color w:val="000000" w:themeColor="text1"/>
        </w:rPr>
        <w:t xml:space="preserve"> (ZTE)</w:t>
      </w:r>
    </w:p>
    <w:p w14:paraId="11A171E8" w14:textId="77777777" w:rsidR="00051B44" w:rsidRPr="0064704D" w:rsidRDefault="00051B44" w:rsidP="00051B44">
      <w:pPr>
        <w:pStyle w:val="ListParagraph"/>
        <w:numPr>
          <w:ilvl w:val="0"/>
          <w:numId w:val="67"/>
        </w:numPr>
        <w:spacing w:after="120"/>
        <w:contextualSpacing w:val="0"/>
        <w:rPr>
          <w:color w:val="000000" w:themeColor="text1"/>
        </w:rPr>
      </w:pPr>
      <w:r>
        <w:rPr>
          <w:color w:val="000000" w:themeColor="text1"/>
        </w:rPr>
        <w:t xml:space="preserve">Proposal 8: </w:t>
      </w:r>
      <w:r w:rsidRPr="0064704D">
        <w:rPr>
          <w:color w:val="000000" w:themeColor="text1"/>
        </w:rPr>
        <w:t>RAN4 to revisit the definition of TCI state known condition to accommodate event triggered LTM reporting. Potential spec change is highlighted in the following:</w:t>
      </w:r>
      <w:r>
        <w:rPr>
          <w:color w:val="000000" w:themeColor="text1"/>
        </w:rPr>
        <w:t xml:space="preserve"> (E///)</w:t>
      </w:r>
    </w:p>
    <w:p w14:paraId="799B7E76" w14:textId="77777777" w:rsidR="00051B44" w:rsidRPr="00AF5FC8" w:rsidRDefault="00051B44" w:rsidP="00051B44">
      <w:pPr>
        <w:pStyle w:val="ListParagraph"/>
        <w:numPr>
          <w:ilvl w:val="1"/>
          <w:numId w:val="67"/>
        </w:numPr>
        <w:spacing w:after="120"/>
        <w:contextualSpacing w:val="0"/>
        <w:rPr>
          <w:color w:val="000000" w:themeColor="text1"/>
        </w:rPr>
      </w:pPr>
      <w:r w:rsidRPr="0064704D">
        <w:rPr>
          <w:color w:val="000000" w:themeColor="text1"/>
        </w:rPr>
        <w:t>The UE has sent at least 1 valid L1-RSRP report for the target downlink TCI state before the MAC CE command is received. Or UE has sent at least one L3-RSRP report with beam index corresponding to the candidate cell on which the L1 event is configured</w:t>
      </w:r>
    </w:p>
    <w:p w14:paraId="032BF252" w14:textId="2BABE412" w:rsidR="00282295" w:rsidRDefault="000E1AAD" w:rsidP="00051B44">
      <w:pPr>
        <w:spacing w:after="120"/>
        <w:rPr>
          <w:rFonts w:eastAsia="SimSun"/>
          <w:color w:val="000000" w:themeColor="text1"/>
          <w:lang w:val="en-GB"/>
        </w:rPr>
      </w:pPr>
      <w:r>
        <w:rPr>
          <w:bCs/>
          <w:color w:val="000000" w:themeColor="text1"/>
        </w:rPr>
        <w:lastRenderedPageBreak/>
        <w:t xml:space="preserve">First of all, we have same understanding with Huawei that </w:t>
      </w:r>
      <w:r>
        <w:rPr>
          <w:rFonts w:eastAsia="SimSun"/>
          <w:color w:val="000000" w:themeColor="text1"/>
          <w:lang w:val="en-GB"/>
        </w:rPr>
        <w:t>i</w:t>
      </w:r>
      <w:r w:rsidRPr="00A55E8A">
        <w:rPr>
          <w:rFonts w:eastAsia="SimSun"/>
          <w:color w:val="000000" w:themeColor="text1"/>
          <w:lang w:val="en-GB"/>
        </w:rPr>
        <w:t>t is invalid that only event entering condition is configured and leaving condition is not configured</w:t>
      </w:r>
      <w:r>
        <w:rPr>
          <w:rFonts w:eastAsia="SimSun"/>
          <w:color w:val="000000" w:themeColor="text1"/>
          <w:lang w:val="en-GB"/>
        </w:rPr>
        <w:t>. Second, after reviewing all proposals, we list the following points that we can agree:</w:t>
      </w:r>
    </w:p>
    <w:p w14:paraId="0B717F50" w14:textId="77777777" w:rsidR="000E1AAD" w:rsidRPr="000E1AAD" w:rsidRDefault="000E1AAD" w:rsidP="00051B44">
      <w:pPr>
        <w:spacing w:after="120"/>
        <w:rPr>
          <w:bCs/>
          <w:color w:val="000000" w:themeColor="text1"/>
          <w:lang w:val="en-US"/>
        </w:rPr>
      </w:pPr>
    </w:p>
    <w:p w14:paraId="0D018B78" w14:textId="6FC9BF14" w:rsidR="00282295" w:rsidRPr="003823A8" w:rsidRDefault="00282295" w:rsidP="00C53DE1">
      <w:pPr>
        <w:rPr>
          <w:rFonts w:eastAsia="PMingLiU"/>
          <w:lang w:eastAsia="en-US"/>
        </w:rPr>
      </w:pPr>
      <w:r>
        <w:rPr>
          <w:rFonts w:eastAsia="PMingLiU"/>
          <w:lang w:eastAsia="en-US"/>
        </w:rPr>
        <w:t xml:space="preserve">We are open to whether continue optimizing case 2 and FR2. However, </w:t>
      </w:r>
      <w:r>
        <w:rPr>
          <w:rFonts w:eastAsia="PMingLiU"/>
          <w:lang w:val="en-US" w:eastAsia="en-US"/>
        </w:rPr>
        <w:t>we think it is necessary to</w:t>
      </w:r>
      <w:r w:rsidRPr="00282295">
        <w:rPr>
          <w:rFonts w:eastAsia="PMingLiU"/>
          <w:lang w:val="en-US" w:eastAsia="en-US"/>
        </w:rPr>
        <w:t xml:space="preserve"> add a condition that number of active TCI does not exceed that UE can support.</w:t>
      </w:r>
    </w:p>
    <w:p w14:paraId="1C8CD7B7" w14:textId="5BCC50A9" w:rsidR="0070659A" w:rsidRDefault="0070659A" w:rsidP="0070659A">
      <w:pPr>
        <w:pStyle w:val="Caption"/>
        <w:rPr>
          <w:rFonts w:eastAsia="PMingLiU"/>
          <w:lang w:val="en-US"/>
        </w:rPr>
      </w:pPr>
      <w:bookmarkStart w:id="10" w:name="_Ref193918025"/>
      <w:bookmarkStart w:id="11" w:name="_Ref197631027"/>
      <w:r>
        <w:t xml:space="preserve">Proposal </w:t>
      </w:r>
      <w:r>
        <w:fldChar w:fldCharType="begin"/>
      </w:r>
      <w:r>
        <w:instrText xml:space="preserve"> SEQ Proposal \* ARABIC </w:instrText>
      </w:r>
      <w:r>
        <w:fldChar w:fldCharType="separate"/>
      </w:r>
      <w:r w:rsidR="0052240B">
        <w:rPr>
          <w:noProof/>
        </w:rPr>
        <w:t>2</w:t>
      </w:r>
      <w:r>
        <w:fldChar w:fldCharType="end"/>
      </w:r>
      <w:r>
        <w:t>:</w:t>
      </w:r>
      <w:bookmarkEnd w:id="10"/>
      <w:r w:rsidR="00CE2CFF">
        <w:rPr>
          <w:rFonts w:eastAsia="PMingLiU"/>
          <w:lang w:val="en-US"/>
        </w:rPr>
        <w:t xml:space="preserve"> </w:t>
      </w:r>
      <w:r w:rsidR="0061792A">
        <w:rPr>
          <w:rFonts w:eastAsia="PMingLiU"/>
          <w:lang w:val="en-US"/>
        </w:rPr>
        <w:t xml:space="preserve"> </w:t>
      </w:r>
      <w:r w:rsidR="000E1AAD">
        <w:rPr>
          <w:rFonts w:eastAsia="PMingLiU"/>
          <w:lang w:val="en-US"/>
        </w:rPr>
        <w:t>consider the following updates on applicability of cell switch and TCI state activation requirements</w:t>
      </w:r>
      <w:r w:rsidR="00482B4A">
        <w:rPr>
          <w:rFonts w:eastAsia="PMingLiU"/>
          <w:lang w:val="en-US"/>
        </w:rPr>
        <w:t>:</w:t>
      </w:r>
      <w:bookmarkEnd w:id="11"/>
    </w:p>
    <w:p w14:paraId="0DDFA7F9" w14:textId="1FDE0DD2" w:rsidR="000E1AAD" w:rsidRPr="000E1AAD" w:rsidRDefault="000E1AAD" w:rsidP="00482B4A">
      <w:pPr>
        <w:pStyle w:val="ListParagraph"/>
        <w:numPr>
          <w:ilvl w:val="0"/>
          <w:numId w:val="67"/>
        </w:numPr>
        <w:rPr>
          <w:rFonts w:eastAsia="PMingLiU"/>
          <w:b/>
          <w:bCs/>
          <w:lang w:val="en-US" w:eastAsia="en-US"/>
        </w:rPr>
      </w:pPr>
      <w:r w:rsidRPr="000E1AAD">
        <w:rPr>
          <w:rFonts w:eastAsia="PMingLiU"/>
          <w:b/>
          <w:bCs/>
          <w:lang w:val="en-CN" w:eastAsia="en-US"/>
        </w:rPr>
        <w:t>For FR1, the related cell switch delay and TCI state activation requirements are applicable</w:t>
      </w:r>
      <w:r>
        <w:rPr>
          <w:rFonts w:eastAsia="PMingLiU"/>
          <w:b/>
          <w:bCs/>
          <w:lang w:val="en-CN" w:eastAsia="en-US"/>
        </w:rPr>
        <w:t xml:space="preserve"> when the following conditions are met:</w:t>
      </w:r>
    </w:p>
    <w:p w14:paraId="7CC8026F" w14:textId="2DE8AA88" w:rsidR="000E1AAD" w:rsidRPr="000E1AAD" w:rsidRDefault="000E1AAD" w:rsidP="000E1AAD">
      <w:pPr>
        <w:pStyle w:val="ListParagraph"/>
        <w:numPr>
          <w:ilvl w:val="1"/>
          <w:numId w:val="67"/>
        </w:numPr>
        <w:rPr>
          <w:rFonts w:eastAsia="PMingLiU"/>
          <w:b/>
          <w:bCs/>
          <w:lang w:val="en-US" w:eastAsia="en-US"/>
        </w:rPr>
      </w:pPr>
      <w:r w:rsidRPr="000E1AAD">
        <w:rPr>
          <w:rFonts w:eastAsia="PMingLiU"/>
          <w:b/>
          <w:bCs/>
          <w:lang w:val="en-CN" w:eastAsia="en-US"/>
        </w:rPr>
        <w:t>UE has sent an event-triggered L1 report</w:t>
      </w:r>
      <w:r>
        <w:rPr>
          <w:rFonts w:eastAsia="PMingLiU"/>
          <w:b/>
          <w:bCs/>
          <w:lang w:val="en-CN" w:eastAsia="en-US"/>
        </w:rPr>
        <w:t xml:space="preserve">, and </w:t>
      </w:r>
    </w:p>
    <w:p w14:paraId="7CF5A775" w14:textId="45C3DABD" w:rsidR="000E1AAD" w:rsidRPr="000E1AAD" w:rsidRDefault="000E1AAD" w:rsidP="000E1AAD">
      <w:pPr>
        <w:pStyle w:val="ListParagraph"/>
        <w:numPr>
          <w:ilvl w:val="1"/>
          <w:numId w:val="67"/>
        </w:numPr>
        <w:rPr>
          <w:rFonts w:eastAsia="PMingLiU"/>
          <w:b/>
          <w:bCs/>
          <w:lang w:val="en-US" w:eastAsia="en-US"/>
        </w:rPr>
      </w:pPr>
      <w:r w:rsidRPr="000E1AAD">
        <w:rPr>
          <w:rFonts w:eastAsia="PMingLiU"/>
          <w:b/>
          <w:bCs/>
          <w:lang w:val="en-CN" w:eastAsia="en-US"/>
        </w:rPr>
        <w:t xml:space="preserve">the reporting condition continues to be met at the time of receiving the cell switch command or TCI state activation command, </w:t>
      </w:r>
      <w:r>
        <w:rPr>
          <w:rFonts w:eastAsia="PMingLiU"/>
          <w:b/>
          <w:bCs/>
          <w:lang w:val="en-CN" w:eastAsia="en-US"/>
        </w:rPr>
        <w:t>and</w:t>
      </w:r>
    </w:p>
    <w:p w14:paraId="11FA5D9C" w14:textId="58F18B5F" w:rsidR="00482B4A" w:rsidRPr="000E1AAD" w:rsidRDefault="000E1AAD" w:rsidP="000E1AAD">
      <w:pPr>
        <w:pStyle w:val="ListParagraph"/>
        <w:numPr>
          <w:ilvl w:val="1"/>
          <w:numId w:val="67"/>
        </w:numPr>
        <w:rPr>
          <w:rFonts w:eastAsia="PMingLiU"/>
          <w:b/>
          <w:bCs/>
          <w:lang w:val="en-US" w:eastAsia="en-US"/>
        </w:rPr>
      </w:pPr>
      <w:r w:rsidRPr="000E1AAD">
        <w:rPr>
          <w:rFonts w:eastAsia="PMingLiU"/>
          <w:b/>
          <w:bCs/>
          <w:lang w:val="en-CN" w:eastAsia="en-US"/>
        </w:rPr>
        <w:t>leaving condition of the event is configured and corresponding condition is not met,</w:t>
      </w:r>
      <w:r>
        <w:rPr>
          <w:rFonts w:eastAsia="PMingLiU"/>
          <w:b/>
          <w:bCs/>
          <w:lang w:val="en-CN" w:eastAsia="en-US"/>
        </w:rPr>
        <w:t xml:space="preserve"> and</w:t>
      </w:r>
    </w:p>
    <w:p w14:paraId="5771CFC1" w14:textId="216B4C32" w:rsidR="000E1AAD" w:rsidRPr="000E1AAD" w:rsidRDefault="000E1AAD" w:rsidP="000E1AAD">
      <w:pPr>
        <w:pStyle w:val="ListParagraph"/>
        <w:numPr>
          <w:ilvl w:val="1"/>
          <w:numId w:val="67"/>
        </w:numPr>
        <w:rPr>
          <w:rFonts w:eastAsia="PMingLiU"/>
          <w:b/>
          <w:bCs/>
          <w:lang w:val="en-US" w:eastAsia="en-US"/>
        </w:rPr>
      </w:pPr>
      <w:r w:rsidRPr="000E1AAD">
        <w:rPr>
          <w:rFonts w:eastAsia="PMingLiU"/>
          <w:b/>
          <w:bCs/>
          <w:lang w:val="en-CN" w:eastAsia="en-US"/>
        </w:rPr>
        <w:t>Number of active TCI does not exceed that UE can support</w:t>
      </w:r>
    </w:p>
    <w:p w14:paraId="5C504AE4" w14:textId="77777777" w:rsidR="000E1AAD" w:rsidRPr="000E1AAD" w:rsidRDefault="000E1AAD" w:rsidP="000E1AAD">
      <w:pPr>
        <w:rPr>
          <w:rFonts w:eastAsia="PMingLiU"/>
          <w:b/>
          <w:bCs/>
          <w:lang w:val="en-US" w:eastAsia="en-US"/>
        </w:rPr>
      </w:pPr>
    </w:p>
    <w:p w14:paraId="33A485CF" w14:textId="77777777" w:rsidR="00482B4A" w:rsidRPr="00482B4A" w:rsidRDefault="00482B4A" w:rsidP="00482B4A">
      <w:pPr>
        <w:rPr>
          <w:rFonts w:eastAsia="PMingLiU"/>
          <w:lang w:val="en-US" w:eastAsia="en-US"/>
        </w:rPr>
      </w:pPr>
    </w:p>
    <w:p w14:paraId="05563966" w14:textId="1B6950F3" w:rsidR="00E310D5" w:rsidRDefault="00E310D5" w:rsidP="002E7623">
      <w:pPr>
        <w:pStyle w:val="Caption"/>
        <w:rPr>
          <w:lang w:val="en-CN"/>
        </w:rPr>
      </w:pPr>
    </w:p>
    <w:p w14:paraId="0827BE58" w14:textId="4E15D08A" w:rsidR="002E7623" w:rsidRPr="002E7623" w:rsidRDefault="002E7623" w:rsidP="002E7623">
      <w:pPr>
        <w:rPr>
          <w:lang w:eastAsia="en-US"/>
        </w:rPr>
      </w:pPr>
    </w:p>
    <w:p w14:paraId="57E4C35D" w14:textId="77777777" w:rsidR="00E310D5" w:rsidRPr="00EE49AB" w:rsidRDefault="004552DD">
      <w:pPr>
        <w:pStyle w:val="Heading1"/>
        <w:overflowPunct w:val="0"/>
        <w:autoSpaceDE w:val="0"/>
        <w:autoSpaceDN w:val="0"/>
        <w:adjustRightInd w:val="0"/>
        <w:spacing w:before="0" w:after="120"/>
        <w:rPr>
          <w:rFonts w:eastAsia="PMingLiU" w:cs="Arial"/>
          <w:lang w:val="en-US"/>
        </w:rPr>
      </w:pPr>
      <w:r w:rsidRPr="00EE49AB">
        <w:rPr>
          <w:rFonts w:eastAsia="PMingLiU" w:cs="Arial"/>
          <w:lang w:val="en-US"/>
        </w:rPr>
        <w:t>Conclusion</w:t>
      </w:r>
    </w:p>
    <w:bookmarkEnd w:id="0"/>
    <w:bookmarkEnd w:id="1"/>
    <w:p w14:paraId="186CE218" w14:textId="209CB25B" w:rsidR="00E75B89" w:rsidRDefault="0080742C" w:rsidP="00E75B89">
      <w:pPr>
        <w:spacing w:before="120" w:after="120"/>
        <w:jc w:val="both"/>
      </w:pPr>
      <w:r w:rsidRPr="00EE49AB">
        <w:t xml:space="preserve">In this contribution, we provide discussion on </w:t>
      </w:r>
      <w:r w:rsidR="00F96BA4" w:rsidRPr="00EE49AB">
        <w:t>measurement related enhancements for LTM</w:t>
      </w:r>
      <w:r w:rsidRPr="00EE49AB">
        <w:t>. After discussion, the following conclusions are provided:</w:t>
      </w:r>
    </w:p>
    <w:p w14:paraId="09EFB74A" w14:textId="69D51FE9" w:rsidR="005E2E89" w:rsidRPr="00C21ABF" w:rsidRDefault="00C21ABF" w:rsidP="00234395">
      <w:pPr>
        <w:spacing w:before="120" w:after="120"/>
        <w:jc w:val="both"/>
        <w:rPr>
          <w:b/>
          <w:bCs/>
        </w:rPr>
      </w:pPr>
      <w:r w:rsidRPr="00C21ABF">
        <w:rPr>
          <w:b/>
          <w:bCs/>
        </w:rPr>
        <w:fldChar w:fldCharType="begin"/>
      </w:r>
      <w:r w:rsidRPr="00C21ABF">
        <w:rPr>
          <w:b/>
          <w:bCs/>
        </w:rPr>
        <w:instrText xml:space="preserve"> REF _Ref205923482 \h  \* MERGEFORMAT </w:instrText>
      </w:r>
      <w:r w:rsidRPr="00C21ABF">
        <w:rPr>
          <w:b/>
          <w:bCs/>
        </w:rPr>
      </w:r>
      <w:r w:rsidRPr="00C21ABF">
        <w:rPr>
          <w:b/>
          <w:bCs/>
        </w:rPr>
        <w:fldChar w:fldCharType="separate"/>
      </w:r>
      <w:r w:rsidRPr="00C21ABF">
        <w:rPr>
          <w:b/>
          <w:bCs/>
        </w:rPr>
        <w:t xml:space="preserve">Proposal </w:t>
      </w:r>
      <w:r w:rsidRPr="00C21ABF">
        <w:rPr>
          <w:b/>
          <w:bCs/>
          <w:noProof/>
        </w:rPr>
        <w:t>1</w:t>
      </w:r>
      <w:r w:rsidRPr="00C21ABF">
        <w:rPr>
          <w:b/>
          <w:bCs/>
        </w:rPr>
        <w:t xml:space="preserve">: </w:t>
      </w:r>
      <w:r w:rsidRPr="00C21ABF">
        <w:rPr>
          <w:rFonts w:eastAsia="SimSun"/>
          <w:b/>
          <w:bCs/>
          <w:color w:val="000000" w:themeColor="text1"/>
        </w:rPr>
        <w:t>the following conditions are considered in the test case design for L1-RSRP reporting delay requirements, but not in core requirements.</w:t>
      </w:r>
      <w:r w:rsidRPr="00C21ABF">
        <w:rPr>
          <w:b/>
          <w:bCs/>
        </w:rPr>
        <w:fldChar w:fldCharType="end"/>
      </w:r>
    </w:p>
    <w:p w14:paraId="5D1468F3" w14:textId="77777777" w:rsidR="00C21ABF" w:rsidRPr="00C21ABF" w:rsidRDefault="00C21ABF" w:rsidP="00C21ABF">
      <w:pPr>
        <w:pStyle w:val="ListParagraph"/>
        <w:numPr>
          <w:ilvl w:val="1"/>
          <w:numId w:val="67"/>
        </w:numPr>
        <w:spacing w:after="120"/>
        <w:contextualSpacing w:val="0"/>
        <w:rPr>
          <w:b/>
          <w:bCs/>
          <w:color w:val="000000" w:themeColor="text1"/>
        </w:rPr>
      </w:pPr>
      <w:r w:rsidRPr="00C21ABF">
        <w:rPr>
          <w:rFonts w:hint="eastAsia"/>
          <w:b/>
          <w:bCs/>
          <w:color w:val="000000" w:themeColor="text1"/>
        </w:rPr>
        <w:t>N</w:t>
      </w:r>
      <w:r w:rsidRPr="00C21ABF">
        <w:rPr>
          <w:b/>
          <w:bCs/>
          <w:color w:val="000000" w:themeColor="text1"/>
        </w:rPr>
        <w:t>o indicate TCI change during the evaluation period.</w:t>
      </w:r>
    </w:p>
    <w:p w14:paraId="730B273D" w14:textId="77777777" w:rsidR="00C21ABF" w:rsidRPr="00C21ABF" w:rsidRDefault="00C21ABF" w:rsidP="00C21ABF">
      <w:pPr>
        <w:pStyle w:val="ListParagraph"/>
        <w:numPr>
          <w:ilvl w:val="1"/>
          <w:numId w:val="67"/>
        </w:numPr>
        <w:spacing w:after="120"/>
        <w:contextualSpacing w:val="0"/>
        <w:rPr>
          <w:b/>
          <w:bCs/>
          <w:color w:val="000000" w:themeColor="text1"/>
        </w:rPr>
      </w:pPr>
      <w:r w:rsidRPr="00C21ABF">
        <w:rPr>
          <w:rFonts w:hint="eastAsia"/>
          <w:b/>
          <w:bCs/>
          <w:color w:val="000000" w:themeColor="text1"/>
        </w:rPr>
        <w:t>N</w:t>
      </w:r>
      <w:r w:rsidRPr="00C21ABF">
        <w:rPr>
          <w:b/>
          <w:bCs/>
          <w:color w:val="000000" w:themeColor="text1"/>
        </w:rPr>
        <w:t>o configuration change w.r.t measurement RS during the evaluation period</w:t>
      </w:r>
    </w:p>
    <w:p w14:paraId="0DED3DC2" w14:textId="77777777" w:rsidR="00C21ABF" w:rsidRPr="00C21ABF" w:rsidRDefault="00C21ABF" w:rsidP="00C21ABF">
      <w:pPr>
        <w:pStyle w:val="ListParagraph"/>
        <w:numPr>
          <w:ilvl w:val="1"/>
          <w:numId w:val="67"/>
        </w:numPr>
        <w:spacing w:after="120"/>
        <w:contextualSpacing w:val="0"/>
        <w:rPr>
          <w:b/>
          <w:bCs/>
          <w:color w:val="000000" w:themeColor="text1"/>
        </w:rPr>
      </w:pPr>
      <w:r w:rsidRPr="00C21ABF">
        <w:rPr>
          <w:b/>
          <w:bCs/>
          <w:color w:val="000000" w:themeColor="text1"/>
        </w:rPr>
        <w:t>After the condition that would trigger the event takes effect, the condition is assumed to be fixed during the whole L1 measurement period</w:t>
      </w:r>
    </w:p>
    <w:p w14:paraId="45781DD1" w14:textId="30362801" w:rsidR="00C21ABF" w:rsidRPr="00C21ABF" w:rsidRDefault="00C21ABF" w:rsidP="00234395">
      <w:pPr>
        <w:spacing w:before="120" w:after="120"/>
        <w:jc w:val="both"/>
        <w:rPr>
          <w:b/>
          <w:bCs/>
        </w:rPr>
      </w:pPr>
      <w:r w:rsidRPr="00C21ABF">
        <w:rPr>
          <w:b/>
          <w:bCs/>
        </w:rPr>
        <w:fldChar w:fldCharType="begin"/>
      </w:r>
      <w:r w:rsidRPr="00C21ABF">
        <w:rPr>
          <w:b/>
          <w:bCs/>
        </w:rPr>
        <w:instrText xml:space="preserve"> REF _Ref197631027 \h  \* MERGEFORMAT </w:instrText>
      </w:r>
      <w:r w:rsidRPr="00C21ABF">
        <w:rPr>
          <w:b/>
          <w:bCs/>
        </w:rPr>
      </w:r>
      <w:r w:rsidRPr="00C21ABF">
        <w:rPr>
          <w:b/>
          <w:bCs/>
        </w:rPr>
        <w:fldChar w:fldCharType="separate"/>
      </w:r>
      <w:r w:rsidRPr="00C21ABF">
        <w:rPr>
          <w:b/>
          <w:bCs/>
        </w:rPr>
        <w:t xml:space="preserve">Proposal </w:t>
      </w:r>
      <w:r w:rsidRPr="00C21ABF">
        <w:rPr>
          <w:b/>
          <w:bCs/>
          <w:noProof/>
        </w:rPr>
        <w:t>2</w:t>
      </w:r>
      <w:r w:rsidRPr="00C21ABF">
        <w:rPr>
          <w:b/>
          <w:bCs/>
        </w:rPr>
        <w:t>:</w:t>
      </w:r>
      <w:r w:rsidRPr="00C21ABF">
        <w:rPr>
          <w:rFonts w:eastAsia="PMingLiU"/>
          <w:b/>
          <w:bCs/>
          <w:lang w:val="en-US"/>
        </w:rPr>
        <w:t xml:space="preserve">  consider the following updates on applicability of cell switch and TCI state activation requirements:</w:t>
      </w:r>
      <w:r w:rsidRPr="00C21ABF">
        <w:rPr>
          <w:b/>
          <w:bCs/>
        </w:rPr>
        <w:fldChar w:fldCharType="end"/>
      </w:r>
    </w:p>
    <w:p w14:paraId="684E336C" w14:textId="77777777" w:rsidR="00C21ABF" w:rsidRPr="00C21ABF" w:rsidRDefault="00C21ABF" w:rsidP="00C21ABF">
      <w:pPr>
        <w:pStyle w:val="ListParagraph"/>
        <w:numPr>
          <w:ilvl w:val="0"/>
          <w:numId w:val="67"/>
        </w:numPr>
        <w:rPr>
          <w:rFonts w:eastAsia="PMingLiU"/>
          <w:b/>
          <w:bCs/>
          <w:lang w:val="en-US" w:eastAsia="en-US"/>
        </w:rPr>
      </w:pPr>
      <w:r w:rsidRPr="00C21ABF">
        <w:rPr>
          <w:rFonts w:eastAsia="PMingLiU"/>
          <w:b/>
          <w:bCs/>
          <w:lang w:val="en-CN" w:eastAsia="en-US"/>
        </w:rPr>
        <w:t>For FR1, the related cell switch delay and TCI state activation requirements are applicable when the following conditions are met:</w:t>
      </w:r>
    </w:p>
    <w:p w14:paraId="1B17995E" w14:textId="77777777" w:rsidR="00C21ABF" w:rsidRPr="00C21ABF" w:rsidRDefault="00C21ABF" w:rsidP="00C21ABF">
      <w:pPr>
        <w:pStyle w:val="ListParagraph"/>
        <w:numPr>
          <w:ilvl w:val="1"/>
          <w:numId w:val="67"/>
        </w:numPr>
        <w:rPr>
          <w:rFonts w:eastAsia="PMingLiU"/>
          <w:b/>
          <w:bCs/>
          <w:lang w:val="en-US" w:eastAsia="en-US"/>
        </w:rPr>
      </w:pPr>
      <w:r w:rsidRPr="00C21ABF">
        <w:rPr>
          <w:rFonts w:eastAsia="PMingLiU"/>
          <w:b/>
          <w:bCs/>
          <w:lang w:val="en-CN" w:eastAsia="en-US"/>
        </w:rPr>
        <w:t xml:space="preserve">UE has sent an event-triggered L1 report, and </w:t>
      </w:r>
    </w:p>
    <w:p w14:paraId="73636A89" w14:textId="77777777" w:rsidR="00C21ABF" w:rsidRPr="00C21ABF" w:rsidRDefault="00C21ABF" w:rsidP="00C21ABF">
      <w:pPr>
        <w:pStyle w:val="ListParagraph"/>
        <w:numPr>
          <w:ilvl w:val="1"/>
          <w:numId w:val="67"/>
        </w:numPr>
        <w:rPr>
          <w:rFonts w:eastAsia="PMingLiU"/>
          <w:b/>
          <w:bCs/>
          <w:lang w:val="en-US" w:eastAsia="en-US"/>
        </w:rPr>
      </w:pPr>
      <w:r w:rsidRPr="00C21ABF">
        <w:rPr>
          <w:rFonts w:eastAsia="PMingLiU"/>
          <w:b/>
          <w:bCs/>
          <w:lang w:val="en-CN" w:eastAsia="en-US"/>
        </w:rPr>
        <w:t>the reporting condition continues to be met at the time of receiving the cell switch command or TCI state activation command, and</w:t>
      </w:r>
    </w:p>
    <w:p w14:paraId="47FAFD3C" w14:textId="77777777" w:rsidR="00C21ABF" w:rsidRPr="00C21ABF" w:rsidRDefault="00C21ABF" w:rsidP="00C21ABF">
      <w:pPr>
        <w:pStyle w:val="ListParagraph"/>
        <w:numPr>
          <w:ilvl w:val="1"/>
          <w:numId w:val="67"/>
        </w:numPr>
        <w:rPr>
          <w:rFonts w:eastAsia="PMingLiU"/>
          <w:b/>
          <w:bCs/>
          <w:lang w:val="en-US" w:eastAsia="en-US"/>
        </w:rPr>
      </w:pPr>
      <w:r w:rsidRPr="00C21ABF">
        <w:rPr>
          <w:rFonts w:eastAsia="PMingLiU"/>
          <w:b/>
          <w:bCs/>
          <w:lang w:val="en-CN" w:eastAsia="en-US"/>
        </w:rPr>
        <w:t>leaving condition of the event is configured and corresponding condition is not met, and</w:t>
      </w:r>
    </w:p>
    <w:p w14:paraId="02D1BD31" w14:textId="77777777" w:rsidR="00C21ABF" w:rsidRPr="00C21ABF" w:rsidRDefault="00C21ABF" w:rsidP="00C21ABF">
      <w:pPr>
        <w:pStyle w:val="ListParagraph"/>
        <w:numPr>
          <w:ilvl w:val="1"/>
          <w:numId w:val="67"/>
        </w:numPr>
        <w:rPr>
          <w:rFonts w:eastAsia="PMingLiU"/>
          <w:b/>
          <w:bCs/>
          <w:lang w:val="en-US" w:eastAsia="en-US"/>
        </w:rPr>
      </w:pPr>
      <w:r w:rsidRPr="00C21ABF">
        <w:rPr>
          <w:rFonts w:eastAsia="PMingLiU"/>
          <w:b/>
          <w:bCs/>
          <w:lang w:val="en-CN" w:eastAsia="en-US"/>
        </w:rPr>
        <w:t>Number of active TCI does not exceed that UE can support</w:t>
      </w:r>
    </w:p>
    <w:p w14:paraId="6601A61A" w14:textId="77777777" w:rsidR="00C21ABF" w:rsidRPr="00C21ABF" w:rsidRDefault="00C21ABF" w:rsidP="00234395">
      <w:pPr>
        <w:spacing w:before="120" w:after="120"/>
        <w:jc w:val="both"/>
        <w:rPr>
          <w:b/>
          <w:bCs/>
          <w:lang w:val="en-US"/>
        </w:rPr>
      </w:pPr>
    </w:p>
    <w:p w14:paraId="55571EEF" w14:textId="77777777" w:rsidR="0052240B" w:rsidRPr="002C6678" w:rsidRDefault="0052240B" w:rsidP="00234395">
      <w:pPr>
        <w:spacing w:before="120" w:after="120"/>
        <w:jc w:val="both"/>
        <w:rPr>
          <w:lang w:val="en-US"/>
        </w:rPr>
      </w:pPr>
    </w:p>
    <w:p w14:paraId="32B7C684" w14:textId="77777777" w:rsidR="005C6854" w:rsidRPr="00EE49AB" w:rsidRDefault="005C6854" w:rsidP="00653A7D">
      <w:pPr>
        <w:rPr>
          <w:b/>
          <w:bCs/>
          <w:lang w:eastAsia="en-US"/>
        </w:rPr>
      </w:pPr>
    </w:p>
    <w:p w14:paraId="5163CAA2" w14:textId="77777777" w:rsidR="00E310D5" w:rsidRPr="00EE49AB" w:rsidRDefault="004552DD">
      <w:pPr>
        <w:pStyle w:val="Heading1"/>
        <w:overflowPunct w:val="0"/>
        <w:autoSpaceDE w:val="0"/>
        <w:autoSpaceDN w:val="0"/>
        <w:adjustRightInd w:val="0"/>
        <w:spacing w:before="0" w:after="120"/>
        <w:rPr>
          <w:rFonts w:eastAsia="PMingLiU" w:cs="Arial"/>
          <w:lang w:val="en-US"/>
        </w:rPr>
      </w:pPr>
      <w:r w:rsidRPr="00EE49AB">
        <w:rPr>
          <w:rFonts w:eastAsia="PMingLiU" w:cs="Arial"/>
          <w:lang w:val="en-US" w:eastAsia="zh-TW"/>
        </w:rPr>
        <w:lastRenderedPageBreak/>
        <w:t>R</w:t>
      </w:r>
      <w:r w:rsidRPr="00EE49AB">
        <w:rPr>
          <w:rFonts w:eastAsia="PMingLiU" w:cs="Arial"/>
          <w:lang w:val="en-US"/>
        </w:rPr>
        <w:t>eference</w:t>
      </w:r>
    </w:p>
    <w:p w14:paraId="7C618396" w14:textId="79A1D35F" w:rsidR="00E310D5" w:rsidRPr="00EE49AB" w:rsidRDefault="00A85E2C" w:rsidP="0096625C">
      <w:pPr>
        <w:pStyle w:val="ListParagraph"/>
        <w:numPr>
          <w:ilvl w:val="0"/>
          <w:numId w:val="21"/>
        </w:numPr>
        <w:spacing w:after="120"/>
        <w:rPr>
          <w:bCs/>
          <w:lang w:val="en-US"/>
        </w:rPr>
      </w:pPr>
      <w:r w:rsidRPr="00A85E2C">
        <w:rPr>
          <w:lang w:val="en-US"/>
        </w:rPr>
        <w:t>R4-2508282</w:t>
      </w:r>
      <w:r w:rsidR="00370D34" w:rsidRPr="00EE49AB">
        <w:rPr>
          <w:bCs/>
          <w:lang w:val="en-US"/>
        </w:rPr>
        <w:t xml:space="preserve">, </w:t>
      </w:r>
      <w:r w:rsidR="00F14988" w:rsidRPr="00F14988">
        <w:rPr>
          <w:bCs/>
          <w:lang w:val="en-US"/>
        </w:rPr>
        <w:t>WF on RRM requirements for NR_Mob_Ph4_Part1</w:t>
      </w:r>
      <w:r w:rsidR="00470024" w:rsidRPr="00EE49AB">
        <w:rPr>
          <w:bCs/>
          <w:lang w:val="en-US"/>
        </w:rPr>
        <w:t xml:space="preserve">, </w:t>
      </w:r>
      <w:r w:rsidR="00370D34" w:rsidRPr="00EE49AB">
        <w:rPr>
          <w:bCs/>
          <w:lang w:val="en-US"/>
        </w:rPr>
        <w:t>Apple</w:t>
      </w:r>
    </w:p>
    <w:sectPr w:rsidR="00E310D5" w:rsidRPr="00EE49AB"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476359" w14:textId="77777777" w:rsidR="001F549B" w:rsidRDefault="001F549B">
      <w:r>
        <w:separator/>
      </w:r>
    </w:p>
  </w:endnote>
  <w:endnote w:type="continuationSeparator" w:id="0">
    <w:p w14:paraId="1534B5B6" w14:textId="77777777" w:rsidR="001F549B" w:rsidRDefault="001F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06A59" w14:textId="77777777" w:rsidR="001F549B" w:rsidRDefault="001F549B">
      <w:r>
        <w:separator/>
      </w:r>
    </w:p>
  </w:footnote>
  <w:footnote w:type="continuationSeparator" w:id="0">
    <w:p w14:paraId="28F49E77" w14:textId="77777777" w:rsidR="001F549B" w:rsidRDefault="001F5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821BF"/>
    <w:multiLevelType w:val="multilevel"/>
    <w:tmpl w:val="B232C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CA5EBE"/>
    <w:multiLevelType w:val="multilevel"/>
    <w:tmpl w:val="EC7E6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760285F"/>
    <w:multiLevelType w:val="multilevel"/>
    <w:tmpl w:val="10AE54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AA250E"/>
    <w:multiLevelType w:val="multilevel"/>
    <w:tmpl w:val="775EC4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6"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4"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221F46"/>
    <w:multiLevelType w:val="multilevel"/>
    <w:tmpl w:val="D270B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5D055E"/>
    <w:multiLevelType w:val="hybridMultilevel"/>
    <w:tmpl w:val="86FE3B56"/>
    <w:lvl w:ilvl="0" w:tplc="9F2CC330">
      <w:start w:val="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9B1E75"/>
    <w:multiLevelType w:val="multilevel"/>
    <w:tmpl w:val="26C6EE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9662149"/>
    <w:multiLevelType w:val="multilevel"/>
    <w:tmpl w:val="6E0C4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6"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6832B8"/>
    <w:multiLevelType w:val="multilevel"/>
    <w:tmpl w:val="17DCC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446FF1"/>
    <w:multiLevelType w:val="multilevel"/>
    <w:tmpl w:val="98DA6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5"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736944"/>
    <w:multiLevelType w:val="multilevel"/>
    <w:tmpl w:val="5F0CB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6F0981"/>
    <w:multiLevelType w:val="multilevel"/>
    <w:tmpl w:val="7D50C8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1820FE0"/>
    <w:multiLevelType w:val="multilevel"/>
    <w:tmpl w:val="48C89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2F06646"/>
    <w:multiLevelType w:val="hybridMultilevel"/>
    <w:tmpl w:val="4C7A3C82"/>
    <w:lvl w:ilvl="0" w:tplc="8C4476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6DD687A"/>
    <w:multiLevelType w:val="multilevel"/>
    <w:tmpl w:val="9E1C1D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8CC1616"/>
    <w:multiLevelType w:val="multilevel"/>
    <w:tmpl w:val="EF96EB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CB518F6"/>
    <w:multiLevelType w:val="hybridMultilevel"/>
    <w:tmpl w:val="9078F17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8" w15:restartNumberingAfterBreak="0">
    <w:nsid w:val="7139792C"/>
    <w:multiLevelType w:val="multilevel"/>
    <w:tmpl w:val="D9CE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B20CF2"/>
    <w:multiLevelType w:val="multilevel"/>
    <w:tmpl w:val="B6AEB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837227F"/>
    <w:multiLevelType w:val="multilevel"/>
    <w:tmpl w:val="3A0083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89B1A73"/>
    <w:multiLevelType w:val="multilevel"/>
    <w:tmpl w:val="CF161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5"/>
  </w:num>
  <w:num w:numId="2" w16cid:durableId="1073162039">
    <w:abstractNumId w:val="23"/>
  </w:num>
  <w:num w:numId="3" w16cid:durableId="881670819">
    <w:abstractNumId w:val="66"/>
  </w:num>
  <w:num w:numId="4" w16cid:durableId="303782287">
    <w:abstractNumId w:val="57"/>
  </w:num>
  <w:num w:numId="5" w16cid:durableId="2120685336">
    <w:abstractNumId w:val="7"/>
  </w:num>
  <w:num w:numId="6" w16cid:durableId="84543986">
    <w:abstractNumId w:val="14"/>
  </w:num>
  <w:num w:numId="7" w16cid:durableId="1945187406">
    <w:abstractNumId w:val="41"/>
  </w:num>
  <w:num w:numId="8" w16cid:durableId="735593510">
    <w:abstractNumId w:val="3"/>
  </w:num>
  <w:num w:numId="9" w16cid:durableId="638069988">
    <w:abstractNumId w:val="27"/>
  </w:num>
  <w:num w:numId="10" w16cid:durableId="1396661914">
    <w:abstractNumId w:val="47"/>
  </w:num>
  <w:num w:numId="11" w16cid:durableId="1800757120">
    <w:abstractNumId w:val="51"/>
  </w:num>
  <w:num w:numId="12" w16cid:durableId="2041008354">
    <w:abstractNumId w:val="16"/>
  </w:num>
  <w:num w:numId="13" w16cid:durableId="1250429690">
    <w:abstractNumId w:val="5"/>
  </w:num>
  <w:num w:numId="14" w16cid:durableId="1771386659">
    <w:abstractNumId w:val="17"/>
  </w:num>
  <w:num w:numId="15" w16cid:durableId="1590507970">
    <w:abstractNumId w:val="19"/>
  </w:num>
  <w:num w:numId="16" w16cid:durableId="595597386">
    <w:abstractNumId w:val="37"/>
  </w:num>
  <w:num w:numId="17" w16cid:durableId="562645621">
    <w:abstractNumId w:val="2"/>
  </w:num>
  <w:num w:numId="18" w16cid:durableId="204997492">
    <w:abstractNumId w:val="25"/>
  </w:num>
  <w:num w:numId="19" w16cid:durableId="993946193">
    <w:abstractNumId w:val="65"/>
  </w:num>
  <w:num w:numId="20" w16cid:durableId="2129546323">
    <w:abstractNumId w:val="28"/>
  </w:num>
  <w:num w:numId="21" w16cid:durableId="59064430">
    <w:abstractNumId w:val="10"/>
  </w:num>
  <w:num w:numId="22" w16cid:durableId="545794119">
    <w:abstractNumId w:val="20"/>
  </w:num>
  <w:num w:numId="23" w16cid:durableId="1081871988">
    <w:abstractNumId w:val="6"/>
  </w:num>
  <w:num w:numId="24" w16cid:durableId="753160996">
    <w:abstractNumId w:val="52"/>
  </w:num>
  <w:num w:numId="25" w16cid:durableId="1316371440">
    <w:abstractNumId w:val="40"/>
  </w:num>
  <w:num w:numId="26" w16cid:durableId="853571246">
    <w:abstractNumId w:val="31"/>
  </w:num>
  <w:num w:numId="27" w16cid:durableId="1848057231">
    <w:abstractNumId w:val="45"/>
  </w:num>
  <w:num w:numId="28" w16cid:durableId="1175027039">
    <w:abstractNumId w:val="26"/>
  </w:num>
  <w:num w:numId="29" w16cid:durableId="431121809">
    <w:abstractNumId w:val="15"/>
  </w:num>
  <w:num w:numId="30" w16cid:durableId="1026834126">
    <w:abstractNumId w:val="39"/>
  </w:num>
  <w:num w:numId="31" w16cid:durableId="1958172824">
    <w:abstractNumId w:val="67"/>
  </w:num>
  <w:num w:numId="32" w16cid:durableId="496507410">
    <w:abstractNumId w:val="44"/>
  </w:num>
  <w:num w:numId="33" w16cid:durableId="144126845">
    <w:abstractNumId w:val="34"/>
  </w:num>
  <w:num w:numId="34" w16cid:durableId="1951280964">
    <w:abstractNumId w:val="18"/>
    <w:lvlOverride w:ilvl="0">
      <w:startOverride w:val="1"/>
    </w:lvlOverride>
  </w:num>
  <w:num w:numId="35" w16cid:durableId="1616256735">
    <w:abstractNumId w:val="11"/>
  </w:num>
  <w:num w:numId="36" w16cid:durableId="617027336">
    <w:abstractNumId w:val="64"/>
  </w:num>
  <w:num w:numId="37" w16cid:durableId="409817756">
    <w:abstractNumId w:val="24"/>
  </w:num>
  <w:num w:numId="38" w16cid:durableId="1269969812">
    <w:abstractNumId w:val="61"/>
  </w:num>
  <w:num w:numId="39" w16cid:durableId="1597013109">
    <w:abstractNumId w:val="55"/>
  </w:num>
  <w:num w:numId="40" w16cid:durableId="1104031393">
    <w:abstractNumId w:val="36"/>
  </w:num>
  <w:num w:numId="41" w16cid:durableId="1244996927">
    <w:abstractNumId w:val="0"/>
  </w:num>
  <w:num w:numId="42" w16cid:durableId="694309998">
    <w:abstractNumId w:val="13"/>
  </w:num>
  <w:num w:numId="43" w16cid:durableId="1065376972">
    <w:abstractNumId w:val="12"/>
  </w:num>
  <w:num w:numId="44" w16cid:durableId="1774282391">
    <w:abstractNumId w:val="38"/>
  </w:num>
  <w:num w:numId="45" w16cid:durableId="498472554">
    <w:abstractNumId w:val="33"/>
  </w:num>
  <w:num w:numId="46" w16cid:durableId="1768884386">
    <w:abstractNumId w:val="9"/>
  </w:num>
  <w:num w:numId="47" w16cid:durableId="1814831695">
    <w:abstractNumId w:val="42"/>
  </w:num>
  <w:num w:numId="48" w16cid:durableId="563880483">
    <w:abstractNumId w:val="4"/>
  </w:num>
  <w:num w:numId="49" w16cid:durableId="1253589415">
    <w:abstractNumId w:val="29"/>
  </w:num>
  <w:num w:numId="50" w16cid:durableId="676151005">
    <w:abstractNumId w:val="59"/>
  </w:num>
  <w:num w:numId="51" w16cid:durableId="1694762730">
    <w:abstractNumId w:val="49"/>
  </w:num>
  <w:num w:numId="52" w16cid:durableId="1707871154">
    <w:abstractNumId w:val="63"/>
  </w:num>
  <w:num w:numId="53" w16cid:durableId="1973556721">
    <w:abstractNumId w:val="53"/>
  </w:num>
  <w:num w:numId="54" w16cid:durableId="647172556">
    <w:abstractNumId w:val="1"/>
  </w:num>
  <w:num w:numId="55" w16cid:durableId="1507355623">
    <w:abstractNumId w:val="62"/>
  </w:num>
  <w:num w:numId="56" w16cid:durableId="1528064420">
    <w:abstractNumId w:val="32"/>
  </w:num>
  <w:num w:numId="57" w16cid:durableId="1233665136">
    <w:abstractNumId w:val="8"/>
  </w:num>
  <w:num w:numId="58" w16cid:durableId="204489366">
    <w:abstractNumId w:val="48"/>
  </w:num>
  <w:num w:numId="59" w16cid:durableId="160053062">
    <w:abstractNumId w:val="21"/>
  </w:num>
  <w:num w:numId="60" w16cid:durableId="700938790">
    <w:abstractNumId w:val="30"/>
  </w:num>
  <w:num w:numId="61" w16cid:durableId="1502966681">
    <w:abstractNumId w:val="54"/>
  </w:num>
  <w:num w:numId="62" w16cid:durableId="1047534327">
    <w:abstractNumId w:val="58"/>
  </w:num>
  <w:num w:numId="63" w16cid:durableId="1113863263">
    <w:abstractNumId w:val="43"/>
  </w:num>
  <w:num w:numId="64" w16cid:durableId="330839683">
    <w:abstractNumId w:val="46"/>
    <w:lvlOverride w:ilvl="0">
      <w:startOverride w:val="1"/>
    </w:lvlOverride>
  </w:num>
  <w:num w:numId="65" w16cid:durableId="1692141192">
    <w:abstractNumId w:val="56"/>
  </w:num>
  <w:num w:numId="66" w16cid:durableId="888808021">
    <w:abstractNumId w:val="50"/>
  </w:num>
  <w:num w:numId="67" w16cid:durableId="970280633">
    <w:abstractNumId w:val="60"/>
  </w:num>
  <w:num w:numId="68" w16cid:durableId="7002013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4D3"/>
    <w:rsid w:val="000036FF"/>
    <w:rsid w:val="0000374A"/>
    <w:rsid w:val="00003DA1"/>
    <w:rsid w:val="0000420A"/>
    <w:rsid w:val="0000423F"/>
    <w:rsid w:val="0000426A"/>
    <w:rsid w:val="000047FD"/>
    <w:rsid w:val="00004B24"/>
    <w:rsid w:val="00004F1A"/>
    <w:rsid w:val="000051D6"/>
    <w:rsid w:val="00005242"/>
    <w:rsid w:val="000057A8"/>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E81"/>
    <w:rsid w:val="00024FA7"/>
    <w:rsid w:val="000256F9"/>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55D"/>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44"/>
    <w:rsid w:val="00051B79"/>
    <w:rsid w:val="00051D4C"/>
    <w:rsid w:val="00051E85"/>
    <w:rsid w:val="0005236D"/>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947"/>
    <w:rsid w:val="00056A1A"/>
    <w:rsid w:val="00057051"/>
    <w:rsid w:val="0005714B"/>
    <w:rsid w:val="00057313"/>
    <w:rsid w:val="00057364"/>
    <w:rsid w:val="00057BB7"/>
    <w:rsid w:val="00060097"/>
    <w:rsid w:val="00060288"/>
    <w:rsid w:val="000602A0"/>
    <w:rsid w:val="000602C2"/>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181"/>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2D"/>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1A4"/>
    <w:rsid w:val="00094F98"/>
    <w:rsid w:val="0009501F"/>
    <w:rsid w:val="000956F2"/>
    <w:rsid w:val="00095C3C"/>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4DF7"/>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560"/>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67B"/>
    <w:rsid w:val="000E1905"/>
    <w:rsid w:val="000E1AAD"/>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3F6"/>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87E"/>
    <w:rsid w:val="00107ACC"/>
    <w:rsid w:val="00107C9F"/>
    <w:rsid w:val="00107FAB"/>
    <w:rsid w:val="00110F55"/>
    <w:rsid w:val="0011102B"/>
    <w:rsid w:val="001118BE"/>
    <w:rsid w:val="00111A08"/>
    <w:rsid w:val="00111C9C"/>
    <w:rsid w:val="00111CC1"/>
    <w:rsid w:val="00112549"/>
    <w:rsid w:val="00112A8E"/>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5AF"/>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0C23"/>
    <w:rsid w:val="0014152E"/>
    <w:rsid w:val="001417F3"/>
    <w:rsid w:val="00141FD4"/>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2AC1"/>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67784"/>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253"/>
    <w:rsid w:val="00184A69"/>
    <w:rsid w:val="00184B3A"/>
    <w:rsid w:val="00185585"/>
    <w:rsid w:val="00185F08"/>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64"/>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5B6"/>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623"/>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2B9B"/>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9B"/>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4E5"/>
    <w:rsid w:val="00200587"/>
    <w:rsid w:val="002008D3"/>
    <w:rsid w:val="00200A80"/>
    <w:rsid w:val="00200C37"/>
    <w:rsid w:val="00200E29"/>
    <w:rsid w:val="002010E6"/>
    <w:rsid w:val="0020166C"/>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316"/>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2AE"/>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124"/>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A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25C"/>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295"/>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88D"/>
    <w:rsid w:val="002A199E"/>
    <w:rsid w:val="002A19A1"/>
    <w:rsid w:val="002A1D59"/>
    <w:rsid w:val="002A2420"/>
    <w:rsid w:val="002A30E5"/>
    <w:rsid w:val="002A3207"/>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096B"/>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D33"/>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678"/>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194"/>
    <w:rsid w:val="002D52C2"/>
    <w:rsid w:val="002D55D2"/>
    <w:rsid w:val="002D5842"/>
    <w:rsid w:val="002D5A84"/>
    <w:rsid w:val="002D5AD7"/>
    <w:rsid w:val="002D5D84"/>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623"/>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010F"/>
    <w:rsid w:val="003112F7"/>
    <w:rsid w:val="003113C2"/>
    <w:rsid w:val="0031148E"/>
    <w:rsid w:val="0031184C"/>
    <w:rsid w:val="003118B2"/>
    <w:rsid w:val="00311CCC"/>
    <w:rsid w:val="00311DF7"/>
    <w:rsid w:val="00311FBE"/>
    <w:rsid w:val="0031224B"/>
    <w:rsid w:val="00312843"/>
    <w:rsid w:val="0031297B"/>
    <w:rsid w:val="00312B50"/>
    <w:rsid w:val="00313246"/>
    <w:rsid w:val="0031325E"/>
    <w:rsid w:val="00313353"/>
    <w:rsid w:val="003133C2"/>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472"/>
    <w:rsid w:val="00322E5D"/>
    <w:rsid w:val="003233BD"/>
    <w:rsid w:val="00323595"/>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AF0"/>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202"/>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196"/>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0E1"/>
    <w:rsid w:val="00376538"/>
    <w:rsid w:val="00376539"/>
    <w:rsid w:val="0037658A"/>
    <w:rsid w:val="003768A4"/>
    <w:rsid w:val="00376BF9"/>
    <w:rsid w:val="00376CE7"/>
    <w:rsid w:val="0037760F"/>
    <w:rsid w:val="003777D2"/>
    <w:rsid w:val="0037794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3A8"/>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12"/>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4FB2"/>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70F"/>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DB7"/>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9F8"/>
    <w:rsid w:val="003C1C77"/>
    <w:rsid w:val="003C1CA3"/>
    <w:rsid w:val="003C1F65"/>
    <w:rsid w:val="003C22C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62B"/>
    <w:rsid w:val="003D6819"/>
    <w:rsid w:val="003D69F9"/>
    <w:rsid w:val="003D6AC9"/>
    <w:rsid w:val="003D7326"/>
    <w:rsid w:val="003D7654"/>
    <w:rsid w:val="003D77DA"/>
    <w:rsid w:val="003D7960"/>
    <w:rsid w:val="003E016D"/>
    <w:rsid w:val="003E01D0"/>
    <w:rsid w:val="003E0211"/>
    <w:rsid w:val="003E026A"/>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D16"/>
    <w:rsid w:val="003F3F8A"/>
    <w:rsid w:val="003F44CC"/>
    <w:rsid w:val="003F4580"/>
    <w:rsid w:val="003F45D9"/>
    <w:rsid w:val="003F4603"/>
    <w:rsid w:val="003F4788"/>
    <w:rsid w:val="003F4D4E"/>
    <w:rsid w:val="003F50FE"/>
    <w:rsid w:val="003F55AD"/>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1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4A3"/>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50E"/>
    <w:rsid w:val="00440515"/>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733"/>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60C"/>
    <w:rsid w:val="0047199E"/>
    <w:rsid w:val="00471AE3"/>
    <w:rsid w:val="00471B30"/>
    <w:rsid w:val="00471DE3"/>
    <w:rsid w:val="0047256C"/>
    <w:rsid w:val="00473385"/>
    <w:rsid w:val="004734FF"/>
    <w:rsid w:val="004736CE"/>
    <w:rsid w:val="004739CA"/>
    <w:rsid w:val="004739D2"/>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B4A"/>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9D2"/>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2D07"/>
    <w:rsid w:val="004935B8"/>
    <w:rsid w:val="0049383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8E"/>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5E7"/>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45"/>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85C"/>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7F4"/>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40B"/>
    <w:rsid w:val="0052293D"/>
    <w:rsid w:val="005231E1"/>
    <w:rsid w:val="00523695"/>
    <w:rsid w:val="00523923"/>
    <w:rsid w:val="0052406B"/>
    <w:rsid w:val="00524109"/>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0C4"/>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5FD"/>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372"/>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7C4"/>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4B13"/>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5ED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489"/>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2C2"/>
    <w:rsid w:val="005C2317"/>
    <w:rsid w:val="005C24CB"/>
    <w:rsid w:val="005C25BF"/>
    <w:rsid w:val="005C2969"/>
    <w:rsid w:val="005C2D0E"/>
    <w:rsid w:val="005C2FCA"/>
    <w:rsid w:val="005C3050"/>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AF9"/>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036"/>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E89"/>
    <w:rsid w:val="005E2F77"/>
    <w:rsid w:val="005E3231"/>
    <w:rsid w:val="005E35F5"/>
    <w:rsid w:val="005E3658"/>
    <w:rsid w:val="005E3A15"/>
    <w:rsid w:val="005E3B1F"/>
    <w:rsid w:val="005E3EAA"/>
    <w:rsid w:val="005E44FF"/>
    <w:rsid w:val="005E4C6A"/>
    <w:rsid w:val="005E4DA7"/>
    <w:rsid w:val="005E5947"/>
    <w:rsid w:val="005E5A60"/>
    <w:rsid w:val="005E5B3F"/>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3B4"/>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A8B"/>
    <w:rsid w:val="005F7BB6"/>
    <w:rsid w:val="0060018D"/>
    <w:rsid w:val="0060055C"/>
    <w:rsid w:val="006009C2"/>
    <w:rsid w:val="00600E91"/>
    <w:rsid w:val="00600EEB"/>
    <w:rsid w:val="00601355"/>
    <w:rsid w:val="00601A8A"/>
    <w:rsid w:val="00602186"/>
    <w:rsid w:val="006023D3"/>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385E"/>
    <w:rsid w:val="006144C0"/>
    <w:rsid w:val="006145FF"/>
    <w:rsid w:val="00614B2C"/>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2A"/>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6E0"/>
    <w:rsid w:val="006277E7"/>
    <w:rsid w:val="00627D9A"/>
    <w:rsid w:val="00630138"/>
    <w:rsid w:val="00630880"/>
    <w:rsid w:val="00630C02"/>
    <w:rsid w:val="00630DB7"/>
    <w:rsid w:val="0063127E"/>
    <w:rsid w:val="006315CA"/>
    <w:rsid w:val="0063169B"/>
    <w:rsid w:val="00631907"/>
    <w:rsid w:val="006325C9"/>
    <w:rsid w:val="0063301F"/>
    <w:rsid w:val="00633653"/>
    <w:rsid w:val="00633745"/>
    <w:rsid w:val="00633AD4"/>
    <w:rsid w:val="00634071"/>
    <w:rsid w:val="00634DF3"/>
    <w:rsid w:val="00635005"/>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696"/>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729"/>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2A"/>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47"/>
    <w:rsid w:val="00683CE8"/>
    <w:rsid w:val="00684759"/>
    <w:rsid w:val="006849A3"/>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604"/>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188"/>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07"/>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59A"/>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AD7"/>
    <w:rsid w:val="00732D7D"/>
    <w:rsid w:val="00732D81"/>
    <w:rsid w:val="00733293"/>
    <w:rsid w:val="00733445"/>
    <w:rsid w:val="00733819"/>
    <w:rsid w:val="00733C05"/>
    <w:rsid w:val="00733FE4"/>
    <w:rsid w:val="00734166"/>
    <w:rsid w:val="00734181"/>
    <w:rsid w:val="0073419A"/>
    <w:rsid w:val="00734204"/>
    <w:rsid w:val="00734460"/>
    <w:rsid w:val="00734FF6"/>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451C"/>
    <w:rsid w:val="00754650"/>
    <w:rsid w:val="00754741"/>
    <w:rsid w:val="00754D03"/>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A60"/>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E7C6D"/>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0D"/>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8FA"/>
    <w:rsid w:val="00811993"/>
    <w:rsid w:val="00811A27"/>
    <w:rsid w:val="008120EF"/>
    <w:rsid w:val="00812389"/>
    <w:rsid w:val="008124E0"/>
    <w:rsid w:val="00812570"/>
    <w:rsid w:val="0081284C"/>
    <w:rsid w:val="00812BC1"/>
    <w:rsid w:val="00812F61"/>
    <w:rsid w:val="008140F3"/>
    <w:rsid w:val="0081417A"/>
    <w:rsid w:val="0081468A"/>
    <w:rsid w:val="0081489A"/>
    <w:rsid w:val="008149E0"/>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A"/>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0C98"/>
    <w:rsid w:val="00831136"/>
    <w:rsid w:val="008312D7"/>
    <w:rsid w:val="00831844"/>
    <w:rsid w:val="00831A67"/>
    <w:rsid w:val="00831A7F"/>
    <w:rsid w:val="00831D76"/>
    <w:rsid w:val="00832977"/>
    <w:rsid w:val="00832CF3"/>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6D4F"/>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728"/>
    <w:rsid w:val="00875A70"/>
    <w:rsid w:val="00875BFB"/>
    <w:rsid w:val="0087697D"/>
    <w:rsid w:val="00876B5F"/>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ACB"/>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6FAD"/>
    <w:rsid w:val="008970E9"/>
    <w:rsid w:val="008974F3"/>
    <w:rsid w:val="00897852"/>
    <w:rsid w:val="00897A01"/>
    <w:rsid w:val="00897D8B"/>
    <w:rsid w:val="00897FA5"/>
    <w:rsid w:val="008A02FD"/>
    <w:rsid w:val="008A0ADC"/>
    <w:rsid w:val="008A113F"/>
    <w:rsid w:val="008A1BC5"/>
    <w:rsid w:val="008A1D59"/>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48F"/>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A19"/>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5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8D0"/>
    <w:rsid w:val="008E3906"/>
    <w:rsid w:val="008E448D"/>
    <w:rsid w:val="008E44CF"/>
    <w:rsid w:val="008E46C3"/>
    <w:rsid w:val="008E4AD0"/>
    <w:rsid w:val="008E4F1A"/>
    <w:rsid w:val="008E5484"/>
    <w:rsid w:val="008E56F0"/>
    <w:rsid w:val="008E5967"/>
    <w:rsid w:val="008E62EE"/>
    <w:rsid w:val="008E6AD8"/>
    <w:rsid w:val="008E6AF6"/>
    <w:rsid w:val="008E6D6F"/>
    <w:rsid w:val="008E711E"/>
    <w:rsid w:val="008E7264"/>
    <w:rsid w:val="008E742A"/>
    <w:rsid w:val="008F056F"/>
    <w:rsid w:val="008F06DC"/>
    <w:rsid w:val="008F071D"/>
    <w:rsid w:val="008F0A5A"/>
    <w:rsid w:val="008F0C43"/>
    <w:rsid w:val="008F0DF6"/>
    <w:rsid w:val="008F15C0"/>
    <w:rsid w:val="008F167E"/>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18E"/>
    <w:rsid w:val="008F64D9"/>
    <w:rsid w:val="008F6B45"/>
    <w:rsid w:val="008F6CC6"/>
    <w:rsid w:val="008F7AB3"/>
    <w:rsid w:val="008F7AB6"/>
    <w:rsid w:val="008F7D8F"/>
    <w:rsid w:val="008F7F37"/>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D7"/>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18"/>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03"/>
    <w:rsid w:val="009625AD"/>
    <w:rsid w:val="009629D0"/>
    <w:rsid w:val="00963078"/>
    <w:rsid w:val="00963BE5"/>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9D7"/>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6D7B"/>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7C9"/>
    <w:rsid w:val="0098396C"/>
    <w:rsid w:val="00983BF6"/>
    <w:rsid w:val="00983D0E"/>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23"/>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A4"/>
    <w:rsid w:val="00A175E8"/>
    <w:rsid w:val="00A200D6"/>
    <w:rsid w:val="00A204CB"/>
    <w:rsid w:val="00A20DAE"/>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5FF8"/>
    <w:rsid w:val="00A76013"/>
    <w:rsid w:val="00A762C3"/>
    <w:rsid w:val="00A76616"/>
    <w:rsid w:val="00A76839"/>
    <w:rsid w:val="00A76D84"/>
    <w:rsid w:val="00A77168"/>
    <w:rsid w:val="00A7747C"/>
    <w:rsid w:val="00A7796C"/>
    <w:rsid w:val="00A77A37"/>
    <w:rsid w:val="00A77DB5"/>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5E2C"/>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56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760"/>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5ED9"/>
    <w:rsid w:val="00AB600F"/>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9A"/>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354"/>
    <w:rsid w:val="00AE356D"/>
    <w:rsid w:val="00AE35EC"/>
    <w:rsid w:val="00AE3740"/>
    <w:rsid w:val="00AE3B3B"/>
    <w:rsid w:val="00AE3FB9"/>
    <w:rsid w:val="00AE409E"/>
    <w:rsid w:val="00AE44EA"/>
    <w:rsid w:val="00AE48C4"/>
    <w:rsid w:val="00AE4F88"/>
    <w:rsid w:val="00AE5101"/>
    <w:rsid w:val="00AE518D"/>
    <w:rsid w:val="00AE56CB"/>
    <w:rsid w:val="00AE56CF"/>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A6C"/>
    <w:rsid w:val="00B04D67"/>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8FA"/>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6B6F"/>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31C9"/>
    <w:rsid w:val="00B53614"/>
    <w:rsid w:val="00B53A05"/>
    <w:rsid w:val="00B53B14"/>
    <w:rsid w:val="00B53BF1"/>
    <w:rsid w:val="00B53C0C"/>
    <w:rsid w:val="00B53F47"/>
    <w:rsid w:val="00B53F71"/>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77FB1"/>
    <w:rsid w:val="00B803E6"/>
    <w:rsid w:val="00B80B80"/>
    <w:rsid w:val="00B80D8C"/>
    <w:rsid w:val="00B80DCD"/>
    <w:rsid w:val="00B81259"/>
    <w:rsid w:val="00B81893"/>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BB1"/>
    <w:rsid w:val="00B84F03"/>
    <w:rsid w:val="00B8531E"/>
    <w:rsid w:val="00B85937"/>
    <w:rsid w:val="00B859D5"/>
    <w:rsid w:val="00B85FA2"/>
    <w:rsid w:val="00B8626B"/>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03A"/>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289"/>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288"/>
    <w:rsid w:val="00BD2348"/>
    <w:rsid w:val="00BD2AD9"/>
    <w:rsid w:val="00BD2DA4"/>
    <w:rsid w:val="00BD312C"/>
    <w:rsid w:val="00BD3237"/>
    <w:rsid w:val="00BD3273"/>
    <w:rsid w:val="00BD34F3"/>
    <w:rsid w:val="00BD3C15"/>
    <w:rsid w:val="00BD4318"/>
    <w:rsid w:val="00BD4462"/>
    <w:rsid w:val="00BD4A06"/>
    <w:rsid w:val="00BD4DF1"/>
    <w:rsid w:val="00BD4E69"/>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CC8"/>
    <w:rsid w:val="00BE6E94"/>
    <w:rsid w:val="00BE7193"/>
    <w:rsid w:val="00BE72A3"/>
    <w:rsid w:val="00BE76C8"/>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882"/>
    <w:rsid w:val="00BF3B3F"/>
    <w:rsid w:val="00BF3C0A"/>
    <w:rsid w:val="00BF3D04"/>
    <w:rsid w:val="00BF4213"/>
    <w:rsid w:val="00BF4360"/>
    <w:rsid w:val="00BF43AE"/>
    <w:rsid w:val="00BF4A65"/>
    <w:rsid w:val="00BF4B3A"/>
    <w:rsid w:val="00BF53D8"/>
    <w:rsid w:val="00BF56D6"/>
    <w:rsid w:val="00BF575D"/>
    <w:rsid w:val="00BF5A45"/>
    <w:rsid w:val="00BF5CEE"/>
    <w:rsid w:val="00BF6158"/>
    <w:rsid w:val="00BF6503"/>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7B7"/>
    <w:rsid w:val="00C02B34"/>
    <w:rsid w:val="00C02C8F"/>
    <w:rsid w:val="00C03E0E"/>
    <w:rsid w:val="00C03FA5"/>
    <w:rsid w:val="00C03FBA"/>
    <w:rsid w:val="00C04FB2"/>
    <w:rsid w:val="00C05077"/>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6B"/>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DF"/>
    <w:rsid w:val="00C212F9"/>
    <w:rsid w:val="00C213AC"/>
    <w:rsid w:val="00C2152B"/>
    <w:rsid w:val="00C21570"/>
    <w:rsid w:val="00C2168F"/>
    <w:rsid w:val="00C21715"/>
    <w:rsid w:val="00C21966"/>
    <w:rsid w:val="00C21ABF"/>
    <w:rsid w:val="00C21DDF"/>
    <w:rsid w:val="00C224CB"/>
    <w:rsid w:val="00C2272F"/>
    <w:rsid w:val="00C227A1"/>
    <w:rsid w:val="00C22881"/>
    <w:rsid w:val="00C23389"/>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1D19"/>
    <w:rsid w:val="00C32262"/>
    <w:rsid w:val="00C32B35"/>
    <w:rsid w:val="00C332C8"/>
    <w:rsid w:val="00C33323"/>
    <w:rsid w:val="00C3332E"/>
    <w:rsid w:val="00C33685"/>
    <w:rsid w:val="00C33797"/>
    <w:rsid w:val="00C33947"/>
    <w:rsid w:val="00C33BD4"/>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3DE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28B"/>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2FB3"/>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2BD"/>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119"/>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1FB0"/>
    <w:rsid w:val="00CE247A"/>
    <w:rsid w:val="00CE259F"/>
    <w:rsid w:val="00CE2882"/>
    <w:rsid w:val="00CE28BA"/>
    <w:rsid w:val="00CE2CFF"/>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658"/>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757"/>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D1E"/>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AAF"/>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EA6"/>
    <w:rsid w:val="00D80F42"/>
    <w:rsid w:val="00D815CA"/>
    <w:rsid w:val="00D81B5C"/>
    <w:rsid w:val="00D81BB7"/>
    <w:rsid w:val="00D82314"/>
    <w:rsid w:val="00D824AC"/>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882"/>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86"/>
    <w:rsid w:val="00DE50C7"/>
    <w:rsid w:val="00DE54EB"/>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798"/>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2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582"/>
    <w:rsid w:val="00E067B9"/>
    <w:rsid w:val="00E06B36"/>
    <w:rsid w:val="00E06C8B"/>
    <w:rsid w:val="00E06D9F"/>
    <w:rsid w:val="00E0703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A71"/>
    <w:rsid w:val="00E61D8E"/>
    <w:rsid w:val="00E62366"/>
    <w:rsid w:val="00E627D9"/>
    <w:rsid w:val="00E62D5A"/>
    <w:rsid w:val="00E63207"/>
    <w:rsid w:val="00E63920"/>
    <w:rsid w:val="00E63CE4"/>
    <w:rsid w:val="00E63CF8"/>
    <w:rsid w:val="00E63E1D"/>
    <w:rsid w:val="00E63EEE"/>
    <w:rsid w:val="00E64161"/>
    <w:rsid w:val="00E6446C"/>
    <w:rsid w:val="00E645C9"/>
    <w:rsid w:val="00E64ACB"/>
    <w:rsid w:val="00E65372"/>
    <w:rsid w:val="00E653FF"/>
    <w:rsid w:val="00E659B8"/>
    <w:rsid w:val="00E65BB7"/>
    <w:rsid w:val="00E65F7F"/>
    <w:rsid w:val="00E6669D"/>
    <w:rsid w:val="00E671B1"/>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2A3"/>
    <w:rsid w:val="00E75521"/>
    <w:rsid w:val="00E75B89"/>
    <w:rsid w:val="00E7616C"/>
    <w:rsid w:val="00E76600"/>
    <w:rsid w:val="00E7693C"/>
    <w:rsid w:val="00E769EC"/>
    <w:rsid w:val="00E76C12"/>
    <w:rsid w:val="00E76D35"/>
    <w:rsid w:val="00E773AD"/>
    <w:rsid w:val="00E779FB"/>
    <w:rsid w:val="00E77DBE"/>
    <w:rsid w:val="00E80D70"/>
    <w:rsid w:val="00E81779"/>
    <w:rsid w:val="00E819A3"/>
    <w:rsid w:val="00E821AF"/>
    <w:rsid w:val="00E825CE"/>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B68"/>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213"/>
    <w:rsid w:val="00EA777C"/>
    <w:rsid w:val="00EA78B4"/>
    <w:rsid w:val="00EA7BF3"/>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632"/>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9AB"/>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0D9"/>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7FD"/>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98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784"/>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551"/>
    <w:rsid w:val="00F96BA4"/>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376"/>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98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0B3"/>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E1A"/>
    <w:rsid w:val="00FF2FF1"/>
    <w:rsid w:val="00FF3040"/>
    <w:rsid w:val="00FF3457"/>
    <w:rsid w:val="00FF36B7"/>
    <w:rsid w:val="00FF3DE1"/>
    <w:rsid w:val="00FF4090"/>
    <w:rsid w:val="00FF40B7"/>
    <w:rsid w:val="00FF468D"/>
    <w:rsid w:val="00FF5053"/>
    <w:rsid w:val="00FF595A"/>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C51"/>
    <w:rPr>
      <w:rFonts w:eastAsia="Times New Roman"/>
      <w:sz w:val="24"/>
      <w:szCs w:val="24"/>
      <w:lang w:val="en-C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lang w:val="en-GB"/>
    </w:rPr>
  </w:style>
  <w:style w:type="paragraph" w:customStyle="1" w:styleId="3GPPHeaderArial">
    <w:name w:val="3GPP_Header + Arial"/>
    <w:basedOn w:val="Normal"/>
    <w:rPr>
      <w:rFonts w:ascii="Arial" w:eastAsia="PMingLiU" w:hAnsi="Arial" w:cs="Arial"/>
    </w:rPr>
  </w:style>
  <w:style w:type="paragraph" w:customStyle="1" w:styleId="Agreement">
    <w:name w:val="Agreement"/>
    <w:basedOn w:val="Normal"/>
    <w:next w:val="Doc-text2"/>
    <w:uiPriority w:val="99"/>
    <w:qFormat/>
    <w:pPr>
      <w:numPr>
        <w:numId w:val="4"/>
      </w:numPr>
      <w:spacing w:before="60"/>
    </w:pPr>
    <w:rPr>
      <w:rFonts w:ascii="Arial" w:hAnsi="Arial"/>
      <w:b/>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lang w:val="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69874">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66223787">
      <w:bodyDiv w:val="1"/>
      <w:marLeft w:val="0"/>
      <w:marRight w:val="0"/>
      <w:marTop w:val="0"/>
      <w:marBottom w:val="0"/>
      <w:divBdr>
        <w:top w:val="none" w:sz="0" w:space="0" w:color="auto"/>
        <w:left w:val="none" w:sz="0" w:space="0" w:color="auto"/>
        <w:bottom w:val="none" w:sz="0" w:space="0" w:color="auto"/>
        <w:right w:val="none" w:sz="0" w:space="0" w:color="auto"/>
      </w:divBdr>
    </w:div>
    <w:div w:id="96483880">
      <w:bodyDiv w:val="1"/>
      <w:marLeft w:val="0"/>
      <w:marRight w:val="0"/>
      <w:marTop w:val="0"/>
      <w:marBottom w:val="0"/>
      <w:divBdr>
        <w:top w:val="none" w:sz="0" w:space="0" w:color="auto"/>
        <w:left w:val="none" w:sz="0" w:space="0" w:color="auto"/>
        <w:bottom w:val="none" w:sz="0" w:space="0" w:color="auto"/>
        <w:right w:val="none" w:sz="0" w:space="0" w:color="auto"/>
      </w:divBdr>
    </w:div>
    <w:div w:id="103624519">
      <w:bodyDiv w:val="1"/>
      <w:marLeft w:val="0"/>
      <w:marRight w:val="0"/>
      <w:marTop w:val="0"/>
      <w:marBottom w:val="0"/>
      <w:divBdr>
        <w:top w:val="none" w:sz="0" w:space="0" w:color="auto"/>
        <w:left w:val="none" w:sz="0" w:space="0" w:color="auto"/>
        <w:bottom w:val="none" w:sz="0" w:space="0" w:color="auto"/>
        <w:right w:val="none" w:sz="0" w:space="0" w:color="auto"/>
      </w:divBdr>
      <w:divsChild>
        <w:div w:id="1721788191">
          <w:marLeft w:val="0"/>
          <w:marRight w:val="0"/>
          <w:marTop w:val="0"/>
          <w:marBottom w:val="0"/>
          <w:divBdr>
            <w:top w:val="none" w:sz="0" w:space="0" w:color="auto"/>
            <w:left w:val="none" w:sz="0" w:space="0" w:color="auto"/>
            <w:bottom w:val="none" w:sz="0" w:space="0" w:color="auto"/>
            <w:right w:val="none" w:sz="0" w:space="0" w:color="auto"/>
          </w:divBdr>
        </w:div>
      </w:divsChild>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05396129">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06113149">
      <w:bodyDiv w:val="1"/>
      <w:marLeft w:val="0"/>
      <w:marRight w:val="0"/>
      <w:marTop w:val="0"/>
      <w:marBottom w:val="0"/>
      <w:divBdr>
        <w:top w:val="none" w:sz="0" w:space="0" w:color="auto"/>
        <w:left w:val="none" w:sz="0" w:space="0" w:color="auto"/>
        <w:bottom w:val="none" w:sz="0" w:space="0" w:color="auto"/>
        <w:right w:val="none" w:sz="0" w:space="0" w:color="auto"/>
      </w:divBdr>
    </w:div>
    <w:div w:id="251204130">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279920082">
      <w:bodyDiv w:val="1"/>
      <w:marLeft w:val="0"/>
      <w:marRight w:val="0"/>
      <w:marTop w:val="0"/>
      <w:marBottom w:val="0"/>
      <w:divBdr>
        <w:top w:val="none" w:sz="0" w:space="0" w:color="auto"/>
        <w:left w:val="none" w:sz="0" w:space="0" w:color="auto"/>
        <w:bottom w:val="none" w:sz="0" w:space="0" w:color="auto"/>
        <w:right w:val="none" w:sz="0" w:space="0" w:color="auto"/>
      </w:divBdr>
    </w:div>
    <w:div w:id="352920582">
      <w:bodyDiv w:val="1"/>
      <w:marLeft w:val="0"/>
      <w:marRight w:val="0"/>
      <w:marTop w:val="0"/>
      <w:marBottom w:val="0"/>
      <w:divBdr>
        <w:top w:val="none" w:sz="0" w:space="0" w:color="auto"/>
        <w:left w:val="none" w:sz="0" w:space="0" w:color="auto"/>
        <w:bottom w:val="none" w:sz="0" w:space="0" w:color="auto"/>
        <w:right w:val="none" w:sz="0" w:space="0" w:color="auto"/>
      </w:divBdr>
    </w:div>
    <w:div w:id="421685693">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598955287">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80883226">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26626656">
      <w:bodyDiv w:val="1"/>
      <w:marLeft w:val="0"/>
      <w:marRight w:val="0"/>
      <w:marTop w:val="0"/>
      <w:marBottom w:val="0"/>
      <w:divBdr>
        <w:top w:val="none" w:sz="0" w:space="0" w:color="auto"/>
        <w:left w:val="none" w:sz="0" w:space="0" w:color="auto"/>
        <w:bottom w:val="none" w:sz="0" w:space="0" w:color="auto"/>
        <w:right w:val="none" w:sz="0" w:space="0" w:color="auto"/>
      </w:divBdr>
    </w:div>
    <w:div w:id="847988687">
      <w:bodyDiv w:val="1"/>
      <w:marLeft w:val="0"/>
      <w:marRight w:val="0"/>
      <w:marTop w:val="0"/>
      <w:marBottom w:val="0"/>
      <w:divBdr>
        <w:top w:val="none" w:sz="0" w:space="0" w:color="auto"/>
        <w:left w:val="none" w:sz="0" w:space="0" w:color="auto"/>
        <w:bottom w:val="none" w:sz="0" w:space="0" w:color="auto"/>
        <w:right w:val="none" w:sz="0" w:space="0" w:color="auto"/>
      </w:divBdr>
    </w:div>
    <w:div w:id="1039084097">
      <w:bodyDiv w:val="1"/>
      <w:marLeft w:val="0"/>
      <w:marRight w:val="0"/>
      <w:marTop w:val="0"/>
      <w:marBottom w:val="0"/>
      <w:divBdr>
        <w:top w:val="none" w:sz="0" w:space="0" w:color="auto"/>
        <w:left w:val="none" w:sz="0" w:space="0" w:color="auto"/>
        <w:bottom w:val="none" w:sz="0" w:space="0" w:color="auto"/>
        <w:right w:val="none" w:sz="0" w:space="0" w:color="auto"/>
      </w:divBdr>
    </w:div>
    <w:div w:id="1041324325">
      <w:bodyDiv w:val="1"/>
      <w:marLeft w:val="0"/>
      <w:marRight w:val="0"/>
      <w:marTop w:val="0"/>
      <w:marBottom w:val="0"/>
      <w:divBdr>
        <w:top w:val="none" w:sz="0" w:space="0" w:color="auto"/>
        <w:left w:val="none" w:sz="0" w:space="0" w:color="auto"/>
        <w:bottom w:val="none" w:sz="0" w:space="0" w:color="auto"/>
        <w:right w:val="none" w:sz="0" w:space="0" w:color="auto"/>
      </w:divBdr>
      <w:divsChild>
        <w:div w:id="1064986915">
          <w:marLeft w:val="0"/>
          <w:marRight w:val="0"/>
          <w:marTop w:val="0"/>
          <w:marBottom w:val="0"/>
          <w:divBdr>
            <w:top w:val="none" w:sz="0" w:space="0" w:color="auto"/>
            <w:left w:val="none" w:sz="0" w:space="0" w:color="auto"/>
            <w:bottom w:val="none" w:sz="0" w:space="0" w:color="auto"/>
            <w:right w:val="none" w:sz="0" w:space="0" w:color="auto"/>
          </w:divBdr>
        </w:div>
      </w:divsChild>
    </w:div>
    <w:div w:id="1056783374">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175732344">
      <w:bodyDiv w:val="1"/>
      <w:marLeft w:val="0"/>
      <w:marRight w:val="0"/>
      <w:marTop w:val="0"/>
      <w:marBottom w:val="0"/>
      <w:divBdr>
        <w:top w:val="none" w:sz="0" w:space="0" w:color="auto"/>
        <w:left w:val="none" w:sz="0" w:space="0" w:color="auto"/>
        <w:bottom w:val="none" w:sz="0" w:space="0" w:color="auto"/>
        <w:right w:val="none" w:sz="0" w:space="0" w:color="auto"/>
      </w:divBdr>
    </w:div>
    <w:div w:id="1251768520">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3554303">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33444490">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818304114">
      <w:bodyDiv w:val="1"/>
      <w:marLeft w:val="0"/>
      <w:marRight w:val="0"/>
      <w:marTop w:val="0"/>
      <w:marBottom w:val="0"/>
      <w:divBdr>
        <w:top w:val="none" w:sz="0" w:space="0" w:color="auto"/>
        <w:left w:val="none" w:sz="0" w:space="0" w:color="auto"/>
        <w:bottom w:val="none" w:sz="0" w:space="0" w:color="auto"/>
        <w:right w:val="none" w:sz="0" w:space="0" w:color="auto"/>
      </w:divBdr>
    </w:div>
    <w:div w:id="2061126758">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 w:id="2100253595">
      <w:bodyDiv w:val="1"/>
      <w:marLeft w:val="0"/>
      <w:marRight w:val="0"/>
      <w:marTop w:val="0"/>
      <w:marBottom w:val="0"/>
      <w:divBdr>
        <w:top w:val="none" w:sz="0" w:space="0" w:color="auto"/>
        <w:left w:val="none" w:sz="0" w:space="0" w:color="auto"/>
        <w:bottom w:val="none" w:sz="0" w:space="0" w:color="auto"/>
        <w:right w:val="none" w:sz="0" w:space="0" w:color="auto"/>
      </w:divBdr>
    </w:div>
    <w:div w:id="2104373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1485</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28</cp:revision>
  <cp:lastPrinted>2007-12-21T11:58:00Z</cp:lastPrinted>
  <dcterms:created xsi:type="dcterms:W3CDTF">2025-05-08T12:59:00Z</dcterms:created>
  <dcterms:modified xsi:type="dcterms:W3CDTF">2025-08-15T07:30:00Z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