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E9A88" w14:textId="5DA6DF3B" w:rsidR="00904D72" w:rsidRPr="002C1A33" w:rsidRDefault="00904D72" w:rsidP="00904D72">
      <w:pPr>
        <w:pStyle w:val="3GPPHeader"/>
        <w:spacing w:after="60"/>
        <w:rPr>
          <w:sz w:val="28"/>
          <w:szCs w:val="28"/>
          <w:highlight w:val="yellow"/>
        </w:rPr>
      </w:pPr>
      <w:bookmarkStart w:id="0" w:name="Title"/>
      <w:bookmarkStart w:id="1" w:name="DocumentFor"/>
      <w:bookmarkEnd w:id="0"/>
      <w:bookmarkEnd w:id="1"/>
      <w:r w:rsidRPr="00F542A0">
        <w:rPr>
          <w:rFonts w:eastAsia="SimSun" w:cs="Arial"/>
          <w:szCs w:val="24"/>
        </w:rPr>
        <w:t>3GPP TSG-RAN WG4 Meeting #11</w:t>
      </w:r>
      <w:r>
        <w:rPr>
          <w:rFonts w:eastAsia="SimSun" w:cs="Arial"/>
          <w:szCs w:val="24"/>
        </w:rPr>
        <w:t>6</w:t>
      </w:r>
      <w:r w:rsidRPr="00CE0424">
        <w:tab/>
      </w:r>
      <w:r w:rsidR="00722217" w:rsidRPr="002C1A33">
        <w:rPr>
          <w:sz w:val="28"/>
          <w:szCs w:val="28"/>
        </w:rPr>
        <w:t>R4-2509430</w:t>
      </w:r>
    </w:p>
    <w:p w14:paraId="3086AC07" w14:textId="4E8B4226" w:rsidR="00E90E49" w:rsidRPr="00CE0424" w:rsidRDefault="00904D72" w:rsidP="00904D72">
      <w:pPr>
        <w:pStyle w:val="3GPPHeader"/>
      </w:pPr>
      <w:r w:rsidRPr="00183676">
        <w:rPr>
          <w:rFonts w:eastAsia="SimSun" w:cs="Arial"/>
          <w:bCs/>
          <w:szCs w:val="24"/>
        </w:rPr>
        <w:t>Bengaluru, India, August 25</w:t>
      </w:r>
      <w:r w:rsidRPr="00183676">
        <w:rPr>
          <w:rFonts w:eastAsia="SimSun" w:cs="Arial"/>
          <w:bCs/>
          <w:szCs w:val="24"/>
          <w:vertAlign w:val="superscript"/>
        </w:rPr>
        <w:t>th</w:t>
      </w:r>
      <w:r w:rsidRPr="00183676">
        <w:rPr>
          <w:rFonts w:eastAsia="SimSun" w:cs="Arial"/>
          <w:bCs/>
          <w:szCs w:val="24"/>
        </w:rPr>
        <w:t xml:space="preserve"> – 29</w:t>
      </w:r>
      <w:r w:rsidRPr="00183676">
        <w:rPr>
          <w:rFonts w:eastAsia="SimSun" w:cs="Arial"/>
          <w:bCs/>
          <w:szCs w:val="24"/>
          <w:vertAlign w:val="superscript"/>
        </w:rPr>
        <w:t>th</w:t>
      </w:r>
      <w:r w:rsidRPr="00183676">
        <w:rPr>
          <w:rFonts w:eastAsia="SimSun" w:cs="Arial"/>
          <w:bCs/>
          <w:szCs w:val="24"/>
        </w:rPr>
        <w:t>, 2025</w:t>
      </w:r>
    </w:p>
    <w:p w14:paraId="3982483C" w14:textId="1977AF62" w:rsidR="00E90E49" w:rsidRPr="00BA6B5F" w:rsidRDefault="00E90E49" w:rsidP="00311702">
      <w:pPr>
        <w:pStyle w:val="3GPPHeader"/>
        <w:rPr>
          <w:sz w:val="22"/>
        </w:rPr>
      </w:pPr>
      <w:r w:rsidRPr="00BA6B5F">
        <w:rPr>
          <w:sz w:val="22"/>
        </w:rPr>
        <w:t>Agenda Item:</w:t>
      </w:r>
      <w:r w:rsidRPr="00BA6B5F">
        <w:rPr>
          <w:sz w:val="22"/>
        </w:rPr>
        <w:tab/>
      </w:r>
      <w:r w:rsidR="00EF2883" w:rsidRPr="00BA6B5F">
        <w:rPr>
          <w:sz w:val="22"/>
        </w:rPr>
        <w:t>7.</w:t>
      </w:r>
      <w:r w:rsidR="00904D72">
        <w:rPr>
          <w:sz w:val="22"/>
        </w:rPr>
        <w:t>18</w:t>
      </w:r>
      <w:r w:rsidR="00EF2883" w:rsidRPr="00BA6B5F">
        <w:rPr>
          <w:sz w:val="22"/>
        </w:rPr>
        <w:t>.3</w:t>
      </w:r>
    </w:p>
    <w:p w14:paraId="5619E868" w14:textId="299A4FE9" w:rsidR="00E90E49" w:rsidRPr="00CE0424" w:rsidRDefault="003D3C45" w:rsidP="00F64C2B">
      <w:pPr>
        <w:pStyle w:val="3GPPHeader"/>
        <w:rPr>
          <w:sz w:val="22"/>
        </w:rPr>
      </w:pPr>
      <w:r>
        <w:rPr>
          <w:sz w:val="22"/>
        </w:rPr>
        <w:t>Source:</w:t>
      </w:r>
      <w:r w:rsidR="00E90E49" w:rsidRPr="00CE0424">
        <w:rPr>
          <w:sz w:val="22"/>
        </w:rPr>
        <w:tab/>
      </w:r>
      <w:r w:rsidR="00BE44C5">
        <w:rPr>
          <w:sz w:val="22"/>
        </w:rPr>
        <w:t>Apple</w:t>
      </w:r>
    </w:p>
    <w:p w14:paraId="3AF5C9FA" w14:textId="32CDB6C9" w:rsidR="00E90E49" w:rsidRPr="00CE0424" w:rsidRDefault="003D3C45" w:rsidP="00311702">
      <w:pPr>
        <w:pStyle w:val="3GPPHeader"/>
        <w:rPr>
          <w:sz w:val="22"/>
        </w:rPr>
      </w:pPr>
      <w:r>
        <w:rPr>
          <w:sz w:val="22"/>
        </w:rPr>
        <w:t>Title:</w:t>
      </w:r>
      <w:r w:rsidR="00E90E49" w:rsidRPr="00CE0424">
        <w:rPr>
          <w:sz w:val="22"/>
        </w:rPr>
        <w:tab/>
      </w:r>
      <w:r w:rsidR="00835ACA">
        <w:rPr>
          <w:sz w:val="22"/>
        </w:rPr>
        <w:t>Discussion on the 2-sided CSI study</w:t>
      </w:r>
    </w:p>
    <w:p w14:paraId="025260C1" w14:textId="6699B419" w:rsidR="00E90E49" w:rsidRPr="00CE0424" w:rsidRDefault="00E90E49" w:rsidP="00D546FF">
      <w:pPr>
        <w:pStyle w:val="3GPPHeader"/>
        <w:rPr>
          <w:sz w:val="22"/>
        </w:rPr>
      </w:pPr>
      <w:r w:rsidRPr="00CE0424">
        <w:rPr>
          <w:sz w:val="22"/>
        </w:rPr>
        <w:t>Document for:</w:t>
      </w:r>
      <w:r w:rsidRPr="00CE0424">
        <w:rPr>
          <w:sz w:val="22"/>
        </w:rPr>
        <w:tab/>
      </w:r>
      <w:r w:rsidR="00835ACA">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ECF6D6F" w:rsidR="00477768" w:rsidRPr="00CE0424" w:rsidRDefault="00BA7C9D" w:rsidP="00CE0424">
      <w:pPr>
        <w:pStyle w:val="BodyText"/>
      </w:pPr>
      <w:r w:rsidRPr="00BA7C9D">
        <w:t>This contribution discusses how to address the issues associated with Option 3 Track 1, outlines the approach for defining the testing datasets, and examines the similarities and differences between Option 3 and Option 4.</w:t>
      </w:r>
    </w:p>
    <w:p w14:paraId="048BF955" w14:textId="2F734C04" w:rsidR="00FA04B0" w:rsidRDefault="00F94E27" w:rsidP="004C4E3F">
      <w:pPr>
        <w:pStyle w:val="Heading1"/>
        <w:ind w:left="0" w:firstLine="0"/>
      </w:pPr>
      <w:r>
        <w:rPr>
          <w:lang w:val="en-US"/>
        </w:rPr>
        <w:t>2</w:t>
      </w:r>
      <w:r w:rsidR="009E58DE">
        <w:tab/>
      </w:r>
      <w:r w:rsidR="004C4E3F" w:rsidRPr="004C4E3F">
        <w:rPr>
          <w:lang w:val="en-US"/>
        </w:rPr>
        <w:t xml:space="preserve">Test-Decoder Deployment Variability </w:t>
      </w:r>
      <w:r w:rsidR="004C4E3F">
        <w:rPr>
          <w:lang w:val="en-US"/>
        </w:rPr>
        <w:t xml:space="preserve">Assessment </w:t>
      </w:r>
      <w:r w:rsidR="004C4E3F">
        <w:t xml:space="preserve">and Training Dataset construction </w:t>
      </w:r>
    </w:p>
    <w:p w14:paraId="23B2E59C" w14:textId="463CA5A6" w:rsidR="00833681" w:rsidRDefault="00833681" w:rsidP="00833681">
      <w:pPr>
        <w:rPr>
          <w:lang w:val="en-GB" w:eastAsia="ja-JP"/>
        </w:rPr>
      </w:pPr>
      <w:r>
        <w:rPr>
          <w:lang w:val="en-GB" w:eastAsia="ja-JP"/>
        </w:rPr>
        <w:t>The WF from RAN4#114bis was as follows:</w:t>
      </w:r>
    </w:p>
    <w:p w14:paraId="15FA1153" w14:textId="655B7F5B" w:rsidR="00833681" w:rsidRDefault="00833681" w:rsidP="00833681">
      <w:pPr>
        <w:rPr>
          <w:lang w:val="en-GB" w:eastAsia="ja-JP"/>
        </w:rPr>
      </w:pPr>
      <w:r w:rsidRPr="00833681">
        <w:rPr>
          <w:noProof/>
          <w:lang w:val="en-GB" w:eastAsia="ja-JP"/>
        </w:rPr>
        <mc:AlternateContent>
          <mc:Choice Requires="wps">
            <w:drawing>
              <wp:inline distT="0" distB="0" distL="0" distR="0" wp14:anchorId="0231ADB0" wp14:editId="650DA10A">
                <wp:extent cx="6128169" cy="1404620"/>
                <wp:effectExtent l="0" t="0" r="25400" b="14605"/>
                <wp:docPr id="13671747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8169" cy="1404620"/>
                        </a:xfrm>
                        <a:prstGeom prst="rect">
                          <a:avLst/>
                        </a:prstGeom>
                        <a:solidFill>
                          <a:srgbClr val="FFFFFF"/>
                        </a:solidFill>
                        <a:ln w="9525">
                          <a:solidFill>
                            <a:srgbClr val="000000"/>
                          </a:solidFill>
                          <a:miter lim="800000"/>
                          <a:headEnd/>
                          <a:tailEnd/>
                        </a:ln>
                      </wps:spPr>
                      <wps:txbx>
                        <w:txbxContent>
                          <w:p w14:paraId="7A82D05F" w14:textId="25CF4149" w:rsidR="00833681" w:rsidRPr="00687FAB" w:rsidRDefault="00833681" w:rsidP="00833681">
                            <w:pPr>
                              <w:spacing w:afterLines="50" w:after="120"/>
                              <w:rPr>
                                <w:b/>
                                <w:lang w:eastAsia="zh-CN"/>
                              </w:rPr>
                            </w:pPr>
                            <w:r w:rsidRPr="00687FAB">
                              <w:rPr>
                                <w:b/>
                                <w:lang w:eastAsia="zh-CN"/>
                              </w:rPr>
                              <w:t>Agreements</w:t>
                            </w:r>
                          </w:p>
                          <w:p w14:paraId="0780D569"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The encoder that corresponds to the standardized test decoder is stored within 3GPP</w:t>
                            </w:r>
                          </w:p>
                          <w:p w14:paraId="7487CB39"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TBC whether in a TR, or in any TS, whether in RAN4 or RAN5, or whether simply kept in a 3GPP database (with no reference from TR or TS)</w:t>
                            </w:r>
                          </w:p>
                          <w:p w14:paraId="188C3EBF"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FFS whether several encoders would be captured (e.g. due to different complexity)</w:t>
                            </w:r>
                          </w:p>
                          <w:p w14:paraId="574FF4BC" w14:textId="77777777" w:rsidR="00833681" w:rsidRPr="00687FAB" w:rsidRDefault="00833681" w:rsidP="00833681">
                            <w:pPr>
                              <w:spacing w:afterLines="50" w:after="120"/>
                              <w:rPr>
                                <w:lang w:eastAsia="zh-CN"/>
                              </w:rPr>
                            </w:pPr>
                          </w:p>
                          <w:p w14:paraId="316CB7D9" w14:textId="77777777" w:rsidR="00833681" w:rsidRPr="00687FAB" w:rsidRDefault="00833681" w:rsidP="00833681">
                            <w:pPr>
                              <w:spacing w:afterLines="50" w:after="120"/>
                              <w:rPr>
                                <w:b/>
                                <w:bCs/>
                                <w:lang w:eastAsia="zh-CN"/>
                              </w:rPr>
                            </w:pPr>
                            <w:r w:rsidRPr="00687FAB">
                              <w:rPr>
                                <w:b/>
                                <w:bCs/>
                                <w:lang w:eastAsia="zh-CN"/>
                              </w:rPr>
                              <w:t>For further discussion:</w:t>
                            </w:r>
                          </w:p>
                          <w:p w14:paraId="32D5DAB9" w14:textId="77777777" w:rsidR="00833681" w:rsidRPr="00687FAB" w:rsidRDefault="00833681" w:rsidP="00833681">
                            <w:pPr>
                              <w:spacing w:afterLines="50" w:after="120"/>
                              <w:rPr>
                                <w:b/>
                                <w:bCs/>
                                <w:lang w:eastAsia="zh-CN"/>
                              </w:rPr>
                            </w:pPr>
                          </w:p>
                          <w:p w14:paraId="5134AB58" w14:textId="77777777" w:rsidR="00833681" w:rsidRPr="00687FAB" w:rsidRDefault="00833681" w:rsidP="00833681">
                            <w:pPr>
                              <w:spacing w:afterLines="50" w:after="120"/>
                              <w:rPr>
                                <w:lang w:eastAsia="zh-CN"/>
                              </w:rPr>
                            </w:pPr>
                            <w:r w:rsidRPr="00687FAB">
                              <w:rPr>
                                <w:lang w:eastAsia="zh-CN"/>
                              </w:rPr>
                              <w:t>The following topics should be further discussed:</w:t>
                            </w:r>
                          </w:p>
                          <w:p w14:paraId="6C9E3B63"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For the encoder, the TBD and FFS above; i.e., where the encoder is stored/referred to and whether several encoders would be captured.</w:t>
                            </w:r>
                          </w:p>
                          <w:p w14:paraId="0D593EC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it is agreeable to assume that the training dataset for the standardized test decoder is stored within 3GPP, if available</w:t>
                            </w:r>
                          </w:p>
                          <w:p w14:paraId="33CAFF70"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For example in case UE or network vendors could find access to the dataset used for the test encoder useful for their developments</w:t>
                            </w:r>
                          </w:p>
                          <w:p w14:paraId="0DB631A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a test dataset is needed in the specification, or some other alternative (such as a channel model etc.)</w:t>
                            </w:r>
                          </w:p>
                          <w:p w14:paraId="47A453B5" w14:textId="569B7B1F" w:rsidR="00833681" w:rsidRPr="00833681" w:rsidRDefault="00833681">
                            <w:pPr>
                              <w:rPr>
                                <w:lang w:val="x-none"/>
                              </w:rPr>
                            </w:pPr>
                          </w:p>
                        </w:txbxContent>
                      </wps:txbx>
                      <wps:bodyPr rot="0" vert="horz" wrap="square" lIns="91440" tIns="45720" rIns="91440" bIns="45720" anchor="t" anchorCtr="0">
                        <a:spAutoFit/>
                      </wps:bodyPr>
                    </wps:wsp>
                  </a:graphicData>
                </a:graphic>
              </wp:inline>
            </w:drawing>
          </mc:Choice>
          <mc:Fallback>
            <w:pict>
              <v:shapetype w14:anchorId="0231ADB0" id="_x0000_t202" coordsize="21600,21600" o:spt="202" path="m,l,21600r21600,l21600,xe">
                <v:stroke joinstyle="miter"/>
                <v:path gradientshapeok="t" o:connecttype="rect"/>
              </v:shapetype>
              <v:shape id="Text Box 2" o:spid="_x0000_s1026" type="#_x0000_t202" style="width:482.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">
                <v:textbox style="mso-fit-shape-to-text:t">
                  <w:txbxContent>
                    <w:p w14:paraId="7A82D05F" w14:textId="25CF4149" w:rsidR="00833681" w:rsidRPr="00687FAB" w:rsidRDefault="00833681" w:rsidP="00833681">
                      <w:pPr>
                        <w:spacing w:afterLines="50" w:after="120"/>
                        <w:rPr>
                          <w:b/>
                          <w:lang w:eastAsia="zh-CN"/>
                        </w:rPr>
                      </w:pPr>
                      <w:r w:rsidRPr="00687FAB">
                        <w:rPr>
                          <w:b/>
                          <w:lang w:eastAsia="zh-CN"/>
                        </w:rPr>
                        <w:t>Agreements</w:t>
                      </w:r>
                    </w:p>
                    <w:p w14:paraId="0780D569"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The encoder that corresponds to the standardized test decoder is stored within 3GPP</w:t>
                      </w:r>
                    </w:p>
                    <w:p w14:paraId="7487CB39"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TBC whether in a TR, or in any TS, whether in RAN4 or RAN5, or whether simply kept in a 3GPP database (with no reference from TR or TS)</w:t>
                      </w:r>
                    </w:p>
                    <w:p w14:paraId="188C3EBF"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FFS whether several encoders would be captured (e.g. due to different complexity)</w:t>
                      </w:r>
                    </w:p>
                    <w:p w14:paraId="574FF4BC" w14:textId="77777777" w:rsidR="00833681" w:rsidRPr="00687FAB" w:rsidRDefault="00833681" w:rsidP="00833681">
                      <w:pPr>
                        <w:spacing w:afterLines="50" w:after="120"/>
                        <w:rPr>
                          <w:lang w:eastAsia="zh-CN"/>
                        </w:rPr>
                      </w:pPr>
                    </w:p>
                    <w:p w14:paraId="316CB7D9" w14:textId="77777777" w:rsidR="00833681" w:rsidRPr="00687FAB" w:rsidRDefault="00833681" w:rsidP="00833681">
                      <w:pPr>
                        <w:spacing w:afterLines="50" w:after="120"/>
                        <w:rPr>
                          <w:b/>
                          <w:bCs/>
                          <w:lang w:eastAsia="zh-CN"/>
                        </w:rPr>
                      </w:pPr>
                      <w:r w:rsidRPr="00687FAB">
                        <w:rPr>
                          <w:b/>
                          <w:bCs/>
                          <w:lang w:eastAsia="zh-CN"/>
                        </w:rPr>
                        <w:t>For further discussion:</w:t>
                      </w:r>
                    </w:p>
                    <w:p w14:paraId="32D5DAB9" w14:textId="77777777" w:rsidR="00833681" w:rsidRPr="00687FAB" w:rsidRDefault="00833681" w:rsidP="00833681">
                      <w:pPr>
                        <w:spacing w:afterLines="50" w:after="120"/>
                        <w:rPr>
                          <w:b/>
                          <w:bCs/>
                          <w:lang w:eastAsia="zh-CN"/>
                        </w:rPr>
                      </w:pPr>
                    </w:p>
                    <w:p w14:paraId="5134AB58" w14:textId="77777777" w:rsidR="00833681" w:rsidRPr="00687FAB" w:rsidRDefault="00833681" w:rsidP="00833681">
                      <w:pPr>
                        <w:spacing w:afterLines="50" w:after="120"/>
                        <w:rPr>
                          <w:lang w:eastAsia="zh-CN"/>
                        </w:rPr>
                      </w:pPr>
                      <w:r w:rsidRPr="00687FAB">
                        <w:rPr>
                          <w:lang w:eastAsia="zh-CN"/>
                        </w:rPr>
                        <w:t>The following topics should be further discussed:</w:t>
                      </w:r>
                    </w:p>
                    <w:p w14:paraId="6C9E3B63"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For the encoder, the TBD and FFS above; i.e., where the encoder is stored/referred to and whether several encoders would be captured.</w:t>
                      </w:r>
                    </w:p>
                    <w:p w14:paraId="0D593EC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it is agreeable to assume that the training dataset for the standardized test decoder is stored within 3GPP, if available</w:t>
                      </w:r>
                    </w:p>
                    <w:p w14:paraId="33CAFF70"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For example in case UE or network vendors could find access to the dataset used for the test encoder useful for their developments</w:t>
                      </w:r>
                    </w:p>
                    <w:p w14:paraId="0DB631A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a test dataset is needed in the specification, or some other alternative (such as a channel model etc.)</w:t>
                      </w:r>
                    </w:p>
                    <w:p w14:paraId="47A453B5" w14:textId="569B7B1F" w:rsidR="00833681" w:rsidRPr="00833681" w:rsidRDefault="00833681">
                      <w:pPr>
                        <w:rPr>
                          <w:lang w:val="x-none"/>
                        </w:rPr>
                      </w:pPr>
                    </w:p>
                  </w:txbxContent>
                </v:textbox>
                <w10:anchorlock/>
              </v:shape>
            </w:pict>
          </mc:Fallback>
        </mc:AlternateContent>
      </w:r>
    </w:p>
    <w:p w14:paraId="40D81A12" w14:textId="77777777" w:rsidR="00833681" w:rsidRDefault="00833681" w:rsidP="00833681">
      <w:pPr>
        <w:rPr>
          <w:lang w:val="en-GB" w:eastAsia="ja-JP"/>
        </w:rPr>
      </w:pPr>
    </w:p>
    <w:p w14:paraId="16A75FB1" w14:textId="77777777" w:rsidR="006F1009" w:rsidRDefault="006F1009" w:rsidP="006F1009">
      <w:pPr>
        <w:pStyle w:val="B1"/>
        <w:ind w:left="0" w:firstLine="0"/>
      </w:pPr>
    </w:p>
    <w:p w14:paraId="2E0ED880" w14:textId="77777777" w:rsidR="006F1009" w:rsidRDefault="006F1009" w:rsidP="006F1009">
      <w:pPr>
        <w:pStyle w:val="B1"/>
        <w:ind w:left="0" w:firstLine="0"/>
      </w:pPr>
      <w:r>
        <w:t>For option 3 track 1, the endorsed observations are as follows:</w:t>
      </w:r>
    </w:p>
    <w:p w14:paraId="13179468" w14:textId="48B3F40A" w:rsidR="006F1009" w:rsidRDefault="006F1009" w:rsidP="006F1009">
      <w:pPr>
        <w:pStyle w:val="B1"/>
        <w:ind w:left="0" w:firstLine="0"/>
      </w:pPr>
      <w:r>
        <w:rPr>
          <w:noProof/>
        </w:rPr>
        <mc:AlternateContent>
          <mc:Choice Requires="wps">
            <w:drawing>
              <wp:inline distT="0" distB="0" distL="0" distR="0" wp14:anchorId="3AA61095" wp14:editId="2B3568D1">
                <wp:extent cx="6120765" cy="2230740"/>
                <wp:effectExtent l="0" t="0" r="13335" b="6985"/>
                <wp:docPr id="17718345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30740"/>
                        </a:xfrm>
                        <a:prstGeom prst="rect">
                          <a:avLst/>
                        </a:prstGeom>
                        <a:solidFill>
                          <a:srgbClr val="FFFFFF"/>
                        </a:solidFill>
                        <a:ln w="9525">
                          <a:solidFill>
                            <a:srgbClr val="000000"/>
                          </a:solidFill>
                          <a:miter lim="800000"/>
                          <a:headEnd/>
                          <a:tailEnd/>
                        </a:ln>
                      </wps:spPr>
                      <wps:txbx>
                        <w:txbxContent>
                          <w:p w14:paraId="295218CE" w14:textId="77777777" w:rsidR="006F1009" w:rsidRDefault="006F1009" w:rsidP="006F1009">
                            <w:pPr>
                              <w:spacing w:after="120"/>
                              <w:rPr>
                                <w:color w:val="0070C0"/>
                                <w:szCs w:val="24"/>
                                <w:lang w:eastAsia="zh-CN"/>
                              </w:rPr>
                            </w:pPr>
                          </w:p>
                          <w:p w14:paraId="4D8E55E3"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 xml:space="preserve">It is possible for UE vendors to train an encoder based on another company’s frozen test decoder that is functional </w:t>
                            </w:r>
                          </w:p>
                          <w:p w14:paraId="6881CCC0"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 xml:space="preserve">The performance of the encoder is very dependent on the dataset used for training the encoder and the dataset used for training the frozen decoder, and the </w:t>
                            </w:r>
                            <w:proofErr w:type="spellStart"/>
                            <w:r w:rsidRPr="00685444">
                              <w:rPr>
                                <w:bCs/>
                                <w:lang w:eastAsia="ko-KR"/>
                              </w:rPr>
                              <w:t>testset</w:t>
                            </w:r>
                            <w:proofErr w:type="spellEnd"/>
                          </w:p>
                          <w:p w14:paraId="5698DDD5" w14:textId="77777777" w:rsidR="006F1009" w:rsidRPr="00467D4D" w:rsidRDefault="006F1009" w:rsidP="006F1009">
                            <w:pPr>
                              <w:pStyle w:val="ListParagraph"/>
                              <w:numPr>
                                <w:ilvl w:val="1"/>
                                <w:numId w:val="34"/>
                              </w:numPr>
                              <w:overflowPunct w:val="0"/>
                              <w:autoSpaceDE w:val="0"/>
                              <w:autoSpaceDN w:val="0"/>
                              <w:adjustRightInd w:val="0"/>
                              <w:spacing w:after="180" w:line="240" w:lineRule="auto"/>
                              <w:textAlignment w:val="baseline"/>
                              <w:rPr>
                                <w:bCs/>
                                <w:highlight w:val="yellow"/>
                                <w:lang w:eastAsia="ko-KR"/>
                              </w:rPr>
                            </w:pPr>
                            <w:r w:rsidRPr="00467D4D">
                              <w:rPr>
                                <w:bCs/>
                                <w:highlight w:val="yellow"/>
                                <w:lang w:eastAsia="ko-KR"/>
                              </w:rPr>
                              <w:t>If the encoder is trained using a dataset of the UE vendor, the UE vendor dataset should contain the [features] captured in the dataset used to develop the test decoder.</w:t>
                            </w:r>
                          </w:p>
                          <w:p w14:paraId="4183066D"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The variation in the performance depending on the training datasets and test datasets can be as much as 30-50% in SGCS. Further details are available in the results spreadsheet.</w:t>
                            </w:r>
                          </w:p>
                          <w:p w14:paraId="5A9A5977"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For option 3, track 1 to be useful, more careful attention would be needed to the alignment of datasets</w:t>
                            </w:r>
                          </w:p>
                          <w:p w14:paraId="6E670A36"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Only one encoder structure was considered for option 3 track 1. Other lower complexity encoder structures were not examined.</w:t>
                            </w:r>
                          </w:p>
                        </w:txbxContent>
                      </wps:txbx>
                      <wps:bodyPr rot="0" vert="horz" wrap="square" lIns="91440" tIns="45720" rIns="91440" bIns="45720" anchor="t" anchorCtr="0">
                        <a:spAutoFit/>
                      </wps:bodyPr>
                    </wps:wsp>
                  </a:graphicData>
                </a:graphic>
              </wp:inline>
            </w:drawing>
          </mc:Choice>
          <mc:Fallback>
            <w:pict>
              <v:shape w14:anchorId="3AA61095" id="_x0000_s1027" type="#_x0000_t202" style="width:481.95pt;height:1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">
                <v:textbox style="mso-fit-shape-to-text:t">
                  <w:txbxContent>
                    <w:p w14:paraId="295218CE" w14:textId="77777777" w:rsidR="006F1009" w:rsidRDefault="006F1009" w:rsidP="006F1009">
                      <w:pPr>
                        <w:spacing w:after="120"/>
                        <w:rPr>
                          <w:color w:val="0070C0"/>
                          <w:szCs w:val="24"/>
                          <w:lang w:eastAsia="zh-CN"/>
                        </w:rPr>
                      </w:pPr>
                    </w:p>
                    <w:p w14:paraId="4D8E55E3"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 xml:space="preserve">It is possible for UE vendors to train an encoder based on another company’s frozen test decoder that is functional </w:t>
                      </w:r>
                    </w:p>
                    <w:p w14:paraId="6881CCC0"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 xml:space="preserve">The performance of the encoder is very dependent on the dataset used for training the encoder and the dataset used for training the frozen decoder, and the </w:t>
                      </w:r>
                      <w:proofErr w:type="spellStart"/>
                      <w:r w:rsidRPr="00685444">
                        <w:rPr>
                          <w:bCs/>
                          <w:lang w:eastAsia="ko-KR"/>
                        </w:rPr>
                        <w:t>testset</w:t>
                      </w:r>
                      <w:proofErr w:type="spellEnd"/>
                    </w:p>
                    <w:p w14:paraId="5698DDD5" w14:textId="77777777" w:rsidR="006F1009" w:rsidRPr="00467D4D" w:rsidRDefault="006F1009" w:rsidP="006F1009">
                      <w:pPr>
                        <w:pStyle w:val="ListParagraph"/>
                        <w:numPr>
                          <w:ilvl w:val="1"/>
                          <w:numId w:val="34"/>
                        </w:numPr>
                        <w:overflowPunct w:val="0"/>
                        <w:autoSpaceDE w:val="0"/>
                        <w:autoSpaceDN w:val="0"/>
                        <w:adjustRightInd w:val="0"/>
                        <w:spacing w:after="180" w:line="240" w:lineRule="auto"/>
                        <w:textAlignment w:val="baseline"/>
                        <w:rPr>
                          <w:bCs/>
                          <w:highlight w:val="yellow"/>
                          <w:lang w:eastAsia="ko-KR"/>
                        </w:rPr>
                      </w:pPr>
                      <w:r w:rsidRPr="00467D4D">
                        <w:rPr>
                          <w:bCs/>
                          <w:highlight w:val="yellow"/>
                          <w:lang w:eastAsia="ko-KR"/>
                        </w:rPr>
                        <w:t>If the encoder is trained using a dataset of the UE vendor, the UE vendor dataset should contain the [features] captured in the dataset used to develop the test decoder.</w:t>
                      </w:r>
                    </w:p>
                    <w:p w14:paraId="4183066D"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The variation in the performance depending on the training datasets and test datasets can be as much as 30-50% in SGCS. Further details are available in the results spreadsheet.</w:t>
                      </w:r>
                    </w:p>
                    <w:p w14:paraId="5A9A5977"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For option 3, track 1 to be useful, more careful attention would be needed to the alignment of datasets</w:t>
                      </w:r>
                    </w:p>
                    <w:p w14:paraId="6E670A36"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Only one encoder structure was considered for option 3 track 1. Other lower complexity encoder structures were not examined.</w:t>
                      </w:r>
                    </w:p>
                  </w:txbxContent>
                </v:textbox>
                <w10:anchorlock/>
              </v:shape>
            </w:pict>
          </mc:Fallback>
        </mc:AlternateContent>
      </w:r>
    </w:p>
    <w:p w14:paraId="79DB2581" w14:textId="77777777" w:rsidR="006F1009" w:rsidRDefault="006F1009" w:rsidP="00833681">
      <w:pPr>
        <w:rPr>
          <w:lang w:eastAsia="ja-JP"/>
        </w:rPr>
      </w:pPr>
    </w:p>
    <w:p w14:paraId="51077760" w14:textId="77777777" w:rsidR="006F1009" w:rsidRPr="006F1009" w:rsidRDefault="006F1009" w:rsidP="00833681">
      <w:pPr>
        <w:rPr>
          <w:lang w:eastAsia="ja-JP"/>
        </w:rPr>
      </w:pPr>
    </w:p>
    <w:p w14:paraId="0248BB97" w14:textId="76655618" w:rsidR="00791741" w:rsidRPr="00791741" w:rsidRDefault="00791741" w:rsidP="003924EE">
      <w:pPr>
        <w:rPr>
          <w:u w:val="single"/>
          <w:lang w:val="en-GB" w:eastAsia="ja-JP"/>
        </w:rPr>
      </w:pPr>
      <w:r>
        <w:rPr>
          <w:u w:val="single"/>
          <w:lang w:val="en-GB" w:eastAsia="ja-JP"/>
        </w:rPr>
        <w:t>Reference encoder</w:t>
      </w:r>
      <w:r w:rsidR="0029437E">
        <w:rPr>
          <w:u w:val="single"/>
          <w:lang w:val="en-GB" w:eastAsia="ja-JP"/>
        </w:rPr>
        <w:t xml:space="preserve"> and number of test decoders</w:t>
      </w:r>
    </w:p>
    <w:p w14:paraId="23C97529" w14:textId="29D74664" w:rsidR="000A2ED0" w:rsidRPr="000A2ED0" w:rsidRDefault="000A2ED0" w:rsidP="000A2ED0">
      <w:pPr>
        <w:pStyle w:val="NormalWeb"/>
        <w:rPr>
          <w:rFonts w:ascii="Arial" w:hAnsi="Arial" w:cs="Arial"/>
          <w:color w:val="000000"/>
          <w:sz w:val="20"/>
          <w:szCs w:val="20"/>
        </w:rPr>
      </w:pPr>
      <w:r w:rsidRPr="000A2ED0">
        <w:rPr>
          <w:rFonts w:ascii="Arial" w:hAnsi="Arial" w:cs="Arial"/>
          <w:color w:val="000000"/>
          <w:sz w:val="20"/>
          <w:szCs w:val="20"/>
        </w:rPr>
        <w:t xml:space="preserve">Option 3 fixes a single neural-network test decoder in the TE and retains the encoder that was jointly trained with it as a reference model. What remains unresolved is the cardinality and scope of these models: do we need only one decoder (and thus one reference encoder) to cover all requirement scenarios and UE capability classes, or </w:t>
      </w:r>
      <w:r w:rsidRPr="00594436">
        <w:rPr>
          <w:rFonts w:ascii="Arial" w:hAnsi="Arial" w:cs="Arial"/>
          <w:color w:val="000000"/>
          <w:sz w:val="20"/>
          <w:szCs w:val="20"/>
          <w:u w:val="single"/>
        </w:rPr>
        <w:t>do fundamentally different propagation conditions and capability constraints force multiple frozen decoders</w:t>
      </w:r>
      <w:r w:rsidRPr="000A2ED0">
        <w:rPr>
          <w:rFonts w:ascii="Arial" w:hAnsi="Arial" w:cs="Arial"/>
          <w:color w:val="000000"/>
          <w:sz w:val="20"/>
          <w:szCs w:val="20"/>
        </w:rPr>
        <w:t>? The current simulations trained one encoder–decoder pair and then derived new encoders, but they have not yet proven that a single decoder generalizes across all envisaged scenarios. If several decoders were ultimately required, each would demand its own reference encoder, increasing storage and maintenance overhead inside 3GPP.</w:t>
      </w:r>
    </w:p>
    <w:p w14:paraId="02A06FB4" w14:textId="42F0D501" w:rsidR="000A2ED0" w:rsidRPr="000A2ED0" w:rsidRDefault="000A2ED0" w:rsidP="000A2ED0">
      <w:pPr>
        <w:pStyle w:val="NormalWeb"/>
        <w:rPr>
          <w:rFonts w:ascii="Arial" w:hAnsi="Arial" w:cs="Arial"/>
          <w:color w:val="000000"/>
          <w:sz w:val="20"/>
          <w:szCs w:val="20"/>
        </w:rPr>
      </w:pPr>
      <w:r w:rsidRPr="000A2ED0">
        <w:rPr>
          <w:rFonts w:ascii="Arial" w:hAnsi="Arial" w:cs="Arial"/>
          <w:color w:val="000000"/>
          <w:sz w:val="20"/>
          <w:szCs w:val="20"/>
        </w:rPr>
        <w:t>A second, related issue is whether multiple reference encoders should be kept for a single decoder to reflect different encoder complexity levels. If low-complexity encoders can meet the same performance target as higher-complexity ones, it is unclear why vendors would not simply adopt the simplest solution and why 3GPP should store more than one reference encoder. Conversely, if different complexity levels deliver materially different, standardized performance tiers, several encoders might be justified but that would imply defining multiple performance levels for the same scenario, something RAN4 rarely does. Clear criteria are therefore needed to decide when additional decoders or reference encoders are warranted, how they are trained, and how their complexity is bounded, so that interoperability is guaranteed without proliferating models beyond what is strictly necessary.</w:t>
      </w:r>
    </w:p>
    <w:p w14:paraId="6188079E" w14:textId="6EBFC2A7" w:rsidR="000A2ED0" w:rsidRDefault="000A2ED0" w:rsidP="000A2ED0">
      <w:pPr>
        <w:pStyle w:val="NormalWeb"/>
        <w:rPr>
          <w:rFonts w:ascii="Arial" w:hAnsi="Arial" w:cs="Arial"/>
          <w:color w:val="000000"/>
          <w:sz w:val="20"/>
          <w:szCs w:val="20"/>
        </w:rPr>
      </w:pPr>
      <w:r>
        <w:rPr>
          <w:rFonts w:ascii="Arial" w:hAnsi="Arial" w:cs="Arial"/>
          <w:sz w:val="20"/>
          <w:szCs w:val="20"/>
          <w:lang w:val="en-GB" w:eastAsia="ja-JP"/>
        </w:rPr>
        <w:t xml:space="preserve">We believe that </w:t>
      </w:r>
      <w:r w:rsidRPr="000A2ED0">
        <w:rPr>
          <w:rFonts w:ascii="Arial" w:hAnsi="Arial" w:cs="Arial"/>
          <w:color w:val="000000"/>
          <w:sz w:val="20"/>
          <w:szCs w:val="20"/>
        </w:rPr>
        <w:t xml:space="preserve">RAN4 </w:t>
      </w:r>
      <w:r>
        <w:rPr>
          <w:rFonts w:ascii="Arial" w:hAnsi="Arial" w:cs="Arial"/>
          <w:color w:val="000000"/>
          <w:sz w:val="20"/>
          <w:szCs w:val="20"/>
        </w:rPr>
        <w:t xml:space="preserve">should </w:t>
      </w:r>
      <w:r w:rsidRPr="000A2ED0">
        <w:rPr>
          <w:rFonts w:ascii="Arial" w:hAnsi="Arial" w:cs="Arial"/>
          <w:color w:val="000000"/>
          <w:sz w:val="20"/>
          <w:szCs w:val="20"/>
        </w:rPr>
        <w:t>keep one frozen test decoder and one associated reference encoder</w:t>
      </w:r>
      <w:r>
        <w:rPr>
          <w:rFonts w:ascii="Arial" w:hAnsi="Arial" w:cs="Arial"/>
          <w:color w:val="000000"/>
          <w:sz w:val="20"/>
          <w:szCs w:val="20"/>
        </w:rPr>
        <w:t xml:space="preserve"> </w:t>
      </w:r>
      <w:r w:rsidRPr="000A2ED0">
        <w:rPr>
          <w:rFonts w:ascii="Arial" w:hAnsi="Arial" w:cs="Arial"/>
          <w:color w:val="000000"/>
          <w:sz w:val="20"/>
          <w:szCs w:val="20"/>
        </w:rPr>
        <w:t>the encoder used to train that decoder</w:t>
      </w:r>
      <w:r>
        <w:rPr>
          <w:rFonts w:ascii="Arial" w:hAnsi="Arial" w:cs="Arial"/>
          <w:color w:val="000000"/>
          <w:sz w:val="20"/>
          <w:szCs w:val="20"/>
        </w:rPr>
        <w:t xml:space="preserve"> </w:t>
      </w:r>
      <w:r w:rsidRPr="000A2ED0">
        <w:rPr>
          <w:rFonts w:ascii="Arial" w:hAnsi="Arial" w:cs="Arial"/>
          <w:color w:val="000000"/>
          <w:sz w:val="20"/>
          <w:szCs w:val="20"/>
        </w:rPr>
        <w:t>stored in a 3GPP repository with versioning and checksums. Additional decoders are only added if objective evidence (e.g., an agreed NMSE/SGCS spread threshold across distinct requirement scenarios) shows the single decoder cannot meet all needs. The decoder is trained once with the reference encoder; retraining with others is unnecessary unless new, approved scenarios or tiers appear.</w:t>
      </w:r>
    </w:p>
    <w:p w14:paraId="6234D3B9" w14:textId="28C0D23B" w:rsidR="004C4E3F" w:rsidRDefault="004C4E3F" w:rsidP="000A2ED0">
      <w:pPr>
        <w:pStyle w:val="NormalWeb"/>
        <w:rPr>
          <w:rFonts w:ascii="Arial" w:hAnsi="Arial" w:cs="Arial"/>
          <w:color w:val="000000"/>
          <w:sz w:val="20"/>
          <w:szCs w:val="20"/>
        </w:rPr>
      </w:pPr>
      <w:r w:rsidRPr="004C4E3F">
        <w:rPr>
          <w:rFonts w:ascii="Arial" w:hAnsi="Arial" w:cs="Arial"/>
          <w:color w:val="000000"/>
          <w:sz w:val="20"/>
          <w:szCs w:val="20"/>
        </w:rPr>
        <w:t>To determine the required cardinality of different test decoders to cover all applicable scenarios, we propose conducting a Test-Decoder Deployment Variability Assessment to draw conclusions on the appropriate granularity of the specified decoders.</w:t>
      </w:r>
    </w:p>
    <w:p w14:paraId="7FACD41A" w14:textId="33A6C6C8" w:rsidR="00E27886" w:rsidRDefault="00E27886" w:rsidP="000A2ED0">
      <w:pPr>
        <w:pStyle w:val="NormalWeb"/>
        <w:rPr>
          <w:rFonts w:ascii="Arial" w:hAnsi="Arial" w:cs="Arial"/>
          <w:color w:val="000000" w:themeColor="text1"/>
          <w:sz w:val="20"/>
          <w:szCs w:val="20"/>
        </w:rPr>
      </w:pPr>
      <w:r w:rsidRPr="00E27886">
        <w:rPr>
          <w:rFonts w:ascii="Arial" w:hAnsi="Arial" w:cs="Arial"/>
          <w:color w:val="000000" w:themeColor="text1"/>
          <w:sz w:val="20"/>
          <w:szCs w:val="20"/>
        </w:rPr>
        <w:t xml:space="preserve">In the worst-case, testing requirements for CSI compression could demand multiple distinct test decoders to cover fundamentally different </w:t>
      </w:r>
      <w:r w:rsidR="00737F47" w:rsidRPr="00E27886">
        <w:rPr>
          <w:rFonts w:ascii="Arial" w:hAnsi="Arial" w:cs="Arial"/>
          <w:color w:val="000000" w:themeColor="text1"/>
          <w:sz w:val="20"/>
          <w:szCs w:val="20"/>
        </w:rPr>
        <w:t>scenarios, for</w:t>
      </w:r>
      <w:r w:rsidRPr="00E27886">
        <w:rPr>
          <w:rFonts w:ascii="Arial" w:hAnsi="Arial" w:cs="Arial"/>
          <w:color w:val="000000" w:themeColor="text1"/>
          <w:sz w:val="20"/>
          <w:szCs w:val="20"/>
        </w:rPr>
        <w:t xml:space="preserve"> example, varying frequency ranges, antenna configurations, </w:t>
      </w:r>
      <w:r w:rsidRPr="00E27886">
        <w:rPr>
          <w:rFonts w:ascii="Arial" w:hAnsi="Arial" w:cs="Arial"/>
          <w:color w:val="000000" w:themeColor="text1"/>
          <w:sz w:val="20"/>
          <w:szCs w:val="20"/>
        </w:rPr>
        <w:lastRenderedPageBreak/>
        <w:t xml:space="preserve">mobility profiles, or channel models. If each scenario requires its own fully trained and frozen test decoder, RAN4 would need to manage, store, and maintain several large </w:t>
      </w:r>
      <w:r>
        <w:rPr>
          <w:rFonts w:ascii="Arial" w:hAnsi="Arial" w:cs="Arial"/>
          <w:color w:val="000000" w:themeColor="text1"/>
          <w:sz w:val="20"/>
          <w:szCs w:val="20"/>
        </w:rPr>
        <w:t>models</w:t>
      </w:r>
      <w:r w:rsidRPr="00E27886">
        <w:rPr>
          <w:rFonts w:ascii="Arial" w:hAnsi="Arial" w:cs="Arial"/>
          <w:color w:val="000000" w:themeColor="text1"/>
          <w:sz w:val="20"/>
          <w:szCs w:val="20"/>
        </w:rPr>
        <w:t xml:space="preserve"> in parallel. Any change</w:t>
      </w:r>
      <w:r>
        <w:rPr>
          <w:rFonts w:ascii="Arial" w:hAnsi="Arial" w:cs="Arial"/>
          <w:color w:val="000000" w:themeColor="text1"/>
          <w:sz w:val="20"/>
          <w:szCs w:val="20"/>
        </w:rPr>
        <w:t>,</w:t>
      </w:r>
      <w:r w:rsidRPr="00E27886">
        <w:rPr>
          <w:rFonts w:ascii="Arial" w:hAnsi="Arial" w:cs="Arial"/>
          <w:color w:val="000000" w:themeColor="text1"/>
          <w:sz w:val="20"/>
          <w:szCs w:val="20"/>
        </w:rPr>
        <w:t xml:space="preserve"> such as a dataset refresh, preprocessing adjustment, or bug </w:t>
      </w:r>
      <w:r w:rsidRPr="00E27886">
        <w:rPr>
          <w:rFonts w:ascii="Arial" w:hAnsi="Arial" w:cs="Arial"/>
          <w:color w:val="000000" w:themeColor="text1"/>
          <w:sz w:val="20"/>
          <w:szCs w:val="20"/>
        </w:rPr>
        <w:t>fix would</w:t>
      </w:r>
      <w:r w:rsidRPr="00E27886">
        <w:rPr>
          <w:rFonts w:ascii="Arial" w:hAnsi="Arial" w:cs="Arial"/>
          <w:color w:val="000000" w:themeColor="text1"/>
          <w:sz w:val="20"/>
          <w:szCs w:val="20"/>
        </w:rPr>
        <w:t xml:space="preserve"> have to be replicated across all decoders, multiplying the verification, version control, and interoperability checks by the number of scenarios. This increases TE storage requirements,</w:t>
      </w:r>
      <w:r>
        <w:rPr>
          <w:rFonts w:ascii="Arial" w:hAnsi="Arial" w:cs="Arial"/>
          <w:color w:val="000000" w:themeColor="text1"/>
          <w:sz w:val="20"/>
          <w:szCs w:val="20"/>
        </w:rPr>
        <w:t xml:space="preserve"> and complexity. </w:t>
      </w:r>
    </w:p>
    <w:p w14:paraId="7F0C5759" w14:textId="77777777" w:rsidR="00E27886" w:rsidRDefault="00E27886" w:rsidP="00E27886">
      <w:pPr>
        <w:pStyle w:val="NormalWeb"/>
        <w:rPr>
          <w:rFonts w:ascii="Arial" w:hAnsi="Arial" w:cs="Arial"/>
          <w:color w:val="000000"/>
          <w:sz w:val="20"/>
          <w:szCs w:val="20"/>
        </w:rPr>
      </w:pPr>
      <w:r w:rsidRPr="00E27886">
        <w:rPr>
          <w:rFonts w:ascii="Arial" w:hAnsi="Arial" w:cs="Arial"/>
          <w:color w:val="000000"/>
          <w:sz w:val="20"/>
          <w:szCs w:val="20"/>
        </w:rPr>
        <w:t>The scalability challenge intensifies over time. As new channel models or deployment scenarios are introduced in later releases, more frozen decoders would need to be added, each trained and validated independently. Older decoders can quickly become outdated while still being part of the certification scope, creating long-term maintenance burdens. This rigid “one full model per scenario” approach also limits flexibility, as each decoder is tied to its original training assumptions, making adaptation to future conditions cumbersome and inefficient.</w:t>
      </w:r>
    </w:p>
    <w:p w14:paraId="177FEBFE" w14:textId="6EA84A8B" w:rsidR="00E27886" w:rsidRDefault="00E27886" w:rsidP="00E27886">
      <w:pPr>
        <w:pStyle w:val="NormalWeb"/>
        <w:rPr>
          <w:rFonts w:ascii="Arial" w:hAnsi="Arial" w:cs="Arial"/>
          <w:color w:val="000000"/>
          <w:sz w:val="20"/>
          <w:szCs w:val="20"/>
        </w:rPr>
      </w:pPr>
      <w:r w:rsidRPr="00E27886">
        <w:rPr>
          <w:rStyle w:val="Strong"/>
          <w:rFonts w:ascii="Arial" w:hAnsi="Arial" w:cs="Arial"/>
          <w:color w:val="000000"/>
          <w:sz w:val="20"/>
          <w:szCs w:val="20"/>
        </w:rPr>
        <w:t>Backbone + Adapter Concept</w:t>
      </w:r>
      <w:r w:rsidRPr="00E27886">
        <w:rPr>
          <w:rFonts w:ascii="Arial" w:hAnsi="Arial" w:cs="Arial"/>
          <w:color w:val="000000"/>
          <w:sz w:val="20"/>
          <w:szCs w:val="20"/>
        </w:rPr>
        <w:br/>
        <w:t>Instead of maintaining multiple full-size decoders, RAN4 could standardize a</w:t>
      </w:r>
      <w:r w:rsidRPr="00E27886">
        <w:rPr>
          <w:rStyle w:val="apple-converted-space"/>
          <w:rFonts w:ascii="Arial" w:hAnsi="Arial" w:cs="Arial"/>
          <w:color w:val="000000"/>
          <w:sz w:val="20"/>
          <w:szCs w:val="20"/>
        </w:rPr>
        <w:t> </w:t>
      </w:r>
      <w:r w:rsidRPr="00E27886">
        <w:rPr>
          <w:rStyle w:val="Strong"/>
          <w:rFonts w:ascii="Arial" w:hAnsi="Arial" w:cs="Arial"/>
          <w:color w:val="000000"/>
          <w:sz w:val="20"/>
          <w:szCs w:val="20"/>
        </w:rPr>
        <w:t>single backbone model</w:t>
      </w:r>
      <w:r>
        <w:rPr>
          <w:rFonts w:ascii="Arial" w:hAnsi="Arial" w:cs="Arial"/>
          <w:color w:val="000000"/>
          <w:sz w:val="20"/>
          <w:szCs w:val="20"/>
        </w:rPr>
        <w:t>,</w:t>
      </w:r>
      <w:r w:rsidRPr="00E27886">
        <w:rPr>
          <w:rFonts w:ascii="Arial" w:hAnsi="Arial" w:cs="Arial"/>
          <w:color w:val="000000"/>
          <w:sz w:val="20"/>
          <w:szCs w:val="20"/>
        </w:rPr>
        <w:t xml:space="preserve"> a shared, frozen core architecture and weight set that defines the common latent space for encoder–decoder interoperability. For scenario-specific requirements, lightweight</w:t>
      </w:r>
      <w:r w:rsidRPr="00E27886">
        <w:rPr>
          <w:rStyle w:val="apple-converted-space"/>
          <w:rFonts w:ascii="Arial" w:hAnsi="Arial" w:cs="Arial"/>
          <w:color w:val="000000"/>
          <w:sz w:val="20"/>
          <w:szCs w:val="20"/>
        </w:rPr>
        <w:t> </w:t>
      </w:r>
      <w:r w:rsidRPr="00E27886">
        <w:rPr>
          <w:rStyle w:val="Strong"/>
          <w:rFonts w:ascii="Arial" w:hAnsi="Arial" w:cs="Arial"/>
          <w:color w:val="000000"/>
          <w:sz w:val="20"/>
          <w:szCs w:val="20"/>
        </w:rPr>
        <w:t>adapters</w:t>
      </w:r>
      <w:r w:rsidRPr="00E27886">
        <w:rPr>
          <w:rStyle w:val="apple-converted-space"/>
          <w:rFonts w:ascii="Arial" w:hAnsi="Arial" w:cs="Arial"/>
          <w:color w:val="000000"/>
          <w:sz w:val="20"/>
          <w:szCs w:val="20"/>
        </w:rPr>
        <w:t> </w:t>
      </w:r>
      <w:r w:rsidRPr="00E27886">
        <w:rPr>
          <w:rFonts w:ascii="Arial" w:hAnsi="Arial" w:cs="Arial"/>
          <w:color w:val="000000"/>
          <w:sz w:val="20"/>
          <w:szCs w:val="20"/>
        </w:rPr>
        <w:t xml:space="preserve">(e.g., </w:t>
      </w:r>
      <w:proofErr w:type="gramStart"/>
      <w:r w:rsidRPr="00E27886">
        <w:rPr>
          <w:rFonts w:ascii="Arial" w:hAnsi="Arial" w:cs="Arial"/>
          <w:color w:val="000000"/>
          <w:sz w:val="20"/>
          <w:szCs w:val="20"/>
        </w:rPr>
        <w:t>small fine-tuned</w:t>
      </w:r>
      <w:proofErr w:type="gramEnd"/>
      <w:r w:rsidRPr="00E27886">
        <w:rPr>
          <w:rFonts w:ascii="Arial" w:hAnsi="Arial" w:cs="Arial"/>
          <w:color w:val="000000"/>
          <w:sz w:val="20"/>
          <w:szCs w:val="20"/>
        </w:rPr>
        <w:t xml:space="preserve"> modules or layers) can be trained on a targeted dataset to specialize the backbone for that environment. The backbone remains unchanged across scenarios; only the adapter varies.</w:t>
      </w:r>
    </w:p>
    <w:p w14:paraId="587E2556" w14:textId="77777777" w:rsidR="00737F47" w:rsidRDefault="00E27886" w:rsidP="000A2ED0">
      <w:pPr>
        <w:pStyle w:val="NormalWeb"/>
        <w:rPr>
          <w:rFonts w:ascii="Arial" w:hAnsi="Arial" w:cs="Arial"/>
          <w:color w:val="000000"/>
          <w:sz w:val="20"/>
          <w:szCs w:val="20"/>
        </w:rPr>
      </w:pPr>
      <w:r w:rsidRPr="00E27886">
        <w:rPr>
          <w:rFonts w:ascii="Arial" w:hAnsi="Arial" w:cs="Arial"/>
          <w:color w:val="000000"/>
          <w:sz w:val="20"/>
          <w:szCs w:val="20"/>
        </w:rPr>
        <w:t xml:space="preserve">In this model, a new scenario (e.g., high-speed railway at </w:t>
      </w:r>
      <w:proofErr w:type="spellStart"/>
      <w:r w:rsidRPr="00E27886">
        <w:rPr>
          <w:rFonts w:ascii="Arial" w:hAnsi="Arial" w:cs="Arial"/>
          <w:color w:val="000000"/>
          <w:sz w:val="20"/>
          <w:szCs w:val="20"/>
        </w:rPr>
        <w:t>mmWave</w:t>
      </w:r>
      <w:proofErr w:type="spellEnd"/>
      <w:r w:rsidRPr="00E27886">
        <w:rPr>
          <w:rFonts w:ascii="Arial" w:hAnsi="Arial" w:cs="Arial"/>
          <w:color w:val="000000"/>
          <w:sz w:val="20"/>
          <w:szCs w:val="20"/>
        </w:rPr>
        <w:t>) would not require creating and freezing an entirely new decoder. Instead, a scenario-specific adapter would be trained using a small, well-defined dataset. The adapter, combined with the fixed backbone, functions as the test decoder for that scenario. This approach decouples the common interoperability layer from the scenario-specific tuning, enabling RAN4 to maintain a single core model while allowing flexible, lightweight extensions.</w:t>
      </w:r>
      <w:r w:rsidRPr="00E27886">
        <w:rPr>
          <w:rFonts w:ascii="Arial" w:hAnsi="Arial" w:cs="Arial"/>
          <w:color w:val="000000"/>
          <w:sz w:val="20"/>
          <w:szCs w:val="20"/>
        </w:rPr>
        <w:br/>
      </w:r>
    </w:p>
    <w:p w14:paraId="77C76921" w14:textId="71DD792A" w:rsidR="00E27886" w:rsidRDefault="00E27886" w:rsidP="000A2ED0">
      <w:pPr>
        <w:pStyle w:val="NormalWeb"/>
        <w:rPr>
          <w:rFonts w:ascii="Arial" w:hAnsi="Arial" w:cs="Arial"/>
          <w:color w:val="000000"/>
          <w:sz w:val="20"/>
          <w:szCs w:val="20"/>
        </w:rPr>
      </w:pPr>
      <w:r w:rsidRPr="00E27886">
        <w:rPr>
          <w:rFonts w:ascii="Arial" w:hAnsi="Arial" w:cs="Arial"/>
          <w:color w:val="000000"/>
          <w:sz w:val="20"/>
          <w:szCs w:val="20"/>
        </w:rPr>
        <w:t>This</w:t>
      </w:r>
      <w:r>
        <w:rPr>
          <w:rFonts w:ascii="Arial" w:hAnsi="Arial" w:cs="Arial"/>
          <w:color w:val="000000"/>
          <w:sz w:val="20"/>
          <w:szCs w:val="20"/>
        </w:rPr>
        <w:t xml:space="preserve"> proposed</w:t>
      </w:r>
      <w:r w:rsidRPr="00E27886">
        <w:rPr>
          <w:rFonts w:ascii="Arial" w:hAnsi="Arial" w:cs="Arial"/>
          <w:color w:val="000000"/>
          <w:sz w:val="20"/>
          <w:szCs w:val="20"/>
        </w:rPr>
        <w:t xml:space="preserve"> approach reduces the number of large decoder </w:t>
      </w:r>
      <w:r w:rsidR="00737F47">
        <w:rPr>
          <w:rFonts w:ascii="Arial" w:hAnsi="Arial" w:cs="Arial"/>
          <w:color w:val="000000"/>
          <w:sz w:val="20"/>
          <w:szCs w:val="20"/>
        </w:rPr>
        <w:t>models</w:t>
      </w:r>
      <w:r w:rsidRPr="00E27886">
        <w:rPr>
          <w:rFonts w:ascii="Arial" w:hAnsi="Arial" w:cs="Arial"/>
          <w:color w:val="000000"/>
          <w:sz w:val="20"/>
          <w:szCs w:val="20"/>
        </w:rPr>
        <w:t xml:space="preserve"> RAN4 must store and version, lowering maintenance costs and administrative effort. It also mitigates the risk of divergence between decoders, since all scenarios share the same backbone. Scenario-specific testing is more efficient because only the adapter needs validation, not the full decoder. </w:t>
      </w:r>
      <w:proofErr w:type="gramStart"/>
      <w:r w:rsidRPr="00E27886">
        <w:rPr>
          <w:rFonts w:ascii="Arial" w:hAnsi="Arial" w:cs="Arial"/>
          <w:color w:val="000000"/>
          <w:sz w:val="20"/>
          <w:szCs w:val="20"/>
        </w:rPr>
        <w:t>Future-proofing</w:t>
      </w:r>
      <w:proofErr w:type="gramEnd"/>
      <w:r w:rsidRPr="00E27886">
        <w:rPr>
          <w:rFonts w:ascii="Arial" w:hAnsi="Arial" w:cs="Arial"/>
          <w:color w:val="000000"/>
          <w:sz w:val="20"/>
          <w:szCs w:val="20"/>
        </w:rPr>
        <w:t xml:space="preserve"> is </w:t>
      </w:r>
      <w:r w:rsidRPr="00E27886">
        <w:rPr>
          <w:rFonts w:ascii="Arial" w:hAnsi="Arial" w:cs="Arial"/>
          <w:color w:val="000000"/>
          <w:sz w:val="20"/>
          <w:szCs w:val="20"/>
        </w:rPr>
        <w:t>improved new</w:t>
      </w:r>
      <w:r w:rsidRPr="00E27886">
        <w:rPr>
          <w:rFonts w:ascii="Arial" w:hAnsi="Arial" w:cs="Arial"/>
          <w:color w:val="000000"/>
          <w:sz w:val="20"/>
          <w:szCs w:val="20"/>
        </w:rPr>
        <w:t xml:space="preserve"> scenarios can be supported by releasing a small dataset </w:t>
      </w:r>
      <w:r>
        <w:rPr>
          <w:rFonts w:ascii="Arial" w:hAnsi="Arial" w:cs="Arial"/>
          <w:color w:val="000000"/>
          <w:sz w:val="20"/>
          <w:szCs w:val="20"/>
        </w:rPr>
        <w:t xml:space="preserve">and fine the adapter </w:t>
      </w:r>
      <w:r w:rsidRPr="00E27886">
        <w:rPr>
          <w:rFonts w:ascii="Arial" w:hAnsi="Arial" w:cs="Arial"/>
          <w:color w:val="000000"/>
          <w:sz w:val="20"/>
          <w:szCs w:val="20"/>
        </w:rPr>
        <w:t>without retraining or replacing the backbone.</w:t>
      </w:r>
    </w:p>
    <w:p w14:paraId="089F1BDC" w14:textId="5294694B" w:rsidR="004C4E3F" w:rsidRDefault="00E27886" w:rsidP="000A2ED0">
      <w:pPr>
        <w:pStyle w:val="NormalWeb"/>
        <w:rPr>
          <w:rFonts w:ascii="Arial" w:hAnsi="Arial" w:cs="Arial"/>
          <w:color w:val="000000"/>
          <w:sz w:val="20"/>
          <w:szCs w:val="20"/>
        </w:rPr>
      </w:pPr>
      <w:r w:rsidRPr="00E27886">
        <w:rPr>
          <w:rFonts w:ascii="Arial" w:hAnsi="Arial" w:cs="Arial"/>
          <w:color w:val="000000"/>
          <w:sz w:val="20"/>
          <w:szCs w:val="20"/>
        </w:rPr>
        <w:t>If RAN4 standardizes a single frozen backbone and a common adapter architecture, there is no need to store multiple pre-trained adapters for different scenarios. Instead, each new scenario</w:t>
      </w:r>
      <w:r>
        <w:rPr>
          <w:rFonts w:ascii="Arial" w:hAnsi="Arial" w:cs="Arial"/>
          <w:color w:val="000000"/>
          <w:sz w:val="20"/>
          <w:szCs w:val="20"/>
        </w:rPr>
        <w:t xml:space="preserve">, </w:t>
      </w:r>
      <w:r w:rsidRPr="00E27886">
        <w:rPr>
          <w:rFonts w:ascii="Arial" w:hAnsi="Arial" w:cs="Arial"/>
          <w:color w:val="000000"/>
          <w:sz w:val="20"/>
          <w:szCs w:val="20"/>
        </w:rPr>
        <w:t>whether defined by a specific channel model, environment, or frequency band</w:t>
      </w:r>
      <w:r>
        <w:rPr>
          <w:rFonts w:ascii="Arial" w:hAnsi="Arial" w:cs="Arial"/>
          <w:color w:val="000000"/>
          <w:sz w:val="20"/>
          <w:szCs w:val="20"/>
        </w:rPr>
        <w:t xml:space="preserve">, </w:t>
      </w:r>
      <w:r w:rsidRPr="00E27886">
        <w:rPr>
          <w:rFonts w:ascii="Arial" w:hAnsi="Arial" w:cs="Arial"/>
          <w:color w:val="000000"/>
          <w:sz w:val="20"/>
          <w:szCs w:val="20"/>
        </w:rPr>
        <w:t>would only require an agreed scenario-specific dataset and simulation assumptions. At certification time, the adapter is trained on this dataset to produce the specialized decoder on the fly, while the backbone remains unchanged. This approach minimizes stored artifacts to just the backbone and adapter architecture, eliminates per-scenario versioning overhead</w:t>
      </w:r>
      <w:r w:rsidRPr="00E27886">
        <w:rPr>
          <w:rFonts w:ascii="-webkit-standard" w:hAnsi="-webkit-standard"/>
          <w:color w:val="000000"/>
          <w:sz w:val="27"/>
          <w:szCs w:val="27"/>
        </w:rPr>
        <w:t xml:space="preserve"> </w:t>
      </w:r>
      <w:r w:rsidRPr="00E27886">
        <w:rPr>
          <w:rFonts w:ascii="Arial" w:hAnsi="Arial" w:cs="Arial"/>
          <w:color w:val="000000"/>
          <w:sz w:val="20"/>
          <w:szCs w:val="20"/>
        </w:rPr>
        <w:t>and ensures that any future updates (e.g., changes to preprocessing rules) require only generating a new scenario-specific dataset and training the adapter, while the backbone remains frozen. This keeps the process scalable, reduces re-certification effort, and maintains consistency across all scenarios</w:t>
      </w:r>
    </w:p>
    <w:p w14:paraId="38577022" w14:textId="7D076AF8" w:rsidR="00E27886" w:rsidRPr="00E27886" w:rsidRDefault="00E27886" w:rsidP="00E27886">
      <w:pPr>
        <w:pStyle w:val="Proposal"/>
        <w:rPr>
          <w:rFonts w:cs="Arial"/>
          <w:szCs w:val="20"/>
          <w:lang w:val="en-GB"/>
        </w:rPr>
      </w:pPr>
      <w:r w:rsidRPr="00E27886">
        <w:rPr>
          <w:rFonts w:cs="Arial"/>
          <w:color w:val="000000"/>
          <w:szCs w:val="20"/>
        </w:rPr>
        <w:t>RAN4 should standardize a</w:t>
      </w:r>
      <w:r w:rsidRPr="00E27886">
        <w:rPr>
          <w:rStyle w:val="apple-converted-space"/>
          <w:rFonts w:cs="Arial"/>
          <w:color w:val="000000"/>
          <w:szCs w:val="20"/>
        </w:rPr>
        <w:t> </w:t>
      </w:r>
      <w:r w:rsidRPr="00E27886">
        <w:rPr>
          <w:rStyle w:val="Emphasis"/>
          <w:rFonts w:cs="Arial"/>
          <w:color w:val="000000"/>
          <w:szCs w:val="20"/>
        </w:rPr>
        <w:t>single</w:t>
      </w:r>
      <w:r w:rsidRPr="00E27886">
        <w:rPr>
          <w:rStyle w:val="apple-converted-space"/>
          <w:rFonts w:cs="Arial"/>
          <w:color w:val="000000"/>
          <w:szCs w:val="20"/>
        </w:rPr>
        <w:t> </w:t>
      </w:r>
      <w:r w:rsidRPr="00E27886">
        <w:rPr>
          <w:rFonts w:cs="Arial"/>
          <w:color w:val="000000"/>
          <w:szCs w:val="20"/>
        </w:rPr>
        <w:t>frozen backbone test decoder and one associated reference encoder, trained on a sufficiently diverse dataset covering agreed frequency bands, environments, mobility profiles, antenna configurations, and SNR ranges. Additional full decoders shall only be added if objective evidence (e.g., agreed NMSE or SGCS spread thresholds across distinct requirement scenarios) proves that a single backbone cannot meet performance requirements. This ensures interoperability while avoiding unnecessary proliferation of large decoder models.</w:t>
      </w:r>
    </w:p>
    <w:p w14:paraId="59C32C6E" w14:textId="28B8380A" w:rsidR="00E27886" w:rsidRPr="00E27886" w:rsidRDefault="00E27886" w:rsidP="005A1488">
      <w:pPr>
        <w:pStyle w:val="Proposal"/>
        <w:rPr>
          <w:rFonts w:cs="Arial"/>
          <w:color w:val="000000"/>
          <w:szCs w:val="20"/>
          <w:lang w:val="en-GB"/>
        </w:rPr>
      </w:pPr>
      <w:r w:rsidRPr="00E27886">
        <w:rPr>
          <w:rStyle w:val="Strong"/>
          <w:rFonts w:cs="Arial"/>
          <w:color w:val="000000"/>
          <w:szCs w:val="20"/>
        </w:rPr>
        <w:t>Adopt Backbone + Scenario-Specific Adapter Framework</w:t>
      </w:r>
      <w:r w:rsidRPr="00E27886">
        <w:rPr>
          <w:rFonts w:cs="Arial"/>
          <w:color w:val="000000"/>
          <w:szCs w:val="20"/>
        </w:rPr>
        <w:br/>
        <w:t>For scenarios where performance with the single backbone falls short, RAN4 should adopt a backbone + adapter architecture. The frozen backbone defines a common latent space for interoperability, while small, scenario-specific adapters are trained using targeted datasets to specialize the backbone. The backbone remains unchanged across scenarios, ensuring stability; only adapters are trained and validated, minimizing storage, maintenance</w:t>
      </w:r>
      <w:r>
        <w:rPr>
          <w:rFonts w:cs="Arial"/>
          <w:color w:val="000000"/>
          <w:szCs w:val="20"/>
        </w:rPr>
        <w:t>.</w:t>
      </w:r>
    </w:p>
    <w:p w14:paraId="78694634" w14:textId="720C7FCE" w:rsidR="00E27886" w:rsidRPr="00E27886" w:rsidRDefault="00E27886" w:rsidP="005A1488">
      <w:pPr>
        <w:pStyle w:val="Proposal"/>
        <w:rPr>
          <w:rFonts w:cs="Arial"/>
          <w:color w:val="000000"/>
          <w:szCs w:val="20"/>
          <w:lang w:val="en-GB"/>
        </w:rPr>
      </w:pPr>
      <w:r>
        <w:rPr>
          <w:rStyle w:val="Strong"/>
          <w:color w:val="000000"/>
        </w:rPr>
        <w:t>On-Demand Adapter Generation Using Standardized Datasets</w:t>
      </w:r>
      <w:r>
        <w:rPr>
          <w:color w:val="000000"/>
        </w:rPr>
        <w:br/>
      </w:r>
      <w:r w:rsidRPr="00E27886">
        <w:rPr>
          <w:rFonts w:cs="Arial"/>
          <w:color w:val="000000"/>
          <w:szCs w:val="20"/>
        </w:rPr>
        <w:t xml:space="preserve">Instead of storing multiple pre-trained adapters, RAN4 should specify that new adapters be generated on demand during certification. For each new scenario, only </w:t>
      </w:r>
      <w:r w:rsidRPr="00E27886">
        <w:rPr>
          <w:rFonts w:cs="Arial"/>
          <w:color w:val="000000"/>
          <w:szCs w:val="20"/>
        </w:rPr>
        <w:lastRenderedPageBreak/>
        <w:t>the scenario-specific dataset and simulation assumptions are standardized. The adapter is trained on this dataset at certification time and combined with the frozen backbone to form the test decoder for that scenario. This approach eliminates per-scenario versioning overhead, reduces TE storage requirements, and ensures scalability when supporting future channel models or deployment conditions.</w:t>
      </w:r>
    </w:p>
    <w:p w14:paraId="2D042C4F" w14:textId="77777777" w:rsidR="00E27886" w:rsidRDefault="00E27886" w:rsidP="000A2ED0">
      <w:pPr>
        <w:pStyle w:val="NormalWeb"/>
        <w:rPr>
          <w:rFonts w:ascii="Arial" w:hAnsi="Arial" w:cs="Arial"/>
          <w:color w:val="000000"/>
          <w:sz w:val="20"/>
          <w:szCs w:val="20"/>
        </w:rPr>
      </w:pPr>
    </w:p>
    <w:p w14:paraId="038E35E2" w14:textId="5F23B34A" w:rsidR="00CC5F35" w:rsidRPr="004C4E3F" w:rsidRDefault="004C4E3F" w:rsidP="00CC5F35">
      <w:pPr>
        <w:pStyle w:val="Proposal"/>
        <w:rPr>
          <w:rFonts w:cs="Arial"/>
          <w:szCs w:val="20"/>
          <w:lang w:val="en-GB"/>
        </w:rPr>
      </w:pPr>
      <w:r w:rsidRPr="004C4E3F">
        <w:rPr>
          <w:rFonts w:cs="Arial"/>
          <w:color w:val="000000"/>
          <w:szCs w:val="20"/>
        </w:rPr>
        <w:t>To determine if more than one test decoder is needed, we propose a simulation framework for</w:t>
      </w:r>
      <w:r w:rsidRPr="004C4E3F">
        <w:rPr>
          <w:rStyle w:val="apple-converted-space"/>
          <w:rFonts w:cs="Arial"/>
          <w:color w:val="000000"/>
          <w:szCs w:val="20"/>
        </w:rPr>
        <w:t> </w:t>
      </w:r>
      <w:r w:rsidRPr="004C4E3F">
        <w:rPr>
          <w:rStyle w:val="Strong"/>
          <w:rFonts w:cs="Arial"/>
          <w:b/>
          <w:bCs/>
          <w:color w:val="000000"/>
          <w:szCs w:val="20"/>
        </w:rPr>
        <w:t>Test-Decoder Deployment Variability Assessment</w:t>
      </w:r>
      <w:r w:rsidRPr="004C4E3F">
        <w:rPr>
          <w:rFonts w:cs="Arial"/>
          <w:color w:val="000000"/>
          <w:szCs w:val="20"/>
        </w:rPr>
        <w:t>. Three model families are trained: (</w:t>
      </w:r>
      <w:proofErr w:type="spellStart"/>
      <w:r w:rsidRPr="004C4E3F">
        <w:rPr>
          <w:rFonts w:cs="Arial"/>
          <w:color w:val="000000"/>
          <w:szCs w:val="20"/>
        </w:rPr>
        <w:t>i</w:t>
      </w:r>
      <w:proofErr w:type="spellEnd"/>
      <w:r w:rsidRPr="004C4E3F">
        <w:rPr>
          <w:rFonts w:cs="Arial"/>
          <w:color w:val="000000"/>
          <w:szCs w:val="20"/>
        </w:rPr>
        <w:t>) a universal model, (ii) standalone per-scenario models, and (iii) a hybrid with a shared backbone plus scenario-specific experts. Scenarios vary in carrier frequency, antenna configuration, user speed, environment, and SNR; evaluation is on both seen and unseen scenarios. Comparing “diagonal” errors (model tested on its own scenario) with “off-diagonal” errors (tested on other scenarios) reveals when multiple decoders are necessary and whether compact expert heads can match standalone model accuracy with better scalability.</w:t>
      </w:r>
    </w:p>
    <w:p w14:paraId="3A992246" w14:textId="7C1A994D" w:rsidR="000A2ED0" w:rsidRPr="000A2ED0" w:rsidRDefault="000A2ED0" w:rsidP="000A2ED0">
      <w:pPr>
        <w:pStyle w:val="NormalWeb"/>
        <w:rPr>
          <w:rFonts w:ascii="Arial" w:hAnsi="Arial" w:cs="Arial"/>
          <w:color w:val="000000"/>
          <w:sz w:val="20"/>
          <w:szCs w:val="20"/>
        </w:rPr>
      </w:pPr>
      <w:r w:rsidRPr="000A2ED0">
        <w:rPr>
          <w:rFonts w:ascii="Arial" w:hAnsi="Arial" w:cs="Arial"/>
          <w:color w:val="000000"/>
          <w:sz w:val="20"/>
          <w:szCs w:val="20"/>
        </w:rPr>
        <w:t>If multiple encoder complexity levels are explored, the reference encoder is simply the lowest</w:t>
      </w:r>
      <w:r w:rsidRPr="000A2ED0">
        <w:rPr>
          <w:rFonts w:ascii="Arial" w:hAnsi="Arial" w:cs="Arial"/>
          <w:color w:val="000000"/>
          <w:sz w:val="20"/>
          <w:szCs w:val="20"/>
        </w:rPr>
        <w:noBreakHyphen/>
        <w:t xml:space="preserve">complexity one that still meets the target. </w:t>
      </w:r>
      <w:r w:rsidRPr="00594436">
        <w:rPr>
          <w:rFonts w:ascii="Arial" w:hAnsi="Arial" w:cs="Arial"/>
          <w:color w:val="000000"/>
          <w:sz w:val="20"/>
          <w:szCs w:val="20"/>
          <w:u w:val="single"/>
        </w:rPr>
        <w:t xml:space="preserve">Only if RAN4 explicitly defines different performance tiers tied to UE capabilities would </w:t>
      </w:r>
      <w:proofErr w:type="gramStart"/>
      <w:r w:rsidRPr="00594436">
        <w:rPr>
          <w:rFonts w:ascii="Arial" w:hAnsi="Arial" w:cs="Arial"/>
          <w:color w:val="000000"/>
          <w:sz w:val="20"/>
          <w:szCs w:val="20"/>
          <w:u w:val="single"/>
        </w:rPr>
        <w:t>multiple</w:t>
      </w:r>
      <w:proofErr w:type="gramEnd"/>
      <w:r w:rsidRPr="00594436">
        <w:rPr>
          <w:rFonts w:ascii="Arial" w:hAnsi="Arial" w:cs="Arial"/>
          <w:color w:val="000000"/>
          <w:sz w:val="20"/>
          <w:szCs w:val="20"/>
          <w:u w:val="single"/>
        </w:rPr>
        <w:t xml:space="preserve"> reference encoders be justified</w:t>
      </w:r>
      <w:r w:rsidRPr="000A2ED0">
        <w:rPr>
          <w:rFonts w:ascii="Arial" w:hAnsi="Arial" w:cs="Arial"/>
          <w:color w:val="000000"/>
          <w:sz w:val="20"/>
          <w:szCs w:val="20"/>
        </w:rPr>
        <w:t xml:space="preserve">. Remaining FFS items include setting the exact convergence metric and thresholds, defining any capability tiers and their performance floors, and establishing lifecycle rules for refreshing datasets/models without </w:t>
      </w:r>
      <w:r w:rsidR="0029437E">
        <w:rPr>
          <w:rFonts w:ascii="Arial" w:hAnsi="Arial" w:cs="Arial"/>
          <w:color w:val="000000"/>
          <w:sz w:val="20"/>
          <w:szCs w:val="20"/>
        </w:rPr>
        <w:t xml:space="preserve">complicating </w:t>
      </w:r>
      <w:r w:rsidRPr="000A2ED0">
        <w:rPr>
          <w:rFonts w:ascii="Arial" w:hAnsi="Arial" w:cs="Arial"/>
          <w:color w:val="000000"/>
          <w:sz w:val="20"/>
          <w:szCs w:val="20"/>
        </w:rPr>
        <w:t xml:space="preserve">certification. This approach preserves interoperability and limits </w:t>
      </w:r>
      <w:r w:rsidR="0029437E">
        <w:rPr>
          <w:rFonts w:ascii="Arial" w:hAnsi="Arial" w:cs="Arial"/>
          <w:color w:val="000000"/>
          <w:sz w:val="20"/>
          <w:szCs w:val="20"/>
        </w:rPr>
        <w:t>model</w:t>
      </w:r>
      <w:r w:rsidRPr="000A2ED0">
        <w:rPr>
          <w:rFonts w:ascii="Arial" w:hAnsi="Arial" w:cs="Arial"/>
          <w:color w:val="000000"/>
          <w:sz w:val="20"/>
          <w:szCs w:val="20"/>
        </w:rPr>
        <w:t xml:space="preserve"> proliferation while leaving a controlled path for expansion if truly needed.</w:t>
      </w:r>
    </w:p>
    <w:p w14:paraId="6B13EE97" w14:textId="77777777" w:rsidR="00594436" w:rsidRPr="00594436" w:rsidRDefault="0029437E" w:rsidP="003924EE">
      <w:pPr>
        <w:pStyle w:val="Proposal"/>
        <w:rPr>
          <w:rFonts w:cs="Arial"/>
          <w:szCs w:val="20"/>
          <w:lang w:val="en-GB"/>
        </w:rPr>
      </w:pPr>
      <w:r w:rsidRPr="0029437E">
        <w:rPr>
          <w:rFonts w:cs="Arial"/>
          <w:color w:val="000000"/>
          <w:szCs w:val="20"/>
        </w:rPr>
        <w:t>RAN4 shall retain a single reference encoder per frozen test decoder, selecting the lowest</w:t>
      </w:r>
      <w:r w:rsidRPr="0029437E">
        <w:rPr>
          <w:rFonts w:cs="Arial"/>
          <w:color w:val="000000"/>
          <w:szCs w:val="20"/>
        </w:rPr>
        <w:noBreakHyphen/>
        <w:t xml:space="preserve">complexity encoder that still meets the agreed performance target; additional reference encoders would be justified only if RAN4 explicitly defines distinct performance tiers tied to UE capability classes. </w:t>
      </w:r>
    </w:p>
    <w:p w14:paraId="2B986D58" w14:textId="1CC6AA74" w:rsidR="000A2ED0" w:rsidRPr="00594436" w:rsidRDefault="00594436" w:rsidP="0023247E">
      <w:pPr>
        <w:pStyle w:val="Proposal"/>
        <w:rPr>
          <w:rFonts w:cs="Arial"/>
          <w:szCs w:val="20"/>
          <w:lang w:val="en-GB" w:eastAsia="ja-JP"/>
        </w:rPr>
      </w:pPr>
      <w:r w:rsidRPr="00594436">
        <w:rPr>
          <w:rFonts w:cs="Arial"/>
          <w:color w:val="000000"/>
          <w:szCs w:val="20"/>
          <w:lang w:val="en-GB"/>
        </w:rPr>
        <w:t>If RAN4 defines distinct performance tiers,</w:t>
      </w:r>
      <w:r w:rsidR="0029437E" w:rsidRPr="00594436">
        <w:rPr>
          <w:rFonts w:cs="Arial"/>
          <w:color w:val="000000"/>
          <w:szCs w:val="20"/>
        </w:rPr>
        <w:t xml:space="preserve"> RAN4 needs to set the exact convergence metric (SGCS, NMSE) define </w:t>
      </w:r>
      <w:r w:rsidRPr="00594436">
        <w:rPr>
          <w:rFonts w:cs="Arial"/>
          <w:color w:val="000000"/>
          <w:szCs w:val="20"/>
        </w:rPr>
        <w:t>the</w:t>
      </w:r>
      <w:r w:rsidR="0029437E" w:rsidRPr="00594436">
        <w:rPr>
          <w:rFonts w:cs="Arial"/>
          <w:color w:val="000000"/>
          <w:szCs w:val="20"/>
        </w:rPr>
        <w:t xml:space="preserve"> capability tiers and their minimum performance floors </w:t>
      </w:r>
    </w:p>
    <w:p w14:paraId="1DE89732" w14:textId="69B5CA6E" w:rsidR="004C4E3F" w:rsidRPr="004C4E3F" w:rsidRDefault="004C4E3F" w:rsidP="004C4E3F">
      <w:pPr>
        <w:pStyle w:val="Heading1"/>
        <w:ind w:left="0" w:firstLine="0"/>
      </w:pPr>
      <w:r>
        <w:rPr>
          <w:lang w:val="en-US"/>
        </w:rPr>
        <w:t>4</w:t>
      </w:r>
      <w:r>
        <w:tab/>
      </w:r>
      <w:r>
        <w:rPr>
          <w:lang w:val="en-US"/>
        </w:rPr>
        <w:t>Commonalities and Differences between Option 3 and Option 4</w:t>
      </w:r>
      <w:r>
        <w:t xml:space="preserve"> </w:t>
      </w:r>
    </w:p>
    <w:p w14:paraId="4CDF8977" w14:textId="4B834076" w:rsidR="0096325A" w:rsidRPr="00D54F61" w:rsidRDefault="0096325A" w:rsidP="0096325A">
      <w:pPr>
        <w:pStyle w:val="NormalWeb"/>
        <w:rPr>
          <w:rFonts w:ascii="Arial" w:hAnsi="Arial" w:cs="Arial"/>
          <w:color w:val="000000"/>
          <w:sz w:val="20"/>
          <w:szCs w:val="20"/>
        </w:rPr>
      </w:pPr>
      <w:r w:rsidRPr="00D54F61">
        <w:rPr>
          <w:rFonts w:ascii="Arial" w:hAnsi="Arial" w:cs="Arial"/>
          <w:color w:val="000000"/>
          <w:sz w:val="20"/>
          <w:szCs w:val="20"/>
        </w:rPr>
        <w:t>Option 3 fixes a single neural</w:t>
      </w:r>
      <w:r w:rsidRPr="00D54F61">
        <w:rPr>
          <w:rFonts w:ascii="Arial" w:hAnsi="Arial" w:cs="Arial"/>
          <w:color w:val="000000"/>
          <w:sz w:val="20"/>
          <w:szCs w:val="20"/>
        </w:rPr>
        <w:noBreakHyphen/>
        <w:t>network decoder in the TE, with its architecture and weights frozen, and UE vendors train only their encoders against that common target. Option 4, by contrast, lets each TE vendor</w:t>
      </w:r>
      <w:r w:rsidRPr="00D54F61">
        <w:rPr>
          <w:rStyle w:val="apple-converted-space"/>
          <w:rFonts w:ascii="Arial" w:hAnsi="Arial" w:cs="Arial"/>
          <w:color w:val="000000"/>
          <w:sz w:val="20"/>
          <w:szCs w:val="20"/>
        </w:rPr>
        <w:t> </w:t>
      </w:r>
      <w:r w:rsidRPr="001863A8">
        <w:rPr>
          <w:rStyle w:val="Strong"/>
          <w:rFonts w:ascii="Arial" w:hAnsi="Arial" w:cs="Arial"/>
          <w:b w:val="0"/>
          <w:bCs w:val="0"/>
          <w:color w:val="000000"/>
          <w:sz w:val="20"/>
          <w:szCs w:val="20"/>
        </w:rPr>
        <w:t>design and train</w:t>
      </w:r>
      <w:r w:rsidRPr="00D54F61">
        <w:rPr>
          <w:rStyle w:val="apple-converted-space"/>
          <w:rFonts w:ascii="Arial" w:hAnsi="Arial" w:cs="Arial"/>
          <w:color w:val="000000"/>
          <w:sz w:val="20"/>
          <w:szCs w:val="20"/>
        </w:rPr>
        <w:t> </w:t>
      </w:r>
      <w:r w:rsidRPr="00D54F61">
        <w:rPr>
          <w:rFonts w:ascii="Arial" w:hAnsi="Arial" w:cs="Arial"/>
          <w:color w:val="000000"/>
          <w:sz w:val="20"/>
          <w:szCs w:val="20"/>
        </w:rPr>
        <w:t>the TE-resident test decoder under 3GPP constraints: in 4a the constraint is a labelled dataset</w:t>
      </w:r>
      <w:r w:rsidRPr="00D54F61">
        <w:rPr>
          <w:rStyle w:val="apple-converted-space"/>
          <w:rFonts w:ascii="Arial" w:hAnsi="Arial" w:cs="Arial"/>
          <w:color w:val="000000"/>
          <w:sz w:val="20"/>
          <w:szCs w:val="20"/>
        </w:rPr>
        <w:t> </w:t>
      </w:r>
      <w:r w:rsidRPr="00D54F61">
        <w:rPr>
          <w:rStyle w:val="katex-mathml"/>
          <w:rFonts w:ascii="Arial" w:hAnsi="Arial" w:cs="Arial"/>
          <w:color w:val="000000"/>
          <w:sz w:val="20"/>
          <w:szCs w:val="20"/>
        </w:rPr>
        <w:t>{</w:t>
      </w:r>
      <w:proofErr w:type="spellStart"/>
      <w:proofErr w:type="gramStart"/>
      <w:r w:rsidRPr="00D54F61">
        <w:rPr>
          <w:rStyle w:val="katex-mathml"/>
          <w:rFonts w:ascii="Arial" w:hAnsi="Arial" w:cs="Arial"/>
          <w:color w:val="000000"/>
          <w:sz w:val="20"/>
          <w:szCs w:val="20"/>
        </w:rPr>
        <w:t>V,c</w:t>
      </w:r>
      <w:proofErr w:type="spellEnd"/>
      <w:proofErr w:type="gramEnd"/>
      <w:r w:rsidRPr="00D54F61">
        <w:rPr>
          <w:rStyle w:val="katex-mathml"/>
          <w:rFonts w:ascii="Arial" w:hAnsi="Arial" w:cs="Arial"/>
          <w:color w:val="000000"/>
          <w:sz w:val="20"/>
          <w:szCs w:val="20"/>
        </w:rPr>
        <w:t>}</w:t>
      </w:r>
      <w:r w:rsidRPr="00D54F61">
        <w:rPr>
          <w:rFonts w:ascii="Arial" w:hAnsi="Arial" w:cs="Arial"/>
          <w:color w:val="000000"/>
          <w:sz w:val="20"/>
          <w:szCs w:val="20"/>
        </w:rPr>
        <w:t>; in 4b it is a frozen reference encoder (plus a dataset). Option 4 also introduces a second decoder the vendor’s “own” decoder used purely during UE</w:t>
      </w:r>
      <w:r w:rsidRPr="00D54F61">
        <w:rPr>
          <w:rFonts w:ascii="Arial" w:hAnsi="Arial" w:cs="Arial"/>
          <w:color w:val="000000"/>
          <w:sz w:val="20"/>
          <w:szCs w:val="20"/>
        </w:rPr>
        <w:noBreakHyphen/>
        <w:t>encoder training; only the TE</w:t>
      </w:r>
      <w:r w:rsidR="00CD2FB5">
        <w:rPr>
          <w:rFonts w:ascii="Arial" w:hAnsi="Arial" w:cs="Arial"/>
          <w:color w:val="000000"/>
          <w:sz w:val="20"/>
          <w:szCs w:val="20"/>
        </w:rPr>
        <w:t xml:space="preserve"> test</w:t>
      </w:r>
      <w:r w:rsidRPr="00D54F61">
        <w:rPr>
          <w:rFonts w:ascii="Arial" w:hAnsi="Arial" w:cs="Arial"/>
          <w:color w:val="000000"/>
          <w:sz w:val="20"/>
          <w:szCs w:val="20"/>
        </w:rPr>
        <w:t xml:space="preserve"> decoder participates in conformance. Thus Option 3 has a single decoder in play, while Option 4 has two, with the TE </w:t>
      </w:r>
      <w:r w:rsidR="00CD2FB5">
        <w:rPr>
          <w:rFonts w:ascii="Arial" w:hAnsi="Arial" w:cs="Arial"/>
          <w:color w:val="000000"/>
          <w:sz w:val="20"/>
          <w:szCs w:val="20"/>
        </w:rPr>
        <w:t xml:space="preserve">test decoder </w:t>
      </w:r>
      <w:r w:rsidRPr="00D54F61">
        <w:rPr>
          <w:rFonts w:ascii="Arial" w:hAnsi="Arial" w:cs="Arial"/>
          <w:color w:val="000000"/>
          <w:sz w:val="20"/>
          <w:szCs w:val="20"/>
        </w:rPr>
        <w:t>version derived from specs rather than being a shared binary.</w:t>
      </w:r>
    </w:p>
    <w:p w14:paraId="36A970A0" w14:textId="38C35225" w:rsidR="0096325A" w:rsidRPr="001863A8" w:rsidRDefault="001863A8" w:rsidP="0096325A">
      <w:pPr>
        <w:pStyle w:val="NormalWeb"/>
        <w:rPr>
          <w:rFonts w:ascii="Arial" w:hAnsi="Arial" w:cs="Arial"/>
          <w:color w:val="000000"/>
          <w:sz w:val="20"/>
          <w:szCs w:val="20"/>
        </w:rPr>
      </w:pPr>
      <w:r w:rsidRPr="001863A8">
        <w:rPr>
          <w:rFonts w:ascii="Arial" w:hAnsi="Arial" w:cs="Arial"/>
          <w:color w:val="000000"/>
          <w:sz w:val="20"/>
          <w:szCs w:val="20"/>
        </w:rPr>
        <w:t xml:space="preserve">The strength of Option 3 is rock-solid interoperability: everyone tests against </w:t>
      </w:r>
      <w:proofErr w:type="gramStart"/>
      <w:r w:rsidRPr="001863A8">
        <w:rPr>
          <w:rFonts w:ascii="Arial" w:hAnsi="Arial" w:cs="Arial"/>
          <w:color w:val="000000"/>
          <w:sz w:val="20"/>
          <w:szCs w:val="20"/>
        </w:rPr>
        <w:t>exactly the same</w:t>
      </w:r>
      <w:proofErr w:type="gramEnd"/>
      <w:r w:rsidRPr="001863A8">
        <w:rPr>
          <w:rFonts w:ascii="Arial" w:hAnsi="Arial" w:cs="Arial"/>
          <w:color w:val="000000"/>
          <w:sz w:val="20"/>
          <w:szCs w:val="20"/>
        </w:rPr>
        <w:t xml:space="preserve"> decoder, so spread comes mainly from encoder design, not decoder drift. It is administratively simple for labs and reduces ambiguity in failure analysis. The downside is rigidity: the frozen decoder can age poorly if channel models evolve, and vendors have no flexibility to adjust its structure or complexity to optimize latency, computational load, or memory footprint on TE hardware. Track 1 also exposed a data mismatch problem: if UE encoders are trained on datasets that don’t mirror the decoder’s training data, performance can swing wildly (30–50% SGCS spread), meaning Option 3 needs strict data governance to be truly reliable.</w:t>
      </w:r>
    </w:p>
    <w:p w14:paraId="1D526E2A" w14:textId="6EBB4424" w:rsidR="0096325A" w:rsidRPr="00D54F61" w:rsidRDefault="0096325A" w:rsidP="0096325A">
      <w:pPr>
        <w:pStyle w:val="NormalWeb"/>
        <w:rPr>
          <w:rFonts w:ascii="Arial" w:hAnsi="Arial" w:cs="Arial"/>
          <w:color w:val="000000"/>
          <w:sz w:val="20"/>
          <w:szCs w:val="20"/>
        </w:rPr>
      </w:pPr>
      <w:r w:rsidRPr="00D54F61">
        <w:rPr>
          <w:rFonts w:ascii="Arial" w:hAnsi="Arial" w:cs="Arial"/>
          <w:color w:val="000000"/>
          <w:sz w:val="20"/>
          <w:szCs w:val="20"/>
        </w:rPr>
        <w:t xml:space="preserve">Option 4 offers flexibility: TE vendors can optimize their decoder (within a fully or partially specified structure) for their platforms, and UE vendors can use an “own” decoder to shape encoder training. In 4b, the frozen reference encoder pins the latent space, making interop easier than 4a’s pure dataset anchor; </w:t>
      </w:r>
      <w:r w:rsidRPr="00D54F61">
        <w:rPr>
          <w:rFonts w:ascii="Arial" w:hAnsi="Arial" w:cs="Arial"/>
          <w:b/>
          <w:bCs/>
          <w:color w:val="000000"/>
          <w:sz w:val="20"/>
          <w:szCs w:val="20"/>
        </w:rPr>
        <w:t>4a and 4b effectively collapse if the labelled dataset is generated from that same reference encoder on the mixed dataset</w:t>
      </w:r>
      <w:r w:rsidRPr="00D54F61">
        <w:rPr>
          <w:rFonts w:ascii="Arial" w:hAnsi="Arial" w:cs="Arial"/>
          <w:color w:val="000000"/>
          <w:sz w:val="20"/>
          <w:szCs w:val="20"/>
        </w:rPr>
        <w:t>. The trade-off is complexity and interop risk if decoder structure is under</w:t>
      </w:r>
      <w:r w:rsidRPr="00D54F61">
        <w:rPr>
          <w:rFonts w:ascii="Arial" w:hAnsi="Arial" w:cs="Arial"/>
          <w:color w:val="000000"/>
          <w:sz w:val="20"/>
          <w:szCs w:val="20"/>
        </w:rPr>
        <w:noBreakHyphen/>
        <w:t xml:space="preserve">specified or </w:t>
      </w:r>
      <w:r w:rsidRPr="00D54F61">
        <w:rPr>
          <w:rFonts w:ascii="Arial" w:hAnsi="Arial" w:cs="Arial"/>
          <w:color w:val="000000"/>
          <w:sz w:val="20"/>
          <w:szCs w:val="20"/>
        </w:rPr>
        <w:lastRenderedPageBreak/>
        <w:t xml:space="preserve">datasets diverge, latent spaces </w:t>
      </w:r>
      <w:proofErr w:type="gramStart"/>
      <w:r w:rsidRPr="00D54F61">
        <w:rPr>
          <w:rFonts w:ascii="Arial" w:hAnsi="Arial" w:cs="Arial"/>
          <w:color w:val="000000"/>
          <w:sz w:val="20"/>
          <w:szCs w:val="20"/>
        </w:rPr>
        <w:t>drift</w:t>
      </w:r>
      <w:proofErr w:type="gramEnd"/>
      <w:r w:rsidRPr="00D54F61">
        <w:rPr>
          <w:rFonts w:ascii="Arial" w:hAnsi="Arial" w:cs="Arial"/>
          <w:color w:val="000000"/>
          <w:sz w:val="20"/>
          <w:szCs w:val="20"/>
        </w:rPr>
        <w:t xml:space="preserve"> and cross</w:t>
      </w:r>
      <w:r w:rsidRPr="00D54F61">
        <w:rPr>
          <w:rFonts w:ascii="Arial" w:hAnsi="Arial" w:cs="Arial"/>
          <w:color w:val="000000"/>
          <w:sz w:val="20"/>
          <w:szCs w:val="20"/>
        </w:rPr>
        <w:noBreakHyphen/>
        <w:t xml:space="preserve">vendor spreads reappear. Option 4 therefore </w:t>
      </w:r>
      <w:r w:rsidR="001863A8">
        <w:rPr>
          <w:rFonts w:ascii="Arial" w:hAnsi="Arial" w:cs="Arial"/>
          <w:color w:val="000000"/>
          <w:sz w:val="20"/>
          <w:szCs w:val="20"/>
        </w:rPr>
        <w:t xml:space="preserve">would </w:t>
      </w:r>
      <w:r w:rsidRPr="00D54F61">
        <w:rPr>
          <w:rFonts w:ascii="Arial" w:hAnsi="Arial" w:cs="Arial"/>
          <w:color w:val="000000"/>
          <w:sz w:val="20"/>
          <w:szCs w:val="20"/>
        </w:rPr>
        <w:t>need crisp rules on dataset usage, structure</w:t>
      </w:r>
      <w:r w:rsidR="00CD2FB5">
        <w:rPr>
          <w:rFonts w:ascii="Arial" w:hAnsi="Arial" w:cs="Arial"/>
          <w:color w:val="000000"/>
          <w:sz w:val="20"/>
          <w:szCs w:val="20"/>
        </w:rPr>
        <w:t xml:space="preserve"> and architecture </w:t>
      </w:r>
      <w:r w:rsidR="00CD2FB5" w:rsidRPr="00D54F61">
        <w:rPr>
          <w:rFonts w:ascii="Arial" w:hAnsi="Arial" w:cs="Arial"/>
          <w:color w:val="000000"/>
          <w:sz w:val="20"/>
          <w:szCs w:val="20"/>
        </w:rPr>
        <w:t>bounds</w:t>
      </w:r>
      <w:r w:rsidRPr="00D54F61">
        <w:rPr>
          <w:rFonts w:ascii="Arial" w:hAnsi="Arial" w:cs="Arial"/>
          <w:color w:val="000000"/>
          <w:sz w:val="20"/>
          <w:szCs w:val="20"/>
        </w:rPr>
        <w:t>, and training recipes to prevent fragmentation.</w:t>
      </w:r>
    </w:p>
    <w:p w14:paraId="7E58F208" w14:textId="3778883B" w:rsidR="0096325A" w:rsidRPr="00D54F61" w:rsidRDefault="0096325A" w:rsidP="0096325A">
      <w:pPr>
        <w:pStyle w:val="NormalWeb"/>
        <w:rPr>
          <w:rFonts w:ascii="Arial" w:hAnsi="Arial" w:cs="Arial"/>
          <w:color w:val="000000"/>
          <w:sz w:val="20"/>
          <w:szCs w:val="20"/>
        </w:rPr>
      </w:pPr>
      <w:r w:rsidRPr="00D54F61">
        <w:rPr>
          <w:rFonts w:ascii="Arial" w:hAnsi="Arial" w:cs="Arial"/>
          <w:color w:val="000000"/>
          <w:sz w:val="20"/>
          <w:szCs w:val="20"/>
        </w:rPr>
        <w:t xml:space="preserve">The options </w:t>
      </w:r>
      <w:r w:rsidR="00D54F61" w:rsidRPr="00D54F61">
        <w:rPr>
          <w:rFonts w:ascii="Arial" w:hAnsi="Arial" w:cs="Arial"/>
          <w:color w:val="000000"/>
          <w:sz w:val="20"/>
          <w:szCs w:val="20"/>
        </w:rPr>
        <w:t xml:space="preserve">3,4 </w:t>
      </w:r>
      <w:r w:rsidRPr="00D54F61">
        <w:rPr>
          <w:rFonts w:ascii="Arial" w:hAnsi="Arial" w:cs="Arial"/>
          <w:color w:val="000000"/>
          <w:sz w:val="20"/>
          <w:szCs w:val="20"/>
        </w:rPr>
        <w:t xml:space="preserve">become equivalent when Option 4’s TE decoder is fully specified (architecture) and everyone trains or adopts the same </w:t>
      </w:r>
      <w:r w:rsidR="00D54F61" w:rsidRPr="00D54F61">
        <w:rPr>
          <w:rFonts w:ascii="Arial" w:hAnsi="Arial" w:cs="Arial"/>
          <w:color w:val="000000"/>
          <w:sz w:val="20"/>
          <w:szCs w:val="20"/>
        </w:rPr>
        <w:t>models</w:t>
      </w:r>
      <w:r w:rsidRPr="00D54F61">
        <w:rPr>
          <w:rFonts w:ascii="Arial" w:hAnsi="Arial" w:cs="Arial"/>
          <w:color w:val="000000"/>
          <w:sz w:val="20"/>
          <w:szCs w:val="20"/>
        </w:rPr>
        <w:t xml:space="preserve">; at that point it is just Option 3 by another name. </w:t>
      </w:r>
      <w:r w:rsidRPr="00D54F61">
        <w:rPr>
          <w:rFonts w:ascii="Arial" w:hAnsi="Arial" w:cs="Arial"/>
          <w:b/>
          <w:bCs/>
          <w:color w:val="000000"/>
          <w:sz w:val="20"/>
          <w:szCs w:val="20"/>
        </w:rPr>
        <w:t>They also converge if 4a’s labelled set exactly reflects 4b’s frozen</w:t>
      </w:r>
      <w:r w:rsidRPr="00D54F61">
        <w:rPr>
          <w:rFonts w:ascii="Arial" w:hAnsi="Arial" w:cs="Arial"/>
          <w:b/>
          <w:bCs/>
          <w:color w:val="000000"/>
          <w:sz w:val="20"/>
          <w:szCs w:val="20"/>
        </w:rPr>
        <w:noBreakHyphen/>
        <w:t>encoder latent space</w:t>
      </w:r>
      <w:r w:rsidRPr="00D54F61">
        <w:rPr>
          <w:rFonts w:ascii="Arial" w:hAnsi="Arial" w:cs="Arial"/>
          <w:color w:val="000000"/>
          <w:sz w:val="20"/>
          <w:szCs w:val="20"/>
        </w:rPr>
        <w:t xml:space="preserve"> and the decoder backbone is locked. Conversely, they diverge meaningfully only when vendors are allowed to retrain the TE decoder (and keep weights) under partial structural constraints, or when proprietary datasets are permitted but forced to align statistically to the reference (e.g., via PSE or other metrics).</w:t>
      </w:r>
    </w:p>
    <w:p w14:paraId="31F9C014" w14:textId="585B16AA" w:rsidR="0096325A" w:rsidRPr="00D54F61" w:rsidRDefault="00D54F61" w:rsidP="0096325A">
      <w:pPr>
        <w:rPr>
          <w:rFonts w:cs="Arial"/>
          <w:color w:val="000000"/>
          <w:szCs w:val="20"/>
        </w:rPr>
      </w:pPr>
      <w:r w:rsidRPr="00D54F61">
        <w:rPr>
          <w:rFonts w:cs="Arial"/>
          <w:color w:val="000000"/>
          <w:szCs w:val="20"/>
        </w:rPr>
        <w:t>Options 3,4 only</w:t>
      </w:r>
      <w:r w:rsidRPr="00D54F61">
        <w:rPr>
          <w:rStyle w:val="apple-converted-space"/>
          <w:rFonts w:cs="Arial"/>
          <w:color w:val="000000"/>
          <w:szCs w:val="20"/>
        </w:rPr>
        <w:t> </w:t>
      </w:r>
      <w:r w:rsidRPr="00D54F61">
        <w:rPr>
          <w:rStyle w:val="Strong"/>
          <w:rFonts w:cs="Arial"/>
          <w:color w:val="000000"/>
          <w:szCs w:val="20"/>
        </w:rPr>
        <w:t>truly differ</w:t>
      </w:r>
      <w:r w:rsidRPr="00D54F61">
        <w:rPr>
          <w:rStyle w:val="apple-converted-space"/>
          <w:rFonts w:cs="Arial"/>
          <w:color w:val="000000"/>
          <w:szCs w:val="20"/>
        </w:rPr>
        <w:t> </w:t>
      </w:r>
      <w:r w:rsidRPr="00D54F61">
        <w:rPr>
          <w:rFonts w:cs="Arial"/>
          <w:color w:val="000000"/>
          <w:szCs w:val="20"/>
        </w:rPr>
        <w:t>once we stop shipping a single, frozen decoder and instead let each TE vendor</w:t>
      </w:r>
      <w:r w:rsidRPr="00D54F61">
        <w:rPr>
          <w:rStyle w:val="apple-converted-space"/>
          <w:rFonts w:cs="Arial"/>
          <w:color w:val="000000"/>
          <w:szCs w:val="20"/>
        </w:rPr>
        <w:t> </w:t>
      </w:r>
      <w:r w:rsidRPr="00D54F61">
        <w:rPr>
          <w:rStyle w:val="Strong"/>
          <w:rFonts w:cs="Arial"/>
          <w:color w:val="000000"/>
          <w:szCs w:val="20"/>
        </w:rPr>
        <w:t>train its own TE decoder</w:t>
      </w:r>
      <w:r w:rsidRPr="00D54F61">
        <w:rPr>
          <w:rFonts w:cs="Arial"/>
          <w:color w:val="000000"/>
          <w:szCs w:val="20"/>
        </w:rPr>
        <w:t xml:space="preserve"> with its own weights under a</w:t>
      </w:r>
      <w:r w:rsidRPr="00D54F61">
        <w:rPr>
          <w:rStyle w:val="apple-converted-space"/>
          <w:rFonts w:cs="Arial"/>
          <w:color w:val="000000"/>
          <w:szCs w:val="20"/>
        </w:rPr>
        <w:t> </w:t>
      </w:r>
      <w:r w:rsidRPr="00D54F61">
        <w:rPr>
          <w:rStyle w:val="Emphasis"/>
          <w:rFonts w:cs="Arial"/>
          <w:color w:val="000000"/>
          <w:szCs w:val="20"/>
        </w:rPr>
        <w:t>partially</w:t>
      </w:r>
      <w:r w:rsidRPr="00D54F61">
        <w:rPr>
          <w:rStyle w:val="apple-converted-space"/>
          <w:rFonts w:cs="Arial"/>
          <w:color w:val="000000"/>
          <w:szCs w:val="20"/>
        </w:rPr>
        <w:t> </w:t>
      </w:r>
      <w:r w:rsidRPr="00D54F61">
        <w:rPr>
          <w:rFonts w:cs="Arial"/>
          <w:color w:val="000000"/>
          <w:szCs w:val="20"/>
        </w:rPr>
        <w:t xml:space="preserve">fixed blueprint. “Partial structure” could mean that we lock the bottleneck width, maybe the block type (e.g., </w:t>
      </w:r>
      <w:proofErr w:type="spellStart"/>
      <w:r w:rsidRPr="00D54F61">
        <w:rPr>
          <w:rFonts w:cs="Arial"/>
          <w:color w:val="000000"/>
          <w:szCs w:val="20"/>
        </w:rPr>
        <w:t>ResBlocks</w:t>
      </w:r>
      <w:proofErr w:type="spellEnd"/>
      <w:r w:rsidRPr="00D54F61">
        <w:rPr>
          <w:rFonts w:cs="Arial"/>
          <w:color w:val="000000"/>
          <w:szCs w:val="20"/>
        </w:rPr>
        <w:t>), but leave depth, activations, or normalization choices open. Each TE vendor then optimizes and trains that decoder on the standard (or aligned) dataset, producing different weight sets. Those weight differences change the latent space the UE encoder must target, so an encoder tuned against TE</w:t>
      </w:r>
      <w:r w:rsidRPr="00D54F61">
        <w:rPr>
          <w:rFonts w:cs="Arial"/>
          <w:color w:val="000000"/>
          <w:szCs w:val="20"/>
        </w:rPr>
        <w:noBreakHyphen/>
        <w:t>A’s decoder may not hit TE</w:t>
      </w:r>
      <w:r w:rsidRPr="00D54F61">
        <w:rPr>
          <w:rFonts w:cs="Arial"/>
          <w:color w:val="000000"/>
          <w:szCs w:val="20"/>
        </w:rPr>
        <w:noBreakHyphen/>
        <w:t xml:space="preserve">B’s decoder perfectly. That’s the </w:t>
      </w:r>
      <w:r w:rsidR="0065471F">
        <w:rPr>
          <w:rFonts w:cs="Arial"/>
          <w:color w:val="000000"/>
          <w:szCs w:val="20"/>
        </w:rPr>
        <w:t>key</w:t>
      </w:r>
      <w:r w:rsidRPr="00D54F61">
        <w:rPr>
          <w:rFonts w:cs="Arial"/>
          <w:color w:val="000000"/>
          <w:szCs w:val="20"/>
        </w:rPr>
        <w:t xml:space="preserve"> divergence from Option 3, where everyone shares one identical decoder (same structure</w:t>
      </w:r>
      <w:r w:rsidRPr="00D54F61">
        <w:rPr>
          <w:rStyle w:val="apple-converted-space"/>
          <w:rFonts w:cs="Arial"/>
          <w:color w:val="000000"/>
          <w:szCs w:val="20"/>
        </w:rPr>
        <w:t> </w:t>
      </w:r>
      <w:r w:rsidRPr="00D54F61">
        <w:rPr>
          <w:rStyle w:val="Strong"/>
          <w:rFonts w:cs="Arial"/>
          <w:color w:val="000000"/>
          <w:szCs w:val="20"/>
        </w:rPr>
        <w:t>and</w:t>
      </w:r>
      <w:r w:rsidRPr="00D54F61">
        <w:rPr>
          <w:rStyle w:val="apple-converted-space"/>
          <w:rFonts w:cs="Arial"/>
          <w:color w:val="000000"/>
          <w:szCs w:val="20"/>
        </w:rPr>
        <w:t> </w:t>
      </w:r>
      <w:r w:rsidRPr="00D54F61">
        <w:rPr>
          <w:rFonts w:cs="Arial"/>
          <w:color w:val="000000"/>
          <w:szCs w:val="20"/>
        </w:rPr>
        <w:t>weights), so there is no latent</w:t>
      </w:r>
      <w:r w:rsidRPr="00D54F61">
        <w:rPr>
          <w:rFonts w:cs="Arial"/>
          <w:color w:val="000000"/>
          <w:szCs w:val="20"/>
        </w:rPr>
        <w:noBreakHyphen/>
        <w:t>space drift.</w:t>
      </w:r>
    </w:p>
    <w:p w14:paraId="3E18F134" w14:textId="3A8636BC" w:rsidR="0065471F" w:rsidRPr="0065471F" w:rsidRDefault="0065471F" w:rsidP="00D54F61">
      <w:pPr>
        <w:pStyle w:val="NormalWeb"/>
        <w:rPr>
          <w:rFonts w:ascii="Arial" w:hAnsi="Arial" w:cs="Arial"/>
          <w:color w:val="000000"/>
          <w:sz w:val="20"/>
          <w:szCs w:val="20"/>
        </w:rPr>
      </w:pPr>
      <w:r w:rsidRPr="0065471F">
        <w:rPr>
          <w:rFonts w:ascii="Arial" w:hAnsi="Arial" w:cs="Arial"/>
          <w:color w:val="000000"/>
          <w:sz w:val="20"/>
          <w:szCs w:val="20"/>
        </w:rPr>
        <w:t xml:space="preserve">The second point of divergence arises </w:t>
      </w:r>
      <w:r w:rsidRPr="0065471F">
        <w:rPr>
          <w:rFonts w:ascii="Arial" w:hAnsi="Arial" w:cs="Arial"/>
          <w:b/>
          <w:bCs/>
          <w:color w:val="000000"/>
          <w:sz w:val="20"/>
          <w:szCs w:val="20"/>
        </w:rPr>
        <w:t>when vendors are permitted to use their own training datasets</w:t>
      </w:r>
      <w:r w:rsidRPr="0065471F">
        <w:rPr>
          <w:rFonts w:ascii="Arial" w:hAnsi="Arial" w:cs="Arial"/>
          <w:color w:val="000000"/>
          <w:sz w:val="20"/>
          <w:szCs w:val="20"/>
        </w:rPr>
        <w:t xml:space="preserve"> but are only required to demonstrate “statistical alignment” with the reference dataset (e.g., by matching Power Spectral Entropy or another feature-based metric). Because any alignment metric must allow a tolerance</w:t>
      </w:r>
      <w:r>
        <w:rPr>
          <w:rFonts w:ascii="Arial" w:hAnsi="Arial" w:cs="Arial"/>
          <w:color w:val="000000"/>
          <w:sz w:val="20"/>
          <w:szCs w:val="20"/>
        </w:rPr>
        <w:t>,</w:t>
      </w:r>
      <w:r w:rsidRPr="0065471F">
        <w:rPr>
          <w:rFonts w:ascii="Arial" w:hAnsi="Arial" w:cs="Arial"/>
          <w:color w:val="000000"/>
          <w:sz w:val="20"/>
          <w:szCs w:val="20"/>
        </w:rPr>
        <w:t xml:space="preserve"> for example, a PSE difference ≤ 0.02 bits</w:t>
      </w:r>
      <w:r>
        <w:rPr>
          <w:rFonts w:ascii="Arial" w:hAnsi="Arial" w:cs="Arial"/>
          <w:color w:val="000000"/>
          <w:sz w:val="20"/>
          <w:szCs w:val="20"/>
        </w:rPr>
        <w:t xml:space="preserve">, </w:t>
      </w:r>
      <w:r w:rsidRPr="0065471F">
        <w:rPr>
          <w:rFonts w:ascii="Arial" w:hAnsi="Arial" w:cs="Arial"/>
          <w:color w:val="000000"/>
          <w:sz w:val="20"/>
          <w:szCs w:val="20"/>
        </w:rPr>
        <w:t>two datasets that pass the alignment check can still differ in subtle but important ways. These differences may include variations in channel correlation structures, the representation of rare edge cases, or preprocessing details, all of which the chosen metric might not fully capture.</w:t>
      </w:r>
    </w:p>
    <w:p w14:paraId="7CCB4E4E" w14:textId="2D10C63C" w:rsidR="0065471F" w:rsidRDefault="0065471F" w:rsidP="00D54F61">
      <w:pPr>
        <w:pStyle w:val="NormalWeb"/>
        <w:rPr>
          <w:rFonts w:ascii="Arial" w:hAnsi="Arial" w:cs="Arial"/>
          <w:color w:val="000000"/>
          <w:sz w:val="20"/>
          <w:szCs w:val="20"/>
        </w:rPr>
      </w:pPr>
      <w:r w:rsidRPr="00D54F61">
        <w:rPr>
          <w:rFonts w:ascii="Arial" w:hAnsi="Arial" w:cs="Arial"/>
          <w:color w:val="000000"/>
          <w:sz w:val="20"/>
          <w:szCs w:val="20"/>
        </w:rPr>
        <w:t xml:space="preserve">“Alignment” (e.g., via PSE) only matches </w:t>
      </w:r>
      <w:r>
        <w:rPr>
          <w:rFonts w:ascii="Arial" w:hAnsi="Arial" w:cs="Arial"/>
          <w:color w:val="000000"/>
          <w:sz w:val="20"/>
          <w:szCs w:val="20"/>
        </w:rPr>
        <w:t>some</w:t>
      </w:r>
      <w:r w:rsidRPr="00D54F61">
        <w:rPr>
          <w:rFonts w:ascii="Arial" w:hAnsi="Arial" w:cs="Arial"/>
          <w:color w:val="000000"/>
          <w:sz w:val="20"/>
          <w:szCs w:val="20"/>
        </w:rPr>
        <w:t xml:space="preserve"> statistics of the data; it can’t capture every correlation in the high</w:t>
      </w:r>
      <w:r w:rsidRPr="00D54F61">
        <w:rPr>
          <w:rFonts w:ascii="Arial" w:hAnsi="Arial" w:cs="Arial"/>
          <w:color w:val="000000"/>
          <w:sz w:val="20"/>
          <w:szCs w:val="20"/>
        </w:rPr>
        <w:noBreakHyphen/>
        <w:t>dimensional channel space. The leftover mismatch</w:t>
      </w:r>
      <w:r>
        <w:rPr>
          <w:rFonts w:ascii="Arial" w:hAnsi="Arial" w:cs="Arial"/>
          <w:color w:val="000000"/>
          <w:sz w:val="20"/>
          <w:szCs w:val="20"/>
        </w:rPr>
        <w:t>es</w:t>
      </w:r>
      <w:r w:rsidRPr="00D54F61">
        <w:rPr>
          <w:rFonts w:ascii="Arial" w:hAnsi="Arial" w:cs="Arial"/>
          <w:color w:val="000000"/>
          <w:sz w:val="20"/>
          <w:szCs w:val="20"/>
        </w:rPr>
        <w:t xml:space="preserve"> mean each TE vendor’s retrained decoder can learn a slightly different mapping than the one implied by the reference dataset. We can think of the “reference manifold” as the ideal surface of inputs/outputs the frozen decoder was trained on. If a vendor’s data sits a bit off that surface even while passing the metric its encoder/decoder pair will drift a little. The model still works on average, but in rare or extreme channel conditions it may reconstruct worse or behave differently than another vendor’s pair.</w:t>
      </w:r>
    </w:p>
    <w:p w14:paraId="5E2E24C7" w14:textId="330FB624" w:rsidR="00D54F61" w:rsidRPr="00D54F61" w:rsidRDefault="00D54F61" w:rsidP="00D54F61">
      <w:pPr>
        <w:pStyle w:val="NormalWeb"/>
        <w:rPr>
          <w:rFonts w:ascii="Arial" w:hAnsi="Arial" w:cs="Arial"/>
          <w:color w:val="000000"/>
          <w:sz w:val="20"/>
          <w:szCs w:val="20"/>
        </w:rPr>
      </w:pPr>
      <w:r w:rsidRPr="00D54F61">
        <w:rPr>
          <w:rFonts w:ascii="Arial" w:hAnsi="Arial" w:cs="Arial"/>
          <w:color w:val="000000"/>
          <w:sz w:val="20"/>
          <w:szCs w:val="20"/>
        </w:rPr>
        <w:t>Th</w:t>
      </w:r>
      <w:r w:rsidR="00CD2FB5">
        <w:rPr>
          <w:rFonts w:ascii="Arial" w:hAnsi="Arial" w:cs="Arial"/>
          <w:color w:val="000000"/>
          <w:sz w:val="20"/>
          <w:szCs w:val="20"/>
        </w:rPr>
        <w:t xml:space="preserve">ere is an </w:t>
      </w:r>
      <w:r w:rsidRPr="00D54F61">
        <w:rPr>
          <w:rFonts w:ascii="Arial" w:hAnsi="Arial" w:cs="Arial"/>
          <w:color w:val="000000"/>
          <w:sz w:val="20"/>
          <w:szCs w:val="20"/>
        </w:rPr>
        <w:t>in</w:t>
      </w:r>
      <w:r w:rsidR="00CD2FB5">
        <w:rPr>
          <w:rFonts w:ascii="Arial" w:hAnsi="Arial" w:cs="Arial"/>
          <w:color w:val="000000"/>
          <w:sz w:val="20"/>
          <w:szCs w:val="20"/>
        </w:rPr>
        <w:t>herent</w:t>
      </w:r>
      <w:r w:rsidRPr="00D54F61">
        <w:rPr>
          <w:rFonts w:ascii="Arial" w:hAnsi="Arial" w:cs="Arial"/>
          <w:color w:val="000000"/>
          <w:sz w:val="20"/>
          <w:szCs w:val="20"/>
        </w:rPr>
        <w:t xml:space="preserve"> flexibility of Option 4: we allow vendors to retrain and keep their own weights, so the models are</w:t>
      </w:r>
      <w:r w:rsidRPr="00D54F61">
        <w:rPr>
          <w:rStyle w:val="apple-converted-space"/>
          <w:rFonts w:ascii="Arial" w:hAnsi="Arial" w:cs="Arial"/>
          <w:color w:val="000000"/>
          <w:sz w:val="20"/>
          <w:szCs w:val="20"/>
        </w:rPr>
        <w:t> </w:t>
      </w:r>
      <w:r w:rsidRPr="00D54F61">
        <w:rPr>
          <w:rStyle w:val="Strong"/>
          <w:rFonts w:ascii="Arial" w:hAnsi="Arial" w:cs="Arial"/>
          <w:color w:val="000000"/>
          <w:sz w:val="20"/>
          <w:szCs w:val="20"/>
        </w:rPr>
        <w:t>not bit</w:t>
      </w:r>
      <w:r w:rsidRPr="00D54F61">
        <w:rPr>
          <w:rStyle w:val="Strong"/>
          <w:rFonts w:ascii="Arial" w:hAnsi="Arial" w:cs="Arial"/>
          <w:color w:val="000000"/>
          <w:sz w:val="20"/>
          <w:szCs w:val="20"/>
        </w:rPr>
        <w:noBreakHyphen/>
        <w:t>identical</w:t>
      </w:r>
      <w:r w:rsidRPr="00D54F61">
        <w:rPr>
          <w:rFonts w:ascii="Arial" w:hAnsi="Arial" w:cs="Arial"/>
          <w:color w:val="000000"/>
          <w:sz w:val="20"/>
          <w:szCs w:val="20"/>
        </w:rPr>
        <w:t xml:space="preserve">. To keep this controlled divergence from breaking interoperability, </w:t>
      </w:r>
      <w:r w:rsidR="00CD2FB5">
        <w:rPr>
          <w:rFonts w:ascii="Arial" w:hAnsi="Arial" w:cs="Arial"/>
          <w:color w:val="000000"/>
          <w:sz w:val="20"/>
          <w:szCs w:val="20"/>
        </w:rPr>
        <w:t>we</w:t>
      </w:r>
      <w:r w:rsidRPr="00D54F61">
        <w:rPr>
          <w:rFonts w:ascii="Arial" w:hAnsi="Arial" w:cs="Arial"/>
          <w:color w:val="000000"/>
          <w:sz w:val="20"/>
          <w:szCs w:val="20"/>
        </w:rPr>
        <w:t xml:space="preserve"> need</w:t>
      </w:r>
      <w:r w:rsidRPr="00D54F61">
        <w:rPr>
          <w:rStyle w:val="apple-converted-space"/>
          <w:rFonts w:ascii="Arial" w:hAnsi="Arial" w:cs="Arial"/>
          <w:color w:val="000000"/>
          <w:sz w:val="20"/>
          <w:szCs w:val="20"/>
        </w:rPr>
        <w:t> </w:t>
      </w:r>
      <w:r w:rsidRPr="00CD2FB5">
        <w:rPr>
          <w:rStyle w:val="Strong"/>
          <w:rFonts w:ascii="Arial" w:hAnsi="Arial" w:cs="Arial"/>
          <w:b w:val="0"/>
          <w:bCs w:val="0"/>
          <w:color w:val="000000"/>
          <w:sz w:val="20"/>
          <w:szCs w:val="20"/>
        </w:rPr>
        <w:t>extra guardrails</w:t>
      </w:r>
      <w:r w:rsidRPr="00D54F61">
        <w:rPr>
          <w:rFonts w:ascii="Arial" w:hAnsi="Arial" w:cs="Arial"/>
          <w:color w:val="000000"/>
          <w:sz w:val="20"/>
          <w:szCs w:val="20"/>
        </w:rPr>
        <w:t xml:space="preserve"> for example, cross</w:t>
      </w:r>
      <w:r w:rsidRPr="00D54F61">
        <w:rPr>
          <w:rFonts w:ascii="Arial" w:hAnsi="Arial" w:cs="Arial"/>
          <w:color w:val="000000"/>
          <w:sz w:val="20"/>
          <w:szCs w:val="20"/>
        </w:rPr>
        <w:noBreakHyphen/>
        <w:t>testing (Vendor A’s encoder against Vendor B</w:t>
      </w:r>
      <w:r w:rsidR="00CD2FB5">
        <w:rPr>
          <w:rFonts w:ascii="Arial" w:hAnsi="Arial" w:cs="Arial"/>
          <w:color w:val="000000"/>
          <w:sz w:val="20"/>
          <w:szCs w:val="20"/>
        </w:rPr>
        <w:t>/C</w:t>
      </w:r>
      <w:r w:rsidRPr="00D54F61">
        <w:rPr>
          <w:rFonts w:ascii="Arial" w:hAnsi="Arial" w:cs="Arial"/>
          <w:color w:val="000000"/>
          <w:sz w:val="20"/>
          <w:szCs w:val="20"/>
        </w:rPr>
        <w:t>’s TE decoder) and hard spread thresholds (e.g., SGCS/NMSE difference ≤ X%). These checks ensure that, even though everyone’s decoder is slightly different, the performance spread stays within an agreed, safe band. Option 3 avoids all of this by freezing a single decoder; Option 4 buys flexibility at the price of these additional safeguards.</w:t>
      </w:r>
    </w:p>
    <w:p w14:paraId="234A868A" w14:textId="200F8EDE" w:rsidR="00F9036C" w:rsidRPr="005E3971" w:rsidRDefault="00F9036C" w:rsidP="00F9036C">
      <w:pPr>
        <w:pStyle w:val="NormalWeb"/>
        <w:rPr>
          <w:rFonts w:ascii="Arial" w:hAnsi="Arial" w:cs="Arial"/>
          <w:color w:val="000000"/>
          <w:sz w:val="20"/>
          <w:szCs w:val="20"/>
        </w:rPr>
      </w:pPr>
      <w:r w:rsidRPr="005E3971">
        <w:rPr>
          <w:rFonts w:ascii="Arial" w:hAnsi="Arial" w:cs="Arial"/>
          <w:color w:val="000000"/>
          <w:sz w:val="20"/>
          <w:szCs w:val="20"/>
        </w:rPr>
        <w:t>Option 4’s core benefit is</w:t>
      </w:r>
      <w:r w:rsidRPr="005E3971">
        <w:rPr>
          <w:rStyle w:val="apple-converted-space"/>
          <w:rFonts w:ascii="Arial" w:hAnsi="Arial" w:cs="Arial"/>
          <w:color w:val="000000"/>
          <w:sz w:val="20"/>
          <w:szCs w:val="20"/>
        </w:rPr>
        <w:t> </w:t>
      </w:r>
      <w:r w:rsidRPr="005E3971">
        <w:rPr>
          <w:rStyle w:val="Strong"/>
          <w:rFonts w:ascii="Arial" w:hAnsi="Arial" w:cs="Arial"/>
          <w:b w:val="0"/>
          <w:bCs w:val="0"/>
          <w:color w:val="000000"/>
          <w:sz w:val="20"/>
          <w:szCs w:val="20"/>
        </w:rPr>
        <w:t xml:space="preserve">flexibility without abandoning </w:t>
      </w:r>
      <w:r w:rsidR="00CD2FB5">
        <w:rPr>
          <w:rStyle w:val="Strong"/>
          <w:rFonts w:ascii="Arial" w:hAnsi="Arial" w:cs="Arial"/>
          <w:b w:val="0"/>
          <w:bCs w:val="0"/>
          <w:color w:val="000000"/>
          <w:sz w:val="20"/>
          <w:szCs w:val="20"/>
        </w:rPr>
        <w:t>some</w:t>
      </w:r>
      <w:r w:rsidRPr="005E3971">
        <w:rPr>
          <w:rStyle w:val="Strong"/>
          <w:rFonts w:ascii="Arial" w:hAnsi="Arial" w:cs="Arial"/>
          <w:b w:val="0"/>
          <w:bCs w:val="0"/>
          <w:color w:val="000000"/>
          <w:sz w:val="20"/>
          <w:szCs w:val="20"/>
        </w:rPr>
        <w:t xml:space="preserve"> common </w:t>
      </w:r>
      <w:r w:rsidR="00CD2FB5">
        <w:rPr>
          <w:rStyle w:val="Strong"/>
          <w:rFonts w:ascii="Arial" w:hAnsi="Arial" w:cs="Arial"/>
          <w:b w:val="0"/>
          <w:bCs w:val="0"/>
          <w:color w:val="000000"/>
          <w:sz w:val="20"/>
          <w:szCs w:val="20"/>
        </w:rPr>
        <w:t>rules</w:t>
      </w:r>
      <w:r w:rsidRPr="005E3971">
        <w:rPr>
          <w:rFonts w:ascii="Arial" w:hAnsi="Arial" w:cs="Arial"/>
          <w:color w:val="000000"/>
          <w:sz w:val="20"/>
          <w:szCs w:val="20"/>
        </w:rPr>
        <w:t>. Instead of everyone being locked to a single frozen decoder (Option 3), each TE vendor can train its own test decoder</w:t>
      </w:r>
      <w:r w:rsidR="005E3971" w:rsidRPr="005E3971">
        <w:rPr>
          <w:rFonts w:ascii="Arial" w:hAnsi="Arial" w:cs="Arial"/>
          <w:color w:val="000000"/>
          <w:sz w:val="20"/>
          <w:szCs w:val="20"/>
        </w:rPr>
        <w:t xml:space="preserve"> </w:t>
      </w:r>
      <w:r w:rsidRPr="005E3971">
        <w:rPr>
          <w:rFonts w:ascii="Arial" w:hAnsi="Arial" w:cs="Arial"/>
          <w:color w:val="000000"/>
          <w:sz w:val="20"/>
          <w:szCs w:val="20"/>
        </w:rPr>
        <w:t>optimizing latency, memory footprint, or hardware acceleration</w:t>
      </w:r>
      <w:r w:rsidR="002A63F3" w:rsidRPr="005E3971">
        <w:rPr>
          <w:rFonts w:ascii="Arial" w:hAnsi="Arial" w:cs="Arial"/>
          <w:color w:val="000000"/>
          <w:sz w:val="20"/>
          <w:szCs w:val="20"/>
        </w:rPr>
        <w:t xml:space="preserve"> </w:t>
      </w:r>
      <w:r w:rsidRPr="005E3971">
        <w:rPr>
          <w:rFonts w:ascii="Arial" w:hAnsi="Arial" w:cs="Arial"/>
          <w:color w:val="000000"/>
          <w:sz w:val="20"/>
          <w:szCs w:val="20"/>
        </w:rPr>
        <w:t>while still following 3GPP</w:t>
      </w:r>
      <w:r w:rsidRPr="005E3971">
        <w:rPr>
          <w:rFonts w:ascii="Arial" w:hAnsi="Arial" w:cs="Arial"/>
          <w:color w:val="000000"/>
          <w:sz w:val="20"/>
          <w:szCs w:val="20"/>
        </w:rPr>
        <w:noBreakHyphen/>
        <w:t xml:space="preserve">defined anchors (a labelled dataset in 4a or a frozen reference encoder + dataset in 4b). </w:t>
      </w:r>
      <w:r w:rsidR="002A63F3" w:rsidRPr="005E3971">
        <w:rPr>
          <w:rFonts w:ascii="Arial" w:hAnsi="Arial" w:cs="Arial"/>
          <w:color w:val="000000"/>
          <w:sz w:val="20"/>
          <w:szCs w:val="20"/>
        </w:rPr>
        <w:t xml:space="preserve"> </w:t>
      </w:r>
    </w:p>
    <w:p w14:paraId="7D181AC5" w14:textId="2B7A4A45" w:rsidR="00F9036C" w:rsidRPr="005E3971" w:rsidRDefault="00F9036C" w:rsidP="00F9036C">
      <w:pPr>
        <w:pStyle w:val="NormalWeb"/>
        <w:rPr>
          <w:rFonts w:ascii="Arial" w:hAnsi="Arial" w:cs="Arial"/>
          <w:color w:val="000000"/>
          <w:sz w:val="20"/>
          <w:szCs w:val="20"/>
        </w:rPr>
      </w:pPr>
      <w:r w:rsidRPr="005E3971">
        <w:rPr>
          <w:rFonts w:ascii="Arial" w:hAnsi="Arial" w:cs="Arial"/>
          <w:color w:val="000000"/>
          <w:sz w:val="20"/>
          <w:szCs w:val="20"/>
        </w:rPr>
        <w:t>A second gain is</w:t>
      </w:r>
      <w:r w:rsidRPr="005E3971">
        <w:rPr>
          <w:rStyle w:val="apple-converted-space"/>
          <w:rFonts w:ascii="Arial" w:hAnsi="Arial" w:cs="Arial"/>
          <w:color w:val="000000"/>
          <w:sz w:val="20"/>
          <w:szCs w:val="20"/>
        </w:rPr>
        <w:t> </w:t>
      </w:r>
      <w:r w:rsidRPr="005E3971">
        <w:rPr>
          <w:rStyle w:val="Strong"/>
          <w:rFonts w:ascii="Arial" w:hAnsi="Arial" w:cs="Arial"/>
          <w:color w:val="000000"/>
          <w:sz w:val="20"/>
          <w:szCs w:val="20"/>
        </w:rPr>
        <w:t>future</w:t>
      </w:r>
      <w:r w:rsidRPr="005E3971">
        <w:rPr>
          <w:rStyle w:val="Strong"/>
          <w:rFonts w:ascii="Arial" w:hAnsi="Arial" w:cs="Arial"/>
          <w:color w:val="000000"/>
          <w:sz w:val="20"/>
          <w:szCs w:val="20"/>
        </w:rPr>
        <w:noBreakHyphen/>
        <w:t>proofing and maintainability</w:t>
      </w:r>
      <w:r w:rsidRPr="005E3971">
        <w:rPr>
          <w:rFonts w:ascii="Arial" w:hAnsi="Arial" w:cs="Arial"/>
          <w:color w:val="000000"/>
          <w:sz w:val="20"/>
          <w:szCs w:val="20"/>
        </w:rPr>
        <w:t>. Because the TE decoder is retrainable (within specified bounds), refreshing to new channel models, can be done by distributing new data or an updated reference encoder</w:t>
      </w:r>
      <w:r w:rsidR="002A63F3" w:rsidRPr="005E3971">
        <w:rPr>
          <w:rFonts w:ascii="Arial" w:hAnsi="Arial" w:cs="Arial"/>
          <w:color w:val="000000"/>
          <w:sz w:val="20"/>
          <w:szCs w:val="20"/>
        </w:rPr>
        <w:t xml:space="preserve"> </w:t>
      </w:r>
      <w:r w:rsidRPr="00CD2FB5">
        <w:rPr>
          <w:rFonts w:ascii="Arial" w:hAnsi="Arial" w:cs="Arial"/>
          <w:b/>
          <w:bCs/>
          <w:color w:val="000000"/>
          <w:sz w:val="20"/>
          <w:szCs w:val="20"/>
        </w:rPr>
        <w:t>no need to reopen the spec to publish a brand</w:t>
      </w:r>
      <w:r w:rsidRPr="00CD2FB5">
        <w:rPr>
          <w:rFonts w:ascii="Arial" w:hAnsi="Arial" w:cs="Arial"/>
          <w:b/>
          <w:bCs/>
          <w:color w:val="000000"/>
          <w:sz w:val="20"/>
          <w:szCs w:val="20"/>
        </w:rPr>
        <w:noBreakHyphen/>
        <w:t>new frozen decoder</w:t>
      </w:r>
      <w:r w:rsidR="002A63F3" w:rsidRPr="00CD2FB5">
        <w:rPr>
          <w:rFonts w:ascii="Arial" w:hAnsi="Arial" w:cs="Arial"/>
          <w:b/>
          <w:bCs/>
          <w:color w:val="000000"/>
          <w:sz w:val="20"/>
          <w:szCs w:val="20"/>
        </w:rPr>
        <w:t xml:space="preserve"> binary</w:t>
      </w:r>
      <w:r w:rsidRPr="005E3971">
        <w:rPr>
          <w:rFonts w:ascii="Arial" w:hAnsi="Arial" w:cs="Arial"/>
          <w:color w:val="000000"/>
          <w:sz w:val="20"/>
          <w:szCs w:val="20"/>
        </w:rPr>
        <w:t>. This keeps the standard agile</w:t>
      </w:r>
      <w:r w:rsidR="0065471F">
        <w:rPr>
          <w:rFonts w:ascii="Arial" w:hAnsi="Arial" w:cs="Arial"/>
          <w:color w:val="000000"/>
          <w:sz w:val="20"/>
          <w:szCs w:val="20"/>
        </w:rPr>
        <w:t>.</w:t>
      </w:r>
      <w:r w:rsidR="002A63F3" w:rsidRPr="005E3971">
        <w:rPr>
          <w:rFonts w:ascii="Arial" w:hAnsi="Arial" w:cs="Arial"/>
          <w:color w:val="000000"/>
          <w:sz w:val="20"/>
          <w:szCs w:val="20"/>
        </w:rPr>
        <w:t xml:space="preserve"> </w:t>
      </w:r>
      <w:r w:rsidR="0065471F">
        <w:rPr>
          <w:rFonts w:ascii="Arial" w:hAnsi="Arial" w:cs="Arial"/>
          <w:color w:val="000000"/>
          <w:sz w:val="20"/>
          <w:szCs w:val="20"/>
        </w:rPr>
        <w:t xml:space="preserve">In that way </w:t>
      </w:r>
      <w:r w:rsidR="002A63F3" w:rsidRPr="005E3971">
        <w:rPr>
          <w:rFonts w:ascii="Arial" w:hAnsi="Arial" w:cs="Arial"/>
          <w:color w:val="000000"/>
          <w:sz w:val="20"/>
          <w:szCs w:val="20"/>
        </w:rPr>
        <w:t>we</w:t>
      </w:r>
      <w:r w:rsidRPr="005E3971">
        <w:rPr>
          <w:rFonts w:ascii="Arial" w:hAnsi="Arial" w:cs="Arial"/>
          <w:color w:val="000000"/>
          <w:sz w:val="20"/>
          <w:szCs w:val="20"/>
        </w:rPr>
        <w:t xml:space="preserve"> can evolve statistics (via a new dataset or alignment metric) rather than hard-coded weights.</w:t>
      </w:r>
    </w:p>
    <w:p w14:paraId="20C7F214" w14:textId="71B1D621" w:rsidR="00F9036C" w:rsidRDefault="00F9036C" w:rsidP="00F9036C">
      <w:pPr>
        <w:pStyle w:val="NormalWeb"/>
        <w:rPr>
          <w:rFonts w:ascii="Arial" w:hAnsi="Arial" w:cs="Arial"/>
          <w:color w:val="000000"/>
          <w:sz w:val="20"/>
          <w:szCs w:val="20"/>
        </w:rPr>
      </w:pPr>
      <w:r w:rsidRPr="005E3971">
        <w:rPr>
          <w:rFonts w:ascii="Arial" w:hAnsi="Arial" w:cs="Arial"/>
          <w:color w:val="000000"/>
          <w:sz w:val="20"/>
          <w:szCs w:val="20"/>
        </w:rPr>
        <w:t>Third, Option 4 empowers</w:t>
      </w:r>
      <w:r w:rsidRPr="005E3971">
        <w:rPr>
          <w:rStyle w:val="apple-converted-space"/>
          <w:rFonts w:ascii="Arial" w:hAnsi="Arial" w:cs="Arial"/>
          <w:color w:val="000000"/>
          <w:sz w:val="20"/>
          <w:szCs w:val="20"/>
        </w:rPr>
        <w:t> </w:t>
      </w:r>
      <w:r w:rsidRPr="0065471F">
        <w:rPr>
          <w:rStyle w:val="Strong"/>
          <w:rFonts w:ascii="Arial" w:hAnsi="Arial" w:cs="Arial"/>
          <w:b w:val="0"/>
          <w:bCs w:val="0"/>
          <w:color w:val="000000"/>
          <w:sz w:val="20"/>
          <w:szCs w:val="20"/>
        </w:rPr>
        <w:t>vendor</w:t>
      </w:r>
      <w:r w:rsidRPr="0065471F">
        <w:rPr>
          <w:rStyle w:val="Strong"/>
          <w:rFonts w:ascii="Arial" w:hAnsi="Arial" w:cs="Arial"/>
          <w:b w:val="0"/>
          <w:bCs w:val="0"/>
          <w:color w:val="000000"/>
          <w:sz w:val="20"/>
          <w:szCs w:val="20"/>
        </w:rPr>
        <w:noBreakHyphen/>
        <w:t xml:space="preserve">side </w:t>
      </w:r>
      <w:r w:rsidR="002A63F3" w:rsidRPr="0065471F">
        <w:rPr>
          <w:rStyle w:val="Strong"/>
          <w:rFonts w:ascii="Arial" w:hAnsi="Arial" w:cs="Arial"/>
          <w:b w:val="0"/>
          <w:bCs w:val="0"/>
          <w:color w:val="000000"/>
          <w:sz w:val="20"/>
          <w:szCs w:val="20"/>
        </w:rPr>
        <w:t>optimization</w:t>
      </w:r>
      <w:r w:rsidRPr="0065471F">
        <w:rPr>
          <w:rStyle w:val="Strong"/>
          <w:rFonts w:ascii="Arial" w:hAnsi="Arial" w:cs="Arial"/>
          <w:b w:val="0"/>
          <w:bCs w:val="0"/>
          <w:color w:val="000000"/>
          <w:sz w:val="20"/>
          <w:szCs w:val="20"/>
        </w:rPr>
        <w:t xml:space="preserve"> and IP protection</w:t>
      </w:r>
      <w:r w:rsidRPr="005E3971">
        <w:rPr>
          <w:rFonts w:ascii="Arial" w:hAnsi="Arial" w:cs="Arial"/>
          <w:color w:val="000000"/>
          <w:sz w:val="20"/>
          <w:szCs w:val="20"/>
        </w:rPr>
        <w:t>. UE vendors can use an “own” decoder during encoder training to better match their proprietary front</w:t>
      </w:r>
      <w:r w:rsidRPr="005E3971">
        <w:rPr>
          <w:rFonts w:ascii="Arial" w:hAnsi="Arial" w:cs="Arial"/>
          <w:color w:val="000000"/>
          <w:sz w:val="20"/>
          <w:szCs w:val="20"/>
        </w:rPr>
        <w:noBreakHyphen/>
        <w:t>end processing</w:t>
      </w:r>
      <w:r w:rsidR="005E3971" w:rsidRPr="005E3971">
        <w:rPr>
          <w:rFonts w:ascii="Arial" w:hAnsi="Arial" w:cs="Arial"/>
          <w:color w:val="000000"/>
          <w:sz w:val="20"/>
          <w:szCs w:val="20"/>
        </w:rPr>
        <w:t xml:space="preserve">. </w:t>
      </w:r>
      <w:r w:rsidRPr="005E3971">
        <w:rPr>
          <w:rFonts w:ascii="Arial" w:hAnsi="Arial" w:cs="Arial"/>
          <w:color w:val="000000"/>
          <w:sz w:val="20"/>
          <w:szCs w:val="20"/>
        </w:rPr>
        <w:t>They don’t have to expose private dataset</w:t>
      </w:r>
      <w:r w:rsidR="005E3971" w:rsidRPr="005E3971">
        <w:rPr>
          <w:rFonts w:ascii="Arial" w:hAnsi="Arial" w:cs="Arial"/>
          <w:color w:val="000000"/>
          <w:sz w:val="20"/>
          <w:szCs w:val="20"/>
        </w:rPr>
        <w:t xml:space="preserve">s </w:t>
      </w:r>
      <w:r w:rsidRPr="005E3971">
        <w:rPr>
          <w:rFonts w:ascii="Arial" w:hAnsi="Arial" w:cs="Arial"/>
          <w:color w:val="000000"/>
          <w:sz w:val="20"/>
          <w:szCs w:val="20"/>
        </w:rPr>
        <w:t>only prove (via alignment metrics like PSE) that those datasets reflect the same feature space the standard expects.</w:t>
      </w:r>
    </w:p>
    <w:p w14:paraId="54C140FB" w14:textId="77777777" w:rsidR="00CD2FB5" w:rsidRPr="005E3971" w:rsidRDefault="00CD2FB5" w:rsidP="00CD2FB5">
      <w:pPr>
        <w:pStyle w:val="NormalWeb"/>
        <w:rPr>
          <w:rFonts w:ascii="Arial" w:hAnsi="Arial" w:cs="Arial"/>
          <w:color w:val="000000"/>
          <w:sz w:val="20"/>
          <w:szCs w:val="20"/>
        </w:rPr>
      </w:pPr>
    </w:p>
    <w:p w14:paraId="14E6BDC5" w14:textId="53808A51" w:rsidR="00CD2FB5" w:rsidRPr="005D599F" w:rsidRDefault="00CD2FB5" w:rsidP="00CD2FB5">
      <w:pPr>
        <w:pStyle w:val="Observation"/>
        <w:jc w:val="left"/>
        <w:rPr>
          <w:rFonts w:cs="Arial"/>
          <w:highlight w:val="yellow"/>
          <w:lang w:val="en-GB"/>
        </w:rPr>
      </w:pPr>
      <w:r w:rsidRPr="0065471F">
        <w:rPr>
          <w:rFonts w:cs="Arial"/>
          <w:color w:val="000000"/>
          <w:szCs w:val="20"/>
        </w:rPr>
        <w:t>Option 4’s</w:t>
      </w:r>
      <w:r w:rsidRPr="005E3971">
        <w:rPr>
          <w:rFonts w:cs="Arial"/>
          <w:color w:val="000000"/>
          <w:szCs w:val="20"/>
        </w:rPr>
        <w:t xml:space="preserve"> core benefit is</w:t>
      </w:r>
      <w:r w:rsidRPr="005E3971">
        <w:rPr>
          <w:rStyle w:val="apple-converted-space"/>
          <w:rFonts w:cs="Arial"/>
          <w:color w:val="000000"/>
          <w:szCs w:val="20"/>
        </w:rPr>
        <w:t> </w:t>
      </w:r>
      <w:r w:rsidRPr="0065471F">
        <w:rPr>
          <w:rStyle w:val="Strong"/>
          <w:rFonts w:cs="Arial"/>
          <w:b/>
          <w:bCs/>
          <w:color w:val="000000"/>
          <w:szCs w:val="20"/>
        </w:rPr>
        <w:t>flexibility without abandoning common</w:t>
      </w:r>
      <w:r w:rsidR="00F27919">
        <w:rPr>
          <w:rStyle w:val="Strong"/>
          <w:rFonts w:cs="Arial"/>
          <w:b/>
          <w:bCs/>
          <w:color w:val="000000"/>
          <w:szCs w:val="20"/>
        </w:rPr>
        <w:t xml:space="preserve"> design rules</w:t>
      </w:r>
      <w:r w:rsidRPr="005E3971">
        <w:rPr>
          <w:rFonts w:cs="Arial"/>
          <w:color w:val="000000"/>
          <w:szCs w:val="20"/>
        </w:rPr>
        <w:t>. Instead of</w:t>
      </w:r>
      <w:r w:rsidR="00F27919">
        <w:rPr>
          <w:rFonts w:cs="Arial"/>
          <w:color w:val="000000"/>
          <w:szCs w:val="20"/>
        </w:rPr>
        <w:t xml:space="preserve"> specifying</w:t>
      </w:r>
      <w:r w:rsidRPr="005E3971">
        <w:rPr>
          <w:rFonts w:cs="Arial"/>
          <w:color w:val="000000"/>
          <w:szCs w:val="20"/>
        </w:rPr>
        <w:t xml:space="preserve"> a single frozen decoder (Option 3), each TE vendor can </w:t>
      </w:r>
      <w:r w:rsidRPr="0065471F">
        <w:rPr>
          <w:rFonts w:cs="Arial"/>
          <w:color w:val="000000"/>
          <w:szCs w:val="20"/>
        </w:rPr>
        <w:t xml:space="preserve">train </w:t>
      </w:r>
      <w:r w:rsidRPr="0065471F">
        <w:rPr>
          <w:rFonts w:cs="Arial"/>
          <w:color w:val="000000"/>
          <w:szCs w:val="20"/>
        </w:rPr>
        <w:lastRenderedPageBreak/>
        <w:t>its own test decoder optimizing latency/memory footprint while still following</w:t>
      </w:r>
      <w:r w:rsidRPr="005E3971">
        <w:rPr>
          <w:rFonts w:cs="Arial"/>
          <w:color w:val="000000"/>
          <w:szCs w:val="20"/>
        </w:rPr>
        <w:t xml:space="preserve"> </w:t>
      </w:r>
      <w:r w:rsidRPr="0065471F">
        <w:rPr>
          <w:rFonts w:cs="Arial"/>
          <w:color w:val="000000"/>
          <w:szCs w:val="20"/>
        </w:rPr>
        <w:t>3GPP</w:t>
      </w:r>
      <w:r w:rsidRPr="0065471F">
        <w:rPr>
          <w:rFonts w:cs="Arial"/>
          <w:color w:val="000000"/>
          <w:szCs w:val="20"/>
        </w:rPr>
        <w:noBreakHyphen/>
        <w:t>defined anchors. A second gain is</w:t>
      </w:r>
      <w:r w:rsidRPr="0065471F">
        <w:rPr>
          <w:rStyle w:val="apple-converted-space"/>
          <w:rFonts w:cs="Arial"/>
          <w:color w:val="000000"/>
          <w:szCs w:val="20"/>
        </w:rPr>
        <w:t> </w:t>
      </w:r>
      <w:r w:rsidRPr="0065471F">
        <w:rPr>
          <w:rStyle w:val="Strong"/>
          <w:rFonts w:cs="Arial"/>
          <w:b/>
          <w:bCs/>
          <w:color w:val="000000"/>
          <w:szCs w:val="20"/>
        </w:rPr>
        <w:t>future</w:t>
      </w:r>
      <w:r w:rsidRPr="0065471F">
        <w:rPr>
          <w:rStyle w:val="Strong"/>
          <w:rFonts w:cs="Arial"/>
          <w:b/>
          <w:bCs/>
          <w:color w:val="000000"/>
          <w:szCs w:val="20"/>
        </w:rPr>
        <w:noBreakHyphen/>
        <w:t>proofing and maintainability</w:t>
      </w:r>
      <w:r w:rsidRPr="0065471F">
        <w:rPr>
          <w:rFonts w:cs="Arial"/>
          <w:color w:val="000000"/>
          <w:szCs w:val="20"/>
        </w:rPr>
        <w:t>.</w:t>
      </w:r>
      <w:r w:rsidRPr="005E3971">
        <w:rPr>
          <w:rFonts w:cs="Arial"/>
          <w:color w:val="000000"/>
          <w:szCs w:val="20"/>
        </w:rPr>
        <w:t xml:space="preserve"> </w:t>
      </w:r>
      <w:r w:rsidRPr="0065471F">
        <w:rPr>
          <w:rFonts w:cs="Arial"/>
          <w:color w:val="000000"/>
          <w:szCs w:val="20"/>
        </w:rPr>
        <w:t>Because the TE decoder is retrainable, refreshing to new channel models, can be</w:t>
      </w:r>
      <w:r w:rsidRPr="005E3971">
        <w:rPr>
          <w:rFonts w:cs="Arial"/>
          <w:color w:val="000000"/>
          <w:szCs w:val="20"/>
        </w:rPr>
        <w:t xml:space="preserve"> done by distributing new data or an updated reference encoder </w:t>
      </w:r>
      <w:r w:rsidRPr="0065471F">
        <w:rPr>
          <w:rFonts w:cs="Arial"/>
          <w:color w:val="000000"/>
          <w:szCs w:val="20"/>
        </w:rPr>
        <w:t>no need to reopen the spec to publish a brand</w:t>
      </w:r>
      <w:r w:rsidRPr="0065471F">
        <w:rPr>
          <w:rFonts w:cs="Arial"/>
          <w:color w:val="000000"/>
          <w:szCs w:val="20"/>
        </w:rPr>
        <w:noBreakHyphen/>
        <w:t>new frozen decoder binary</w:t>
      </w:r>
      <w:r>
        <w:rPr>
          <w:rFonts w:cs="Arial"/>
          <w:b w:val="0"/>
          <w:bCs w:val="0"/>
          <w:color w:val="000000"/>
          <w:szCs w:val="20"/>
        </w:rPr>
        <w:t xml:space="preserve">. </w:t>
      </w:r>
      <w:r w:rsidRPr="005E3971">
        <w:rPr>
          <w:rFonts w:cs="Arial"/>
          <w:color w:val="000000"/>
          <w:szCs w:val="20"/>
        </w:rPr>
        <w:t>Third, Option 4 empowers</w:t>
      </w:r>
      <w:r w:rsidRPr="005E3971">
        <w:rPr>
          <w:rStyle w:val="apple-converted-space"/>
          <w:rFonts w:cs="Arial"/>
          <w:color w:val="000000"/>
          <w:szCs w:val="20"/>
        </w:rPr>
        <w:t> </w:t>
      </w:r>
      <w:r w:rsidRPr="0065471F">
        <w:rPr>
          <w:rStyle w:val="Strong"/>
          <w:rFonts w:cs="Arial"/>
          <w:b/>
          <w:bCs/>
          <w:color w:val="000000"/>
          <w:szCs w:val="20"/>
        </w:rPr>
        <w:t>vendor</w:t>
      </w:r>
      <w:r w:rsidRPr="0065471F">
        <w:rPr>
          <w:rStyle w:val="Strong"/>
          <w:rFonts w:cs="Arial"/>
          <w:b/>
          <w:bCs/>
          <w:color w:val="000000"/>
          <w:szCs w:val="20"/>
        </w:rPr>
        <w:noBreakHyphen/>
        <w:t>side optimization and IP protection</w:t>
      </w:r>
      <w:r w:rsidRPr="005E3971">
        <w:rPr>
          <w:rFonts w:cs="Arial"/>
          <w:color w:val="000000"/>
          <w:szCs w:val="20"/>
        </w:rPr>
        <w:t>. UE vendors can use an “own” decoder during encoder training to better match their proprietary front</w:t>
      </w:r>
      <w:r w:rsidRPr="005E3971">
        <w:rPr>
          <w:rFonts w:cs="Arial"/>
          <w:color w:val="000000"/>
          <w:szCs w:val="20"/>
        </w:rPr>
        <w:noBreakHyphen/>
        <w:t>end processing.</w:t>
      </w:r>
    </w:p>
    <w:p w14:paraId="466ACE1F" w14:textId="77777777" w:rsidR="00CD2FB5" w:rsidRPr="005E3971" w:rsidRDefault="00CD2FB5" w:rsidP="00F9036C">
      <w:pPr>
        <w:pStyle w:val="NormalWeb"/>
        <w:rPr>
          <w:rFonts w:ascii="Arial" w:hAnsi="Arial" w:cs="Arial"/>
          <w:color w:val="000000"/>
          <w:sz w:val="20"/>
          <w:szCs w:val="20"/>
        </w:rPr>
      </w:pPr>
    </w:p>
    <w:p w14:paraId="46605E0A" w14:textId="7A1DD469" w:rsidR="005E3971" w:rsidRPr="005D599F" w:rsidRDefault="005E3971" w:rsidP="005E3971">
      <w:pPr>
        <w:pStyle w:val="Observation"/>
        <w:jc w:val="left"/>
        <w:rPr>
          <w:rFonts w:cs="Arial"/>
          <w:highlight w:val="yellow"/>
          <w:lang w:val="en-GB"/>
        </w:rPr>
      </w:pPr>
      <w:r w:rsidRPr="005D599F">
        <w:rPr>
          <w:rFonts w:cs="Arial"/>
          <w:color w:val="000000"/>
          <w:szCs w:val="20"/>
        </w:rPr>
        <w:t>Option 4b gives a</w:t>
      </w:r>
      <w:r w:rsidRPr="005D599F">
        <w:rPr>
          <w:rStyle w:val="apple-converted-space"/>
          <w:rFonts w:cs="Arial"/>
          <w:color w:val="000000"/>
          <w:szCs w:val="20"/>
        </w:rPr>
        <w:t> </w:t>
      </w:r>
      <w:r w:rsidRPr="005D599F">
        <w:rPr>
          <w:rStyle w:val="Strong"/>
          <w:rFonts w:cs="Arial"/>
          <w:b/>
          <w:bCs/>
          <w:color w:val="000000"/>
          <w:szCs w:val="20"/>
        </w:rPr>
        <w:t>fixed latent space</w:t>
      </w:r>
      <w:r w:rsidRPr="005D599F">
        <w:rPr>
          <w:rStyle w:val="apple-converted-space"/>
          <w:rFonts w:cs="Arial"/>
          <w:color w:val="000000"/>
          <w:szCs w:val="20"/>
        </w:rPr>
        <w:t> </w:t>
      </w:r>
      <w:r w:rsidRPr="005D599F">
        <w:rPr>
          <w:rFonts w:cs="Arial"/>
          <w:color w:val="000000"/>
          <w:szCs w:val="20"/>
        </w:rPr>
        <w:t>(via the frozen reference encoder), while 4a only gives a</w:t>
      </w:r>
      <w:r w:rsidRPr="005D599F">
        <w:rPr>
          <w:rStyle w:val="apple-converted-space"/>
          <w:rFonts w:cs="Arial"/>
          <w:color w:val="000000"/>
          <w:szCs w:val="20"/>
        </w:rPr>
        <w:t> </w:t>
      </w:r>
      <w:r w:rsidR="0065471F">
        <w:rPr>
          <w:rStyle w:val="Strong"/>
          <w:rFonts w:cs="Arial"/>
          <w:b/>
          <w:bCs/>
          <w:color w:val="000000"/>
          <w:szCs w:val="20"/>
        </w:rPr>
        <w:t>set</w:t>
      </w:r>
      <w:r w:rsidRPr="005D599F">
        <w:rPr>
          <w:rStyle w:val="Strong"/>
          <w:rFonts w:cs="Arial"/>
          <w:b/>
          <w:bCs/>
          <w:color w:val="000000"/>
          <w:szCs w:val="20"/>
        </w:rPr>
        <w:t xml:space="preserve"> of labels</w:t>
      </w:r>
      <w:r w:rsidRPr="005D599F">
        <w:rPr>
          <w:rStyle w:val="apple-converted-space"/>
          <w:rFonts w:cs="Arial"/>
          <w:color w:val="000000"/>
          <w:szCs w:val="20"/>
        </w:rPr>
        <w:t> </w:t>
      </w:r>
      <w:r w:rsidRPr="005D599F">
        <w:rPr>
          <w:rFonts w:cs="Arial"/>
          <w:color w:val="000000"/>
          <w:szCs w:val="20"/>
        </w:rPr>
        <w:t>that depends on how those labels were produced. With 4b, every TE vendor trains its decoder to invert the</w:t>
      </w:r>
      <w:r w:rsidRPr="005D599F">
        <w:rPr>
          <w:rStyle w:val="apple-converted-space"/>
          <w:rFonts w:cs="Arial"/>
          <w:color w:val="000000"/>
          <w:szCs w:val="20"/>
        </w:rPr>
        <w:t> </w:t>
      </w:r>
      <w:r w:rsidRPr="005D599F">
        <w:rPr>
          <w:rStyle w:val="Emphasis"/>
          <w:rFonts w:cs="Arial"/>
          <w:color w:val="000000"/>
          <w:szCs w:val="20"/>
        </w:rPr>
        <w:t>same</w:t>
      </w:r>
      <w:r w:rsidRPr="005D599F">
        <w:rPr>
          <w:rStyle w:val="apple-converted-space"/>
          <w:rFonts w:cs="Arial"/>
          <w:color w:val="000000"/>
          <w:szCs w:val="20"/>
        </w:rPr>
        <w:t> </w:t>
      </w:r>
      <w:r w:rsidRPr="005D599F">
        <w:rPr>
          <w:rFonts w:cs="Arial"/>
          <w:color w:val="000000"/>
          <w:szCs w:val="20"/>
        </w:rPr>
        <w:t>encoder output distribution, so partial-structure freedom doesn’t break interoperability. In 4a, unless the labelled dataset was generated by that exact encoder</w:t>
      </w:r>
      <w:r w:rsidR="00904D72">
        <w:rPr>
          <w:rFonts w:cs="Arial"/>
          <w:color w:val="000000"/>
          <w:szCs w:val="20"/>
        </w:rPr>
        <w:t>,</w:t>
      </w:r>
      <w:r w:rsidRPr="005D599F">
        <w:rPr>
          <w:rFonts w:cs="Arial"/>
          <w:color w:val="000000"/>
          <w:szCs w:val="20"/>
        </w:rPr>
        <w:t xml:space="preserve"> different “label sources” or updates can shift the latent space and re</w:t>
      </w:r>
      <w:r w:rsidRPr="005D599F">
        <w:rPr>
          <w:rFonts w:cs="Arial"/>
          <w:color w:val="000000"/>
          <w:szCs w:val="20"/>
        </w:rPr>
        <w:noBreakHyphen/>
        <w:t xml:space="preserve">open the mismatch </w:t>
      </w:r>
      <w:r w:rsidR="005D599F" w:rsidRPr="005D599F">
        <w:rPr>
          <w:rFonts w:cs="Arial"/>
          <w:color w:val="000000"/>
          <w:szCs w:val="20"/>
        </w:rPr>
        <w:t>problem. If those labels weren’t produced by</w:t>
      </w:r>
      <w:r w:rsidR="005D599F" w:rsidRPr="005D599F">
        <w:rPr>
          <w:rStyle w:val="apple-converted-space"/>
          <w:rFonts w:cs="Arial"/>
          <w:color w:val="000000"/>
          <w:szCs w:val="20"/>
        </w:rPr>
        <w:t> </w:t>
      </w:r>
      <w:r w:rsidR="005D599F" w:rsidRPr="005D599F">
        <w:rPr>
          <w:rStyle w:val="Strong"/>
          <w:rFonts w:cs="Arial"/>
          <w:b/>
          <w:bCs/>
          <w:color w:val="000000"/>
          <w:szCs w:val="20"/>
        </w:rPr>
        <w:t>the</w:t>
      </w:r>
      <w:r w:rsidR="005D599F" w:rsidRPr="005D599F">
        <w:rPr>
          <w:rStyle w:val="apple-converted-space"/>
          <w:rFonts w:cs="Arial"/>
          <w:color w:val="000000"/>
          <w:szCs w:val="20"/>
        </w:rPr>
        <w:t> </w:t>
      </w:r>
      <w:r w:rsidR="005D599F" w:rsidRPr="005D599F">
        <w:rPr>
          <w:rFonts w:cs="Arial"/>
          <w:color w:val="000000"/>
          <w:szCs w:val="20"/>
        </w:rPr>
        <w:t>frozen reference encoder, then every TE vendor will train its decoder toward a</w:t>
      </w:r>
      <w:r w:rsidR="005D599F" w:rsidRPr="005D599F">
        <w:rPr>
          <w:rStyle w:val="apple-converted-space"/>
          <w:rFonts w:cs="Arial"/>
          <w:color w:val="000000"/>
          <w:szCs w:val="20"/>
        </w:rPr>
        <w:t> </w:t>
      </w:r>
      <w:r w:rsidR="005D599F" w:rsidRPr="005D599F">
        <w:rPr>
          <w:rStyle w:val="Emphasis"/>
          <w:rFonts w:cs="Arial"/>
          <w:color w:val="000000"/>
          <w:szCs w:val="20"/>
        </w:rPr>
        <w:t>different</w:t>
      </w:r>
      <w:r w:rsidR="005D599F" w:rsidRPr="005D599F">
        <w:rPr>
          <w:rStyle w:val="apple-converted-space"/>
          <w:rFonts w:cs="Arial"/>
          <w:color w:val="000000"/>
          <w:szCs w:val="20"/>
        </w:rPr>
        <w:t> </w:t>
      </w:r>
      <w:r w:rsidR="005D599F" w:rsidRPr="005D599F">
        <w:rPr>
          <w:rFonts w:cs="Arial"/>
          <w:color w:val="000000"/>
          <w:szCs w:val="20"/>
        </w:rPr>
        <w:t>latent space.</w:t>
      </w:r>
    </w:p>
    <w:p w14:paraId="388632D5" w14:textId="7A2F2B0A" w:rsidR="005D599F" w:rsidRPr="005D599F" w:rsidRDefault="005D599F" w:rsidP="005E3971">
      <w:pPr>
        <w:pStyle w:val="Observation"/>
        <w:jc w:val="left"/>
        <w:rPr>
          <w:rFonts w:cs="Arial"/>
          <w:szCs w:val="20"/>
          <w:highlight w:val="yellow"/>
          <w:lang w:val="en-GB"/>
        </w:rPr>
      </w:pPr>
      <w:r>
        <w:rPr>
          <w:color w:val="000000"/>
        </w:rPr>
        <w:t xml:space="preserve">Option </w:t>
      </w:r>
      <w:r w:rsidRPr="005D599F">
        <w:rPr>
          <w:rStyle w:val="Strong"/>
          <w:rFonts w:cs="Arial"/>
          <w:b/>
          <w:bCs/>
          <w:color w:val="000000"/>
          <w:szCs w:val="20"/>
        </w:rPr>
        <w:t xml:space="preserve">4a collapses to </w:t>
      </w:r>
      <w:r>
        <w:rPr>
          <w:rStyle w:val="Strong"/>
          <w:rFonts w:cs="Arial"/>
          <w:b/>
          <w:bCs/>
          <w:color w:val="000000"/>
          <w:szCs w:val="20"/>
        </w:rPr>
        <w:t xml:space="preserve">Option </w:t>
      </w:r>
      <w:r w:rsidRPr="005D599F">
        <w:rPr>
          <w:rStyle w:val="Strong"/>
          <w:rFonts w:cs="Arial"/>
          <w:b/>
          <w:bCs/>
          <w:color w:val="000000"/>
          <w:szCs w:val="20"/>
        </w:rPr>
        <w:t xml:space="preserve">4b when the dataset is nothing more than the </w:t>
      </w:r>
      <w:r w:rsidR="00807E04">
        <w:rPr>
          <w:rStyle w:val="Strong"/>
          <w:rFonts w:cs="Arial"/>
          <w:b/>
          <w:bCs/>
          <w:color w:val="000000"/>
          <w:szCs w:val="20"/>
        </w:rPr>
        <w:t>reference</w:t>
      </w:r>
      <w:r w:rsidRPr="005D599F">
        <w:rPr>
          <w:rStyle w:val="Strong"/>
          <w:rFonts w:cs="Arial"/>
          <w:b/>
          <w:bCs/>
          <w:color w:val="000000"/>
          <w:szCs w:val="20"/>
        </w:rPr>
        <w:t xml:space="preserve"> encoder’s outputs.</w:t>
      </w:r>
      <w:r>
        <w:rPr>
          <w:rStyle w:val="Strong"/>
          <w:rFonts w:cs="Arial"/>
          <w:b/>
          <w:bCs/>
          <w:color w:val="000000"/>
          <w:szCs w:val="20"/>
        </w:rPr>
        <w:t xml:space="preserve"> </w:t>
      </w:r>
      <w:r w:rsidRPr="005D599F">
        <w:rPr>
          <w:rFonts w:cs="Arial"/>
          <w:color w:val="000000"/>
          <w:szCs w:val="20"/>
        </w:rPr>
        <w:t>Concretely, if every label</w:t>
      </w:r>
      <w:r w:rsidRPr="005D599F">
        <w:rPr>
          <w:rStyle w:val="apple-converted-space"/>
          <w:rFonts w:cs="Arial"/>
          <w:color w:val="000000"/>
          <w:szCs w:val="20"/>
        </w:rPr>
        <w:t> </w:t>
      </w:r>
      <w:r w:rsidRPr="005D599F">
        <w:rPr>
          <w:rStyle w:val="katex-mathml"/>
          <w:rFonts w:cs="Arial"/>
          <w:color w:val="000000"/>
          <w:szCs w:val="20"/>
        </w:rPr>
        <w:t>c</w:t>
      </w:r>
      <w:r w:rsidRPr="005D599F">
        <w:rPr>
          <w:rStyle w:val="apple-converted-space"/>
          <w:rFonts w:cs="Arial"/>
          <w:color w:val="000000"/>
          <w:szCs w:val="20"/>
        </w:rPr>
        <w:t> </w:t>
      </w:r>
      <w:r w:rsidRPr="005D599F">
        <w:rPr>
          <w:rFonts w:cs="Arial"/>
          <w:color w:val="000000"/>
          <w:szCs w:val="20"/>
        </w:rPr>
        <w:t>in the 4a set is generated as</w:t>
      </w:r>
      <w:r w:rsidRPr="005D599F">
        <w:rPr>
          <w:rStyle w:val="apple-converted-space"/>
          <w:rFonts w:cs="Arial"/>
          <w:color w:val="000000"/>
          <w:szCs w:val="20"/>
        </w:rPr>
        <w:t> </w:t>
      </w:r>
      <w:r w:rsidRPr="005D599F">
        <w:rPr>
          <w:rStyle w:val="katex-mathml"/>
          <w:rFonts w:cs="Arial"/>
          <w:color w:val="000000"/>
          <w:szCs w:val="20"/>
        </w:rPr>
        <w:t>c=</w:t>
      </w:r>
      <w:proofErr w:type="spellStart"/>
      <w:r w:rsidRPr="005D599F">
        <w:rPr>
          <w:rStyle w:val="katex-mathml"/>
          <w:rFonts w:cs="Arial"/>
          <w:color w:val="000000"/>
          <w:szCs w:val="20"/>
        </w:rPr>
        <w:t>f</w:t>
      </w:r>
      <w:r w:rsidR="00904D72">
        <w:rPr>
          <w:rStyle w:val="katex-mathml"/>
          <w:rFonts w:cs="Arial"/>
          <w:color w:val="000000"/>
          <w:szCs w:val="20"/>
        </w:rPr>
        <w:t>_</w:t>
      </w:r>
      <w:r w:rsidRPr="005D599F">
        <w:rPr>
          <w:rStyle w:val="katex-mathml"/>
          <w:rFonts w:cs="Arial"/>
          <w:color w:val="000000"/>
          <w:szCs w:val="20"/>
        </w:rPr>
        <w:t>ref</w:t>
      </w:r>
      <w:proofErr w:type="spellEnd"/>
      <w:r w:rsidRPr="005D599F">
        <w:rPr>
          <w:rStyle w:val="katex-mathml"/>
          <w:rFonts w:cs="Arial"/>
          <w:color w:val="000000"/>
          <w:szCs w:val="20"/>
        </w:rPr>
        <w:t>(H)</w:t>
      </w:r>
      <w:r>
        <w:rPr>
          <w:rStyle w:val="mord"/>
          <w:rFonts w:cs="Arial"/>
          <w:color w:val="000000"/>
          <w:szCs w:val="20"/>
        </w:rPr>
        <w:t xml:space="preserve"> </w:t>
      </w:r>
      <w:r w:rsidRPr="005D599F">
        <w:rPr>
          <w:rFonts w:cs="Arial"/>
          <w:color w:val="000000"/>
          <w:szCs w:val="20"/>
        </w:rPr>
        <w:t xml:space="preserve">by a single, fixed reference encoder (same weights, </w:t>
      </w:r>
      <w:r w:rsidRPr="0065471F">
        <w:rPr>
          <w:rFonts w:cs="Arial"/>
          <w:color w:val="000000"/>
          <w:szCs w:val="20"/>
        </w:rPr>
        <w:t>pre/post</w:t>
      </w:r>
      <w:r w:rsidRPr="0065471F">
        <w:rPr>
          <w:rFonts w:cs="Arial"/>
          <w:color w:val="000000"/>
          <w:szCs w:val="20"/>
        </w:rPr>
        <w:noBreakHyphen/>
        <w:t>processing, quantization) and TE vendors are required to train</w:t>
      </w:r>
      <w:r w:rsidRPr="005D599F">
        <w:rPr>
          <w:rFonts w:cs="Arial"/>
          <w:color w:val="000000"/>
          <w:szCs w:val="20"/>
        </w:rPr>
        <w:t xml:space="preserve"> on</w:t>
      </w:r>
      <w:r w:rsidRPr="005D599F">
        <w:rPr>
          <w:rStyle w:val="apple-converted-space"/>
          <w:rFonts w:cs="Arial"/>
          <w:color w:val="000000"/>
          <w:szCs w:val="20"/>
        </w:rPr>
        <w:t> </w:t>
      </w:r>
      <w:r w:rsidRPr="005D599F">
        <w:rPr>
          <w:rStyle w:val="Strong"/>
          <w:rFonts w:cs="Arial"/>
          <w:b/>
          <w:bCs/>
          <w:color w:val="000000"/>
          <w:szCs w:val="20"/>
        </w:rPr>
        <w:t>that</w:t>
      </w:r>
      <w:r w:rsidRPr="005D599F">
        <w:rPr>
          <w:rStyle w:val="apple-converted-space"/>
          <w:rFonts w:cs="Arial"/>
          <w:color w:val="000000"/>
          <w:szCs w:val="20"/>
        </w:rPr>
        <w:t> </w:t>
      </w:r>
      <w:r w:rsidRPr="005D599F">
        <w:rPr>
          <w:rFonts w:cs="Arial"/>
          <w:color w:val="000000"/>
          <w:szCs w:val="20"/>
        </w:rPr>
        <w:t>dataset</w:t>
      </w:r>
      <w:r>
        <w:rPr>
          <w:rFonts w:cs="Arial"/>
          <w:color w:val="000000"/>
          <w:szCs w:val="20"/>
        </w:rPr>
        <w:t xml:space="preserve">, </w:t>
      </w:r>
      <w:r w:rsidRPr="005D599F">
        <w:rPr>
          <w:rFonts w:cs="Arial"/>
          <w:color w:val="000000"/>
          <w:szCs w:val="20"/>
        </w:rPr>
        <w:t>then the latent space is anchored by</w:t>
      </w:r>
      <w:r w:rsidRPr="005D599F">
        <w:rPr>
          <w:rStyle w:val="apple-converted-space"/>
          <w:rFonts w:cs="Arial"/>
          <w:color w:val="000000"/>
          <w:szCs w:val="20"/>
        </w:rPr>
        <w:t> </w:t>
      </w:r>
      <w:proofErr w:type="spellStart"/>
      <w:r w:rsidRPr="005D599F">
        <w:rPr>
          <w:rStyle w:val="katex-mathml"/>
          <w:rFonts w:cs="Arial"/>
          <w:color w:val="000000"/>
          <w:szCs w:val="20"/>
        </w:rPr>
        <w:t>f</w:t>
      </w:r>
      <w:r>
        <w:rPr>
          <w:rStyle w:val="katex-mathml"/>
          <w:rFonts w:cs="Arial"/>
          <w:color w:val="000000"/>
          <w:szCs w:val="20"/>
        </w:rPr>
        <w:t>_</w:t>
      </w:r>
      <w:r w:rsidRPr="005D599F">
        <w:rPr>
          <w:rStyle w:val="katex-mathml"/>
          <w:rFonts w:cs="Arial"/>
          <w:color w:val="000000"/>
          <w:szCs w:val="20"/>
        </w:rPr>
        <w:t>ref</w:t>
      </w:r>
      <w:proofErr w:type="spellEnd"/>
      <w:r w:rsidRPr="005D599F">
        <w:rPr>
          <w:rStyle w:val="vlist-s"/>
          <w:rFonts w:cs="Arial"/>
          <w:color w:val="000000"/>
          <w:szCs w:val="20"/>
        </w:rPr>
        <w:t>​</w:t>
      </w:r>
      <w:r w:rsidRPr="005D599F">
        <w:rPr>
          <w:rStyle w:val="apple-converted-space"/>
          <w:rFonts w:cs="Arial"/>
          <w:color w:val="000000"/>
          <w:szCs w:val="20"/>
        </w:rPr>
        <w:t> </w:t>
      </w:r>
      <w:r w:rsidRPr="005D599F">
        <w:rPr>
          <w:rFonts w:cs="Arial"/>
          <w:color w:val="000000"/>
          <w:szCs w:val="20"/>
        </w:rPr>
        <w:t>just as in 4b. At that point: The encoder is effectively standardized</w:t>
      </w:r>
      <w:r>
        <w:rPr>
          <w:rFonts w:cs="Arial"/>
          <w:color w:val="000000"/>
          <w:szCs w:val="20"/>
        </w:rPr>
        <w:t xml:space="preserve">, </w:t>
      </w:r>
      <w:r w:rsidRPr="005D599F">
        <w:rPr>
          <w:rFonts w:cs="Arial"/>
          <w:color w:val="000000"/>
          <w:szCs w:val="20"/>
        </w:rPr>
        <w:t>only hidden inside the dataset. TE decoders are all learning to invert the same code distribution</w:t>
      </w:r>
      <w:r>
        <w:rPr>
          <w:rFonts w:cs="Arial"/>
          <w:color w:val="000000"/>
          <w:szCs w:val="20"/>
        </w:rPr>
        <w:t xml:space="preserve">. </w:t>
      </w:r>
      <w:r w:rsidRPr="005D599F">
        <w:rPr>
          <w:rFonts w:cs="Arial"/>
          <w:color w:val="000000"/>
          <w:szCs w:val="20"/>
        </w:rPr>
        <w:t>Thus the “dataset-anchored” option (4a) becomes functionally identical to the “encoder-anchored” option (4b)</w:t>
      </w:r>
    </w:p>
    <w:p w14:paraId="6BFA4701" w14:textId="73334FAA" w:rsidR="00D54F61" w:rsidRPr="0065471F" w:rsidRDefault="0065471F" w:rsidP="006870D4">
      <w:pPr>
        <w:pStyle w:val="Observation"/>
        <w:jc w:val="left"/>
        <w:rPr>
          <w:rFonts w:cs="Arial"/>
          <w:szCs w:val="20"/>
          <w:lang w:val="en-GB"/>
        </w:rPr>
      </w:pPr>
      <w:r w:rsidRPr="0065471F">
        <w:rPr>
          <w:rFonts w:cs="Arial"/>
          <w:color w:val="000000"/>
          <w:szCs w:val="20"/>
        </w:rPr>
        <w:t xml:space="preserve">Option 3 and Option 4 become effectively identical when all the flexibility intended for Option 4 is removed. This happens if: (1) the TE test decoder is fully specified and identical for all vendors, (2) everyone uses the same mixed/reference dataset, (3) no vendor-specific “own” decoder or retraining is used </w:t>
      </w:r>
      <w:r>
        <w:rPr>
          <w:rFonts w:cs="Arial"/>
          <w:color w:val="000000"/>
          <w:szCs w:val="20"/>
        </w:rPr>
        <w:t>at</w:t>
      </w:r>
      <w:r w:rsidRPr="0065471F">
        <w:rPr>
          <w:rFonts w:cs="Arial"/>
          <w:color w:val="000000"/>
          <w:szCs w:val="20"/>
        </w:rPr>
        <w:t xml:space="preserve"> </w:t>
      </w:r>
      <w:r>
        <w:rPr>
          <w:rFonts w:cs="Arial"/>
          <w:color w:val="000000"/>
          <w:szCs w:val="20"/>
        </w:rPr>
        <w:t xml:space="preserve">TE </w:t>
      </w:r>
      <w:r w:rsidRPr="0065471F">
        <w:rPr>
          <w:rFonts w:cs="Arial"/>
          <w:color w:val="000000"/>
          <w:szCs w:val="20"/>
        </w:rPr>
        <w:t>, and (4) any small freedoms in training setup (e.g., optimizer, seeds, pruning) are fixed or have no impact on the final decoder. In that case, Option 4’s “design-your-own decoder” path reduces to Option 3’s “use this frozen decoder,” with the same latent space, same weights, and same behavior. The two also converge if Option 4b’s frozen reference encoder and dataset yield a single common decoder that vendors simply adopt. Similarly, if Option 4a’s labelled dataset is generated by the same reference encoder and the decoder’s backbone and architecture are frozen, there’s no remaining design freedom</w:t>
      </w:r>
      <w:r>
        <w:rPr>
          <w:rFonts w:cs="Arial"/>
          <w:color w:val="000000"/>
          <w:szCs w:val="20"/>
        </w:rPr>
        <w:t xml:space="preserve">, </w:t>
      </w:r>
      <w:r w:rsidRPr="0065471F">
        <w:rPr>
          <w:rFonts w:cs="Arial"/>
          <w:color w:val="000000"/>
          <w:szCs w:val="20"/>
        </w:rPr>
        <w:t>making 4a essentially the same as Option 3</w:t>
      </w:r>
    </w:p>
    <w:p w14:paraId="3ECF0869" w14:textId="3C91AB46" w:rsidR="006F5677" w:rsidRPr="00065869" w:rsidRDefault="006F5677" w:rsidP="006870D4">
      <w:pPr>
        <w:pStyle w:val="Observation"/>
        <w:jc w:val="left"/>
        <w:rPr>
          <w:rFonts w:cs="Arial"/>
          <w:szCs w:val="20"/>
          <w:lang w:val="en-GB"/>
        </w:rPr>
      </w:pPr>
      <w:r w:rsidRPr="00065869">
        <w:rPr>
          <w:rFonts w:cs="Arial"/>
          <w:color w:val="000000"/>
          <w:szCs w:val="20"/>
        </w:rPr>
        <w:t>Option 4b lets refresh the</w:t>
      </w:r>
      <w:r w:rsidRPr="00065869">
        <w:rPr>
          <w:rStyle w:val="apple-converted-space"/>
          <w:rFonts w:cs="Arial"/>
          <w:color w:val="000000"/>
          <w:szCs w:val="20"/>
        </w:rPr>
        <w:t> </w:t>
      </w:r>
      <w:r w:rsidRPr="00065869">
        <w:rPr>
          <w:rStyle w:val="Strong"/>
          <w:rFonts w:cs="Arial"/>
          <w:b/>
          <w:bCs/>
          <w:color w:val="000000"/>
          <w:szCs w:val="20"/>
        </w:rPr>
        <w:t xml:space="preserve">training </w:t>
      </w:r>
      <w:r w:rsidR="00065869" w:rsidRPr="00065869">
        <w:rPr>
          <w:rStyle w:val="Strong"/>
          <w:rFonts w:cs="Arial"/>
          <w:b/>
          <w:bCs/>
          <w:color w:val="000000"/>
          <w:szCs w:val="20"/>
        </w:rPr>
        <w:t>component</w:t>
      </w:r>
      <w:r w:rsidR="0065471F">
        <w:rPr>
          <w:rStyle w:val="Strong"/>
          <w:rFonts w:cs="Arial"/>
          <w:b/>
          <w:bCs/>
          <w:color w:val="000000"/>
          <w:szCs w:val="20"/>
        </w:rPr>
        <w:t xml:space="preserve">s for test decoder </w:t>
      </w:r>
      <w:r w:rsidR="00065869" w:rsidRPr="00065869">
        <w:rPr>
          <w:rStyle w:val="apple-converted-space"/>
          <w:rFonts w:cs="Arial"/>
          <w:color w:val="000000"/>
          <w:szCs w:val="20"/>
        </w:rPr>
        <w:t>(</w:t>
      </w:r>
      <w:r w:rsidRPr="00065869">
        <w:rPr>
          <w:rFonts w:cs="Arial"/>
          <w:color w:val="000000"/>
          <w:szCs w:val="20"/>
        </w:rPr>
        <w:t>dataset and/or frozen reference encoder) instead of re-freezing and re-specifying a new decoder every time channels change</w:t>
      </w:r>
      <w:r w:rsidR="0065471F">
        <w:rPr>
          <w:rFonts w:cs="Arial"/>
          <w:color w:val="000000"/>
          <w:szCs w:val="20"/>
        </w:rPr>
        <w:t xml:space="preserve"> as in Option 3</w:t>
      </w:r>
      <w:r w:rsidRPr="00065869">
        <w:rPr>
          <w:rFonts w:cs="Arial"/>
          <w:color w:val="000000"/>
          <w:szCs w:val="20"/>
        </w:rPr>
        <w:t>. TE vendors can retrain their test decoders on the updated data within the same structural envelope, so the spec stays stable while the models adapt. Option 3 would require publishing a brand</w:t>
      </w:r>
      <w:r w:rsidRPr="00065869">
        <w:rPr>
          <w:rFonts w:cs="Arial"/>
          <w:color w:val="000000"/>
          <w:szCs w:val="20"/>
        </w:rPr>
        <w:noBreakHyphen/>
        <w:t>new frozen decoder (and re-certifying everyone) whenever the channel model set evolves</w:t>
      </w:r>
    </w:p>
    <w:p w14:paraId="0C99084B" w14:textId="53ED6BBB" w:rsidR="006A24D9" w:rsidRDefault="006A24D9" w:rsidP="00FD3F82">
      <w:pPr>
        <w:pStyle w:val="B8"/>
        <w:ind w:left="0" w:firstLine="0"/>
        <w:rPr>
          <w:rFonts w:ascii="Arial" w:hAnsi="Arial" w:cs="Arial"/>
          <w:lang w:val="en-GB"/>
        </w:rPr>
      </w:pPr>
    </w:p>
    <w:p w14:paraId="64853FF4" w14:textId="39A2BACF" w:rsidR="006A24D9" w:rsidRPr="00651BEB" w:rsidRDefault="006A24D9" w:rsidP="006A24D9">
      <w:pPr>
        <w:pStyle w:val="Proposal"/>
        <w:rPr>
          <w:rFonts w:cs="Arial"/>
          <w:szCs w:val="20"/>
          <w:lang w:val="en-GB"/>
        </w:rPr>
      </w:pPr>
      <w:r w:rsidRPr="00651BEB">
        <w:rPr>
          <w:rFonts w:cs="Arial"/>
          <w:color w:val="000000"/>
          <w:szCs w:val="20"/>
        </w:rPr>
        <w:t>Keep Option 3 as the baseline while maturing Option 4b, with pre</w:t>
      </w:r>
      <w:r w:rsidRPr="00651BEB">
        <w:rPr>
          <w:rFonts w:cs="Arial"/>
          <w:color w:val="000000"/>
          <w:szCs w:val="20"/>
        </w:rPr>
        <w:noBreakHyphen/>
        <w:t>agreed exit criteria to drop one path later. RAN4 should standardize a single frozen test decoder (Option 3) and its one reference encoder, guaranteeing immediate, low</w:t>
      </w:r>
      <w:r w:rsidRPr="00651BEB">
        <w:rPr>
          <w:rFonts w:cs="Arial"/>
          <w:color w:val="000000"/>
          <w:szCs w:val="20"/>
        </w:rPr>
        <w:noBreakHyphen/>
        <w:t>risk interoperability. In parallel, RAN4 should formalize Option 4b TE</w:t>
      </w:r>
      <w:r w:rsidRPr="00651BEB">
        <w:rPr>
          <w:rFonts w:cs="Arial"/>
          <w:color w:val="000000"/>
          <w:szCs w:val="20"/>
        </w:rPr>
        <w:noBreakHyphen/>
        <w:t xml:space="preserve">designed test decoders trained against a frozen reference encoder (and common/aligned dataset) under a partially specified structure to gain flexibility for future channel models, hardware targets, and innovation. Option 4a is retained only insofar as its labelled </w:t>
      </w:r>
      <w:r w:rsidRPr="00651BEB">
        <w:rPr>
          <w:rFonts w:cs="Arial"/>
          <w:color w:val="000000"/>
          <w:szCs w:val="20"/>
        </w:rPr>
        <w:lastRenderedPageBreak/>
        <w:t xml:space="preserve">dataset is produced by that same frozen encoder; </w:t>
      </w:r>
      <w:proofErr w:type="gramStart"/>
      <w:r w:rsidRPr="00651BEB">
        <w:rPr>
          <w:rFonts w:cs="Arial"/>
          <w:color w:val="000000"/>
          <w:szCs w:val="20"/>
        </w:rPr>
        <w:t>otherwise</w:t>
      </w:r>
      <w:proofErr w:type="gramEnd"/>
      <w:r w:rsidRPr="00651BEB">
        <w:rPr>
          <w:rFonts w:cs="Arial"/>
          <w:color w:val="000000"/>
          <w:szCs w:val="20"/>
        </w:rPr>
        <w:t xml:space="preserve"> it should be folded into 4b. </w:t>
      </w:r>
    </w:p>
    <w:p w14:paraId="66F35725" w14:textId="77777777" w:rsidR="006A24D9" w:rsidRPr="0065471F" w:rsidRDefault="006A24D9" w:rsidP="006A24D9">
      <w:pPr>
        <w:pStyle w:val="Proposal"/>
        <w:rPr>
          <w:rFonts w:cs="Arial"/>
          <w:szCs w:val="20"/>
          <w:lang w:val="en-GB"/>
        </w:rPr>
      </w:pPr>
      <w:r w:rsidRPr="0065471F">
        <w:rPr>
          <w:rFonts w:cs="Arial"/>
          <w:color w:val="000000"/>
          <w:szCs w:val="20"/>
        </w:rPr>
        <w:t>To prevent indefinite dual maintenance, RAN4 shall define quantitative “convergence” triggers before launching the joint trial: for example, SGCS (or NMSE) spread across vendors and scenarios ≤ 5 % (or ≤ 1 dB)</w:t>
      </w:r>
      <w:r w:rsidRPr="0065471F">
        <w:rPr>
          <w:rStyle w:val="apple-converted-space"/>
          <w:rFonts w:cs="Arial"/>
          <w:color w:val="000000"/>
          <w:szCs w:val="20"/>
        </w:rPr>
        <w:t> </w:t>
      </w:r>
      <w:r w:rsidRPr="0065471F">
        <w:rPr>
          <w:rStyle w:val="Strong"/>
          <w:rFonts w:cs="Arial"/>
          <w:b/>
          <w:bCs/>
          <w:color w:val="000000"/>
          <w:szCs w:val="20"/>
        </w:rPr>
        <w:t>and no loss of interoperability in cross-vendor tests compared to the Option 3 baseline</w:t>
      </w:r>
      <w:r w:rsidRPr="0065471F">
        <w:rPr>
          <w:rFonts w:cs="Arial"/>
          <w:color w:val="000000"/>
          <w:szCs w:val="20"/>
        </w:rPr>
        <w:t>. If Option 4b meets these thresholds, announce a sunset plan for Option 3 at a specific release boundary. If it does not, Option 3 remains the normative path and Option 4b reverts to an informative/experimental track until the gaps are closed.</w:t>
      </w:r>
    </w:p>
    <w:p w14:paraId="42891C6B" w14:textId="206308AD" w:rsidR="006A24D9" w:rsidRDefault="006A24D9" w:rsidP="00FD3F82">
      <w:pPr>
        <w:pStyle w:val="B8"/>
        <w:ind w:left="0" w:firstLine="0"/>
        <w:rPr>
          <w:rFonts w:ascii="Arial" w:hAnsi="Arial" w:cs="Arial"/>
          <w:lang w:val="en-GB"/>
        </w:rPr>
      </w:pPr>
    </w:p>
    <w:p w14:paraId="0B746FE4" w14:textId="77777777" w:rsidR="006A24D9" w:rsidRDefault="006A24D9" w:rsidP="00FD3F82">
      <w:pPr>
        <w:pStyle w:val="B8"/>
        <w:ind w:left="0" w:firstLine="0"/>
        <w:rPr>
          <w:rFonts w:ascii="Arial" w:hAnsi="Arial" w:cs="Arial"/>
          <w:lang w:val="en-GB"/>
        </w:rPr>
      </w:pPr>
    </w:p>
    <w:p w14:paraId="35490AC6" w14:textId="216EE803" w:rsidR="009E58DE" w:rsidRDefault="0038192E" w:rsidP="0038192E">
      <w:pPr>
        <w:pStyle w:val="Heading1"/>
        <w:ind w:left="0" w:firstLine="0"/>
      </w:pPr>
      <w:r>
        <w:rPr>
          <w:lang w:val="en-US"/>
        </w:rPr>
        <w:t>5</w:t>
      </w:r>
      <w:r>
        <w:tab/>
      </w:r>
      <w:r>
        <w:rPr>
          <w:lang w:val="en-US"/>
        </w:rPr>
        <w:t xml:space="preserve">Construction of the synthetic dataset </w:t>
      </w:r>
    </w:p>
    <w:p w14:paraId="00817970" w14:textId="77777777" w:rsidR="008371ED" w:rsidRPr="008371ED" w:rsidRDefault="008371ED" w:rsidP="008371ED">
      <w:pPr>
        <w:spacing w:before="100" w:beforeAutospacing="1" w:after="100" w:afterAutospacing="1" w:line="240" w:lineRule="auto"/>
        <w:rPr>
          <w:rFonts w:eastAsia="Times New Roman" w:cs="Arial"/>
          <w:szCs w:val="20"/>
        </w:rPr>
      </w:pPr>
      <w:r w:rsidRPr="008371ED">
        <w:rPr>
          <w:rFonts w:eastAsia="Times New Roman" w:cs="Arial"/>
          <w:szCs w:val="20"/>
        </w:rPr>
        <w:t>The central problem is ensuring that the dataset used to train the test decoder realistically represents the range of channel conditions the model will encounter in actual deployments. In previous simulations, even though companies used the same agreed-upon assumptions, differences emerged in datasets due to inconsistencies like amplitude or phase normalization. Such mismatches mean the latent space learned by the decoder might not reflect real-world conditions, causing degraded interoperability and inconsistent encoder performance across vendors.</w:t>
      </w:r>
    </w:p>
    <w:p w14:paraId="43D78DEA" w14:textId="3ABBB13C" w:rsidR="008371ED" w:rsidRPr="00404CC1" w:rsidRDefault="008371ED" w:rsidP="008371ED">
      <w:pPr>
        <w:spacing w:before="100" w:beforeAutospacing="1" w:after="100" w:afterAutospacing="1" w:line="240" w:lineRule="auto"/>
        <w:rPr>
          <w:rFonts w:eastAsia="Times New Roman" w:cs="Arial"/>
          <w:szCs w:val="20"/>
        </w:rPr>
      </w:pPr>
      <w:r w:rsidRPr="008371ED">
        <w:rPr>
          <w:rFonts w:eastAsia="Times New Roman" w:cs="Arial"/>
          <w:szCs w:val="20"/>
        </w:rPr>
        <w:t>For a Work Item (WI), accumulating extensive real-world measurement data within 3GPP RAN4 is impractical. Therefore, the dataset must come from carefully designed simulations covering sufficient diversity</w:t>
      </w:r>
      <w:r w:rsidRPr="00404CC1">
        <w:rPr>
          <w:rFonts w:eastAsia="Times New Roman" w:cs="Arial"/>
          <w:szCs w:val="20"/>
        </w:rPr>
        <w:t xml:space="preserve"> </w:t>
      </w:r>
      <w:r w:rsidRPr="008371ED">
        <w:rPr>
          <w:rFonts w:eastAsia="Times New Roman" w:cs="Arial"/>
          <w:szCs w:val="20"/>
        </w:rPr>
        <w:t>frequency bands, environments</w:t>
      </w:r>
      <w:r w:rsidR="00690D76">
        <w:rPr>
          <w:rFonts w:eastAsia="Times New Roman" w:cs="Arial"/>
          <w:szCs w:val="20"/>
        </w:rPr>
        <w:t>/channel models</w:t>
      </w:r>
      <w:r w:rsidRPr="008371ED">
        <w:rPr>
          <w:rFonts w:eastAsia="Times New Roman" w:cs="Arial"/>
          <w:szCs w:val="20"/>
        </w:rPr>
        <w:t>, mobility levels, antenna configurations, and SNR ranges</w:t>
      </w:r>
      <w:r w:rsidRPr="00404CC1">
        <w:rPr>
          <w:rFonts w:eastAsia="Times New Roman" w:cs="Arial"/>
          <w:szCs w:val="20"/>
        </w:rPr>
        <w:t xml:space="preserve"> </w:t>
      </w:r>
      <w:r w:rsidRPr="008371ED">
        <w:rPr>
          <w:rFonts w:eastAsia="Times New Roman" w:cs="Arial"/>
          <w:szCs w:val="20"/>
        </w:rPr>
        <w:t>to be representative of real deployment scenarios. Equally critical is ensuring strict alignment between datasets produced by different companies, through standardized preprocessing steps and verification procedures, so all encoders trained against the resulting latent space remain interoperable and robust in real-world networks.</w:t>
      </w:r>
    </w:p>
    <w:p w14:paraId="4665360E" w14:textId="1D9CE48F" w:rsidR="008371ED" w:rsidRPr="00404CC1" w:rsidRDefault="008371ED" w:rsidP="008371ED">
      <w:pPr>
        <w:pStyle w:val="NormalWeb"/>
        <w:rPr>
          <w:rFonts w:ascii="Arial" w:hAnsi="Arial" w:cs="Arial"/>
          <w:color w:val="000000"/>
          <w:sz w:val="20"/>
          <w:szCs w:val="20"/>
        </w:rPr>
      </w:pPr>
      <w:r w:rsidRPr="00404CC1">
        <w:rPr>
          <w:rFonts w:ascii="Arial" w:hAnsi="Arial" w:cs="Arial"/>
          <w:color w:val="000000"/>
          <w:sz w:val="20"/>
          <w:szCs w:val="20"/>
        </w:rPr>
        <w:t>To address dataset realism and alignment, it is proposed that RAN4 define a standardized simulation framework covering a diverse set of scenarios relevant to real-world deployments. This framework would explicitly specify frequency bands, environments (urban macro, urban micro, indoor, rural), mobility levels (static, pedestrian, vehicular, high-speed), antenna configurations, and SNR distributions. A common preprocessing procedure including precise amplitude/phase normalization, quantization methods,</w:t>
      </w:r>
      <w:r w:rsidR="00404CC1" w:rsidRPr="00404CC1">
        <w:rPr>
          <w:rFonts w:ascii="Arial" w:hAnsi="Arial" w:cs="Arial"/>
          <w:color w:val="000000"/>
          <w:sz w:val="20"/>
          <w:szCs w:val="20"/>
        </w:rPr>
        <w:t xml:space="preserve"> </w:t>
      </w:r>
      <w:r w:rsidRPr="00404CC1">
        <w:rPr>
          <w:rFonts w:ascii="Arial" w:hAnsi="Arial" w:cs="Arial"/>
          <w:color w:val="000000"/>
          <w:sz w:val="20"/>
          <w:szCs w:val="20"/>
        </w:rPr>
        <w:t>shall be documented and strictly followed by all contributing companies.</w:t>
      </w:r>
    </w:p>
    <w:p w14:paraId="33D7A1EF" w14:textId="491EDD93" w:rsidR="008371ED" w:rsidRPr="00404CC1" w:rsidRDefault="008371ED" w:rsidP="008371ED">
      <w:pPr>
        <w:pStyle w:val="NormalWeb"/>
        <w:rPr>
          <w:rFonts w:ascii="Arial" w:hAnsi="Arial" w:cs="Arial"/>
          <w:color w:val="000000"/>
          <w:sz w:val="20"/>
          <w:szCs w:val="20"/>
        </w:rPr>
      </w:pPr>
      <w:r w:rsidRPr="00404CC1">
        <w:rPr>
          <w:rFonts w:ascii="Arial" w:hAnsi="Arial" w:cs="Arial"/>
          <w:color w:val="000000"/>
          <w:sz w:val="20"/>
          <w:szCs w:val="20"/>
        </w:rPr>
        <w:t>Datasets generated under this unified procedure must pass statistical alignment tests based on predefined metrics such as power spectral entropy (PSE). Companies wishing to introduce proprietary data must demonstrate statistical equivalence with the reference dataset; if alignment fails, companies must augment or re-weight their data accordingly or default to the official dataset provided by RAN4. This disciplined, reproducible approach ensures the resulting dataset captures a realistic, interoperable latent space for the test decoder, maintaining consistency and reliability in certification.</w:t>
      </w:r>
    </w:p>
    <w:p w14:paraId="7089897D" w14:textId="77777777" w:rsidR="008371ED" w:rsidRPr="008371ED" w:rsidRDefault="008371ED" w:rsidP="008371ED">
      <w:pPr>
        <w:rPr>
          <w:lang w:eastAsia="ja-JP"/>
        </w:rPr>
      </w:pPr>
    </w:p>
    <w:p w14:paraId="0A9A6BB4" w14:textId="2B4FD1AB" w:rsidR="005531AF" w:rsidRPr="00690D76" w:rsidRDefault="00690D76" w:rsidP="009E58DE">
      <w:pPr>
        <w:pStyle w:val="Proposal"/>
        <w:tabs>
          <w:tab w:val="num" w:pos="1304"/>
        </w:tabs>
        <w:ind w:left="1304" w:hanging="1304"/>
        <w:rPr>
          <w:rFonts w:cs="Arial"/>
          <w:szCs w:val="20"/>
          <w:lang w:val="en-GB"/>
        </w:rPr>
      </w:pPr>
      <w:r w:rsidRPr="00690D76">
        <w:rPr>
          <w:rFonts w:cs="Arial"/>
          <w:color w:val="000000"/>
          <w:szCs w:val="20"/>
        </w:rPr>
        <w:t>For training the test decoder a standardized dataset collection ensures the test decoder is trained on data that realistically reflects wireless channel scenarios, producing a representative and interoperable latent space across vendors. RAN4 shall define a simulation framework covering frequency bands, environments, mobility, antenna setups, and SNR distributions. All companies must follow these simulation agreements, with dataset alignment verified via metrics like power spectral entropy (PSE). Proprietary datasets must demonstrate alignment or be adjusted accordingly</w:t>
      </w:r>
    </w:p>
    <w:p w14:paraId="37EB5693" w14:textId="77777777" w:rsidR="00C01F33" w:rsidRPr="00CE0424" w:rsidRDefault="00C01F33" w:rsidP="00CE0424">
      <w:pPr>
        <w:pStyle w:val="Heading1"/>
      </w:pPr>
      <w:r w:rsidRPr="00CE0424">
        <w:t>Conclusion</w:t>
      </w:r>
    </w:p>
    <w:p w14:paraId="4C562708" w14:textId="35232B4C" w:rsidR="00690D76" w:rsidRPr="00F94E27" w:rsidRDefault="008E065E" w:rsidP="00F94E27">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7E33EA4" w14:textId="77777777" w:rsidR="00690D76" w:rsidRPr="005E3971" w:rsidRDefault="00690D76" w:rsidP="00690D76">
      <w:pPr>
        <w:pStyle w:val="NormalWeb"/>
        <w:rPr>
          <w:rFonts w:ascii="Arial" w:hAnsi="Arial" w:cs="Arial"/>
          <w:color w:val="000000"/>
          <w:sz w:val="20"/>
          <w:szCs w:val="20"/>
        </w:rPr>
      </w:pPr>
    </w:p>
    <w:p w14:paraId="23E6DF1D" w14:textId="6C161403" w:rsidR="00690D76" w:rsidRPr="00F94E27" w:rsidRDefault="00690D76" w:rsidP="00F94E27">
      <w:pPr>
        <w:pStyle w:val="Observation"/>
        <w:numPr>
          <w:ilvl w:val="0"/>
          <w:numId w:val="40"/>
        </w:numPr>
        <w:jc w:val="left"/>
        <w:rPr>
          <w:rFonts w:cs="Arial"/>
          <w:highlight w:val="yellow"/>
          <w:lang w:val="en-GB"/>
        </w:rPr>
      </w:pPr>
      <w:r w:rsidRPr="00F94E27">
        <w:rPr>
          <w:rFonts w:cs="Arial"/>
          <w:color w:val="000000"/>
          <w:szCs w:val="20"/>
        </w:rPr>
        <w:t>Option 4’s core benefit is</w:t>
      </w:r>
      <w:r w:rsidRPr="00F94E27">
        <w:rPr>
          <w:rStyle w:val="apple-converted-space"/>
          <w:rFonts w:cs="Arial"/>
          <w:color w:val="000000"/>
          <w:szCs w:val="20"/>
        </w:rPr>
        <w:t> </w:t>
      </w:r>
      <w:r w:rsidRPr="00F94E27">
        <w:rPr>
          <w:rStyle w:val="Strong"/>
          <w:rFonts w:cs="Arial"/>
          <w:b/>
          <w:bCs/>
          <w:color w:val="000000"/>
          <w:szCs w:val="20"/>
        </w:rPr>
        <w:t>flexibility without abandoning common</w:t>
      </w:r>
      <w:r w:rsidRPr="00F94E27">
        <w:rPr>
          <w:rStyle w:val="Strong"/>
          <w:rFonts w:cs="Arial"/>
          <w:color w:val="000000"/>
          <w:szCs w:val="20"/>
        </w:rPr>
        <w:t xml:space="preserve"> </w:t>
      </w:r>
      <w:r w:rsidR="00F27919" w:rsidRPr="00F94E27">
        <w:rPr>
          <w:rStyle w:val="Strong"/>
          <w:rFonts w:cs="Arial"/>
          <w:b/>
          <w:bCs/>
          <w:color w:val="000000"/>
          <w:szCs w:val="20"/>
        </w:rPr>
        <w:t>design</w:t>
      </w:r>
      <w:r w:rsidR="00F27919" w:rsidRPr="00F94E27">
        <w:rPr>
          <w:rStyle w:val="Strong"/>
          <w:rFonts w:cs="Arial"/>
          <w:color w:val="000000"/>
          <w:szCs w:val="20"/>
        </w:rPr>
        <w:t xml:space="preserve"> </w:t>
      </w:r>
      <w:r w:rsidRPr="00F94E27">
        <w:rPr>
          <w:rStyle w:val="Strong"/>
          <w:rFonts w:cs="Arial"/>
          <w:b/>
          <w:bCs/>
          <w:color w:val="000000"/>
          <w:szCs w:val="20"/>
        </w:rPr>
        <w:t>rules</w:t>
      </w:r>
      <w:r w:rsidRPr="00F94E27">
        <w:rPr>
          <w:rFonts w:cs="Arial"/>
          <w:color w:val="000000"/>
          <w:szCs w:val="20"/>
        </w:rPr>
        <w:t xml:space="preserve">. Instead of </w:t>
      </w:r>
      <w:r w:rsidR="00F27919" w:rsidRPr="00F94E27">
        <w:rPr>
          <w:rFonts w:cs="Arial"/>
          <w:color w:val="000000"/>
          <w:szCs w:val="20"/>
        </w:rPr>
        <w:t xml:space="preserve">specifying a </w:t>
      </w:r>
      <w:r w:rsidRPr="00F94E27">
        <w:rPr>
          <w:rFonts w:cs="Arial"/>
          <w:color w:val="000000"/>
          <w:szCs w:val="20"/>
        </w:rPr>
        <w:t>single frozen decoder (Option 3), each TE vendor can train its own test decoder optimizing latency/memory footprint while still following 3GPP</w:t>
      </w:r>
      <w:r w:rsidRPr="00F94E27">
        <w:rPr>
          <w:rFonts w:cs="Arial"/>
          <w:color w:val="000000"/>
          <w:szCs w:val="20"/>
        </w:rPr>
        <w:noBreakHyphen/>
        <w:t>defined anchors. A second gain is</w:t>
      </w:r>
      <w:r w:rsidRPr="00F94E27">
        <w:rPr>
          <w:rStyle w:val="apple-converted-space"/>
          <w:rFonts w:cs="Arial"/>
          <w:color w:val="000000"/>
          <w:szCs w:val="20"/>
        </w:rPr>
        <w:t> </w:t>
      </w:r>
      <w:r w:rsidRPr="00F94E27">
        <w:rPr>
          <w:rStyle w:val="Strong"/>
          <w:rFonts w:cs="Arial"/>
          <w:b/>
          <w:bCs/>
          <w:color w:val="000000"/>
          <w:szCs w:val="20"/>
        </w:rPr>
        <w:t>future</w:t>
      </w:r>
      <w:r w:rsidRPr="00F94E27">
        <w:rPr>
          <w:rStyle w:val="Strong"/>
          <w:rFonts w:cs="Arial"/>
          <w:b/>
          <w:bCs/>
          <w:color w:val="000000"/>
          <w:szCs w:val="20"/>
        </w:rPr>
        <w:noBreakHyphen/>
        <w:t>proofing and maintainability</w:t>
      </w:r>
      <w:r w:rsidRPr="00F94E27">
        <w:rPr>
          <w:rFonts w:cs="Arial"/>
          <w:color w:val="000000"/>
          <w:szCs w:val="20"/>
        </w:rPr>
        <w:t>. Because the TE decoder is retrainable, refreshing to new channel models, can be done by distributing new data or an updated reference encoder no need to reopen the spec to publish a brand</w:t>
      </w:r>
      <w:r w:rsidRPr="00F94E27">
        <w:rPr>
          <w:rFonts w:cs="Arial"/>
          <w:color w:val="000000"/>
          <w:szCs w:val="20"/>
        </w:rPr>
        <w:noBreakHyphen/>
        <w:t>new frozen decoder binary</w:t>
      </w:r>
      <w:r w:rsidRPr="00F94E27">
        <w:rPr>
          <w:rFonts w:cs="Arial"/>
          <w:b w:val="0"/>
          <w:bCs w:val="0"/>
          <w:color w:val="000000"/>
          <w:szCs w:val="20"/>
        </w:rPr>
        <w:t xml:space="preserve">. </w:t>
      </w:r>
      <w:r w:rsidRPr="00F94E27">
        <w:rPr>
          <w:rFonts w:cs="Arial"/>
          <w:color w:val="000000"/>
          <w:szCs w:val="20"/>
        </w:rPr>
        <w:t>Third, Option 4 empowers</w:t>
      </w:r>
      <w:r w:rsidRPr="00F94E27">
        <w:rPr>
          <w:rStyle w:val="apple-converted-space"/>
          <w:rFonts w:cs="Arial"/>
          <w:color w:val="000000"/>
          <w:szCs w:val="20"/>
        </w:rPr>
        <w:t> </w:t>
      </w:r>
      <w:r w:rsidRPr="00F94E27">
        <w:rPr>
          <w:rStyle w:val="Strong"/>
          <w:rFonts w:cs="Arial"/>
          <w:b/>
          <w:bCs/>
          <w:color w:val="000000"/>
          <w:szCs w:val="20"/>
        </w:rPr>
        <w:t>vendor</w:t>
      </w:r>
      <w:r w:rsidRPr="00F94E27">
        <w:rPr>
          <w:rStyle w:val="Strong"/>
          <w:rFonts w:cs="Arial"/>
          <w:b/>
          <w:bCs/>
          <w:color w:val="000000"/>
          <w:szCs w:val="20"/>
        </w:rPr>
        <w:noBreakHyphen/>
        <w:t>side optimization and IP protection</w:t>
      </w:r>
      <w:r w:rsidRPr="00F94E27">
        <w:rPr>
          <w:rFonts w:cs="Arial"/>
          <w:color w:val="000000"/>
          <w:szCs w:val="20"/>
        </w:rPr>
        <w:t>. UE vendors can use an “own” decoder during encoder training to better match their proprietary front</w:t>
      </w:r>
      <w:r w:rsidRPr="00F94E27">
        <w:rPr>
          <w:rFonts w:cs="Arial"/>
          <w:color w:val="000000"/>
          <w:szCs w:val="20"/>
        </w:rPr>
        <w:noBreakHyphen/>
        <w:t>end processing.</w:t>
      </w:r>
    </w:p>
    <w:p w14:paraId="6B0A2497" w14:textId="77777777" w:rsidR="00690D76" w:rsidRPr="005E3971" w:rsidRDefault="00690D76" w:rsidP="00690D76">
      <w:pPr>
        <w:pStyle w:val="NormalWeb"/>
        <w:rPr>
          <w:rFonts w:ascii="Arial" w:hAnsi="Arial" w:cs="Arial"/>
          <w:color w:val="000000"/>
          <w:sz w:val="20"/>
          <w:szCs w:val="20"/>
        </w:rPr>
      </w:pPr>
    </w:p>
    <w:p w14:paraId="7F2A9283" w14:textId="77777777" w:rsidR="00690D76" w:rsidRPr="005D599F" w:rsidRDefault="00690D76" w:rsidP="00690D76">
      <w:pPr>
        <w:pStyle w:val="Observation"/>
        <w:jc w:val="left"/>
        <w:rPr>
          <w:rFonts w:cs="Arial"/>
          <w:highlight w:val="yellow"/>
          <w:lang w:val="en-GB"/>
        </w:rPr>
      </w:pPr>
      <w:r w:rsidRPr="005D599F">
        <w:rPr>
          <w:rFonts w:cs="Arial"/>
          <w:color w:val="000000"/>
          <w:szCs w:val="20"/>
        </w:rPr>
        <w:t>Option 4b gives a</w:t>
      </w:r>
      <w:r w:rsidRPr="005D599F">
        <w:rPr>
          <w:rStyle w:val="apple-converted-space"/>
          <w:rFonts w:cs="Arial"/>
          <w:color w:val="000000"/>
          <w:szCs w:val="20"/>
        </w:rPr>
        <w:t> </w:t>
      </w:r>
      <w:r w:rsidRPr="005D599F">
        <w:rPr>
          <w:rStyle w:val="Strong"/>
          <w:rFonts w:cs="Arial"/>
          <w:b/>
          <w:bCs/>
          <w:color w:val="000000"/>
          <w:szCs w:val="20"/>
        </w:rPr>
        <w:t>fixed latent space</w:t>
      </w:r>
      <w:r w:rsidRPr="005D599F">
        <w:rPr>
          <w:rStyle w:val="apple-converted-space"/>
          <w:rFonts w:cs="Arial"/>
          <w:color w:val="000000"/>
          <w:szCs w:val="20"/>
        </w:rPr>
        <w:t> </w:t>
      </w:r>
      <w:r w:rsidRPr="005D599F">
        <w:rPr>
          <w:rFonts w:cs="Arial"/>
          <w:color w:val="000000"/>
          <w:szCs w:val="20"/>
        </w:rPr>
        <w:t>(via the frozen reference encoder), while 4a only gives a</w:t>
      </w:r>
      <w:r w:rsidRPr="005D599F">
        <w:rPr>
          <w:rStyle w:val="apple-converted-space"/>
          <w:rFonts w:cs="Arial"/>
          <w:color w:val="000000"/>
          <w:szCs w:val="20"/>
        </w:rPr>
        <w:t> </w:t>
      </w:r>
      <w:r>
        <w:rPr>
          <w:rStyle w:val="Strong"/>
          <w:rFonts w:cs="Arial"/>
          <w:b/>
          <w:bCs/>
          <w:color w:val="000000"/>
          <w:szCs w:val="20"/>
        </w:rPr>
        <w:t>set</w:t>
      </w:r>
      <w:r w:rsidRPr="005D599F">
        <w:rPr>
          <w:rStyle w:val="Strong"/>
          <w:rFonts w:cs="Arial"/>
          <w:b/>
          <w:bCs/>
          <w:color w:val="000000"/>
          <w:szCs w:val="20"/>
        </w:rPr>
        <w:t xml:space="preserve"> of labels</w:t>
      </w:r>
      <w:r w:rsidRPr="005D599F">
        <w:rPr>
          <w:rStyle w:val="apple-converted-space"/>
          <w:rFonts w:cs="Arial"/>
          <w:color w:val="000000"/>
          <w:szCs w:val="20"/>
        </w:rPr>
        <w:t> </w:t>
      </w:r>
      <w:r w:rsidRPr="005D599F">
        <w:rPr>
          <w:rFonts w:cs="Arial"/>
          <w:color w:val="000000"/>
          <w:szCs w:val="20"/>
        </w:rPr>
        <w:t>that depends on how those labels were produced. With 4b, every TE vendor trains its decoder to invert the</w:t>
      </w:r>
      <w:r w:rsidRPr="005D599F">
        <w:rPr>
          <w:rStyle w:val="apple-converted-space"/>
          <w:rFonts w:cs="Arial"/>
          <w:color w:val="000000"/>
          <w:szCs w:val="20"/>
        </w:rPr>
        <w:t> </w:t>
      </w:r>
      <w:r w:rsidRPr="005D599F">
        <w:rPr>
          <w:rStyle w:val="Emphasis"/>
          <w:rFonts w:cs="Arial"/>
          <w:color w:val="000000"/>
          <w:szCs w:val="20"/>
        </w:rPr>
        <w:t>same</w:t>
      </w:r>
      <w:r w:rsidRPr="005D599F">
        <w:rPr>
          <w:rStyle w:val="apple-converted-space"/>
          <w:rFonts w:cs="Arial"/>
          <w:color w:val="000000"/>
          <w:szCs w:val="20"/>
        </w:rPr>
        <w:t> </w:t>
      </w:r>
      <w:r w:rsidRPr="005D599F">
        <w:rPr>
          <w:rFonts w:cs="Arial"/>
          <w:color w:val="000000"/>
          <w:szCs w:val="20"/>
        </w:rPr>
        <w:t>encoder output distribution, so partial-structure freedom doesn’t break interoperability. In 4a, unless the labelled dataset was generated by that exact encoder</w:t>
      </w:r>
      <w:r>
        <w:rPr>
          <w:rFonts w:cs="Arial"/>
          <w:color w:val="000000"/>
          <w:szCs w:val="20"/>
        </w:rPr>
        <w:t>,</w:t>
      </w:r>
      <w:r w:rsidRPr="005D599F">
        <w:rPr>
          <w:rFonts w:cs="Arial"/>
          <w:color w:val="000000"/>
          <w:szCs w:val="20"/>
        </w:rPr>
        <w:t xml:space="preserve"> different “label sources” or updates can shift the latent space and re</w:t>
      </w:r>
      <w:r w:rsidRPr="005D599F">
        <w:rPr>
          <w:rFonts w:cs="Arial"/>
          <w:color w:val="000000"/>
          <w:szCs w:val="20"/>
        </w:rPr>
        <w:noBreakHyphen/>
        <w:t>open the mismatch problem. If those labels weren’t produced by</w:t>
      </w:r>
      <w:r w:rsidRPr="005D599F">
        <w:rPr>
          <w:rStyle w:val="apple-converted-space"/>
          <w:rFonts w:cs="Arial"/>
          <w:color w:val="000000"/>
          <w:szCs w:val="20"/>
        </w:rPr>
        <w:t> </w:t>
      </w:r>
      <w:r w:rsidRPr="005D599F">
        <w:rPr>
          <w:rStyle w:val="Strong"/>
          <w:rFonts w:cs="Arial"/>
          <w:b/>
          <w:bCs/>
          <w:color w:val="000000"/>
          <w:szCs w:val="20"/>
        </w:rPr>
        <w:t>the</w:t>
      </w:r>
      <w:r w:rsidRPr="005D599F">
        <w:rPr>
          <w:rStyle w:val="apple-converted-space"/>
          <w:rFonts w:cs="Arial"/>
          <w:color w:val="000000"/>
          <w:szCs w:val="20"/>
        </w:rPr>
        <w:t> </w:t>
      </w:r>
      <w:r w:rsidRPr="005D599F">
        <w:rPr>
          <w:rFonts w:cs="Arial"/>
          <w:color w:val="000000"/>
          <w:szCs w:val="20"/>
        </w:rPr>
        <w:t>frozen reference encoder, then every TE vendor will train its decoder toward a</w:t>
      </w:r>
      <w:r w:rsidRPr="005D599F">
        <w:rPr>
          <w:rStyle w:val="apple-converted-space"/>
          <w:rFonts w:cs="Arial"/>
          <w:color w:val="000000"/>
          <w:szCs w:val="20"/>
        </w:rPr>
        <w:t> </w:t>
      </w:r>
      <w:r w:rsidRPr="005D599F">
        <w:rPr>
          <w:rStyle w:val="Emphasis"/>
          <w:rFonts w:cs="Arial"/>
          <w:color w:val="000000"/>
          <w:szCs w:val="20"/>
        </w:rPr>
        <w:t>different</w:t>
      </w:r>
      <w:r w:rsidRPr="005D599F">
        <w:rPr>
          <w:rStyle w:val="apple-converted-space"/>
          <w:rFonts w:cs="Arial"/>
          <w:color w:val="000000"/>
          <w:szCs w:val="20"/>
        </w:rPr>
        <w:t> </w:t>
      </w:r>
      <w:r w:rsidRPr="005D599F">
        <w:rPr>
          <w:rFonts w:cs="Arial"/>
          <w:color w:val="000000"/>
          <w:szCs w:val="20"/>
        </w:rPr>
        <w:t>latent space.</w:t>
      </w:r>
    </w:p>
    <w:p w14:paraId="1F43ADBE" w14:textId="77777777" w:rsidR="00690D76" w:rsidRPr="005D599F" w:rsidRDefault="00690D76" w:rsidP="00690D76">
      <w:pPr>
        <w:pStyle w:val="Observation"/>
        <w:jc w:val="left"/>
        <w:rPr>
          <w:rFonts w:cs="Arial"/>
          <w:szCs w:val="20"/>
          <w:highlight w:val="yellow"/>
          <w:lang w:val="en-GB"/>
        </w:rPr>
      </w:pPr>
      <w:r>
        <w:rPr>
          <w:color w:val="000000"/>
        </w:rPr>
        <w:t xml:space="preserve">Option </w:t>
      </w:r>
      <w:r w:rsidRPr="005D599F">
        <w:rPr>
          <w:rStyle w:val="Strong"/>
          <w:rFonts w:cs="Arial"/>
          <w:b/>
          <w:bCs/>
          <w:color w:val="000000"/>
          <w:szCs w:val="20"/>
        </w:rPr>
        <w:t xml:space="preserve">4a collapses to </w:t>
      </w:r>
      <w:r>
        <w:rPr>
          <w:rStyle w:val="Strong"/>
          <w:rFonts w:cs="Arial"/>
          <w:b/>
          <w:bCs/>
          <w:color w:val="000000"/>
          <w:szCs w:val="20"/>
        </w:rPr>
        <w:t xml:space="preserve">Option </w:t>
      </w:r>
      <w:r w:rsidRPr="005D599F">
        <w:rPr>
          <w:rStyle w:val="Strong"/>
          <w:rFonts w:cs="Arial"/>
          <w:b/>
          <w:bCs/>
          <w:color w:val="000000"/>
          <w:szCs w:val="20"/>
        </w:rPr>
        <w:t xml:space="preserve">4b when the dataset is nothing more than the </w:t>
      </w:r>
      <w:r>
        <w:rPr>
          <w:rStyle w:val="Strong"/>
          <w:rFonts w:cs="Arial"/>
          <w:b/>
          <w:bCs/>
          <w:color w:val="000000"/>
          <w:szCs w:val="20"/>
        </w:rPr>
        <w:t>reference</w:t>
      </w:r>
      <w:r w:rsidRPr="005D599F">
        <w:rPr>
          <w:rStyle w:val="Strong"/>
          <w:rFonts w:cs="Arial"/>
          <w:b/>
          <w:bCs/>
          <w:color w:val="000000"/>
          <w:szCs w:val="20"/>
        </w:rPr>
        <w:t xml:space="preserve"> encoder’s outputs.</w:t>
      </w:r>
      <w:r>
        <w:rPr>
          <w:rStyle w:val="Strong"/>
          <w:rFonts w:cs="Arial"/>
          <w:b/>
          <w:bCs/>
          <w:color w:val="000000"/>
          <w:szCs w:val="20"/>
        </w:rPr>
        <w:t xml:space="preserve"> </w:t>
      </w:r>
      <w:r w:rsidRPr="005D599F">
        <w:rPr>
          <w:rFonts w:cs="Arial"/>
          <w:color w:val="000000"/>
          <w:szCs w:val="20"/>
        </w:rPr>
        <w:t>Concretely, if every label</w:t>
      </w:r>
      <w:r w:rsidRPr="005D599F">
        <w:rPr>
          <w:rStyle w:val="apple-converted-space"/>
          <w:rFonts w:cs="Arial"/>
          <w:color w:val="000000"/>
          <w:szCs w:val="20"/>
        </w:rPr>
        <w:t> </w:t>
      </w:r>
      <w:r w:rsidRPr="005D599F">
        <w:rPr>
          <w:rStyle w:val="katex-mathml"/>
          <w:rFonts w:cs="Arial"/>
          <w:color w:val="000000"/>
          <w:szCs w:val="20"/>
        </w:rPr>
        <w:t>c</w:t>
      </w:r>
      <w:r w:rsidRPr="005D599F">
        <w:rPr>
          <w:rStyle w:val="apple-converted-space"/>
          <w:rFonts w:cs="Arial"/>
          <w:color w:val="000000"/>
          <w:szCs w:val="20"/>
        </w:rPr>
        <w:t> </w:t>
      </w:r>
      <w:r w:rsidRPr="005D599F">
        <w:rPr>
          <w:rFonts w:cs="Arial"/>
          <w:color w:val="000000"/>
          <w:szCs w:val="20"/>
        </w:rPr>
        <w:t>in the 4a set is generated as</w:t>
      </w:r>
      <w:r w:rsidRPr="005D599F">
        <w:rPr>
          <w:rStyle w:val="apple-converted-space"/>
          <w:rFonts w:cs="Arial"/>
          <w:color w:val="000000"/>
          <w:szCs w:val="20"/>
        </w:rPr>
        <w:t> </w:t>
      </w:r>
      <w:r w:rsidRPr="005D599F">
        <w:rPr>
          <w:rStyle w:val="katex-mathml"/>
          <w:rFonts w:cs="Arial"/>
          <w:color w:val="000000"/>
          <w:szCs w:val="20"/>
        </w:rPr>
        <w:t>c=</w:t>
      </w:r>
      <w:proofErr w:type="spellStart"/>
      <w:r w:rsidRPr="005D599F">
        <w:rPr>
          <w:rStyle w:val="katex-mathml"/>
          <w:rFonts w:cs="Arial"/>
          <w:color w:val="000000"/>
          <w:szCs w:val="20"/>
        </w:rPr>
        <w:t>f</w:t>
      </w:r>
      <w:r>
        <w:rPr>
          <w:rStyle w:val="katex-mathml"/>
          <w:rFonts w:cs="Arial"/>
          <w:color w:val="000000"/>
          <w:szCs w:val="20"/>
        </w:rPr>
        <w:t>_</w:t>
      </w:r>
      <w:r w:rsidRPr="005D599F">
        <w:rPr>
          <w:rStyle w:val="katex-mathml"/>
          <w:rFonts w:cs="Arial"/>
          <w:color w:val="000000"/>
          <w:szCs w:val="20"/>
        </w:rPr>
        <w:t>ref</w:t>
      </w:r>
      <w:proofErr w:type="spellEnd"/>
      <w:r w:rsidRPr="005D599F">
        <w:rPr>
          <w:rStyle w:val="katex-mathml"/>
          <w:rFonts w:cs="Arial"/>
          <w:color w:val="000000"/>
          <w:szCs w:val="20"/>
        </w:rPr>
        <w:t>(H)</w:t>
      </w:r>
      <w:r>
        <w:rPr>
          <w:rStyle w:val="mord"/>
          <w:rFonts w:cs="Arial"/>
          <w:color w:val="000000"/>
          <w:szCs w:val="20"/>
        </w:rPr>
        <w:t xml:space="preserve"> </w:t>
      </w:r>
      <w:r w:rsidRPr="005D599F">
        <w:rPr>
          <w:rFonts w:cs="Arial"/>
          <w:color w:val="000000"/>
          <w:szCs w:val="20"/>
        </w:rPr>
        <w:t xml:space="preserve">by a single, fixed reference encoder (same weights, </w:t>
      </w:r>
      <w:r w:rsidRPr="0065471F">
        <w:rPr>
          <w:rFonts w:cs="Arial"/>
          <w:color w:val="000000"/>
          <w:szCs w:val="20"/>
        </w:rPr>
        <w:t>pre/post</w:t>
      </w:r>
      <w:r w:rsidRPr="0065471F">
        <w:rPr>
          <w:rFonts w:cs="Arial"/>
          <w:color w:val="000000"/>
          <w:szCs w:val="20"/>
        </w:rPr>
        <w:noBreakHyphen/>
        <w:t>processing, quantization) and TE vendors are required to train</w:t>
      </w:r>
      <w:r w:rsidRPr="005D599F">
        <w:rPr>
          <w:rFonts w:cs="Arial"/>
          <w:color w:val="000000"/>
          <w:szCs w:val="20"/>
        </w:rPr>
        <w:t xml:space="preserve"> on</w:t>
      </w:r>
      <w:r w:rsidRPr="005D599F">
        <w:rPr>
          <w:rStyle w:val="apple-converted-space"/>
          <w:rFonts w:cs="Arial"/>
          <w:color w:val="000000"/>
          <w:szCs w:val="20"/>
        </w:rPr>
        <w:t> </w:t>
      </w:r>
      <w:r w:rsidRPr="005D599F">
        <w:rPr>
          <w:rStyle w:val="Strong"/>
          <w:rFonts w:cs="Arial"/>
          <w:b/>
          <w:bCs/>
          <w:color w:val="000000"/>
          <w:szCs w:val="20"/>
        </w:rPr>
        <w:t>that</w:t>
      </w:r>
      <w:r w:rsidRPr="005D599F">
        <w:rPr>
          <w:rStyle w:val="apple-converted-space"/>
          <w:rFonts w:cs="Arial"/>
          <w:color w:val="000000"/>
          <w:szCs w:val="20"/>
        </w:rPr>
        <w:t> </w:t>
      </w:r>
      <w:r w:rsidRPr="005D599F">
        <w:rPr>
          <w:rFonts w:cs="Arial"/>
          <w:color w:val="000000"/>
          <w:szCs w:val="20"/>
        </w:rPr>
        <w:t>dataset</w:t>
      </w:r>
      <w:r>
        <w:rPr>
          <w:rFonts w:cs="Arial"/>
          <w:color w:val="000000"/>
          <w:szCs w:val="20"/>
        </w:rPr>
        <w:t xml:space="preserve">, </w:t>
      </w:r>
      <w:r w:rsidRPr="005D599F">
        <w:rPr>
          <w:rFonts w:cs="Arial"/>
          <w:color w:val="000000"/>
          <w:szCs w:val="20"/>
        </w:rPr>
        <w:t>then the latent space is anchored by</w:t>
      </w:r>
      <w:r w:rsidRPr="005D599F">
        <w:rPr>
          <w:rStyle w:val="apple-converted-space"/>
          <w:rFonts w:cs="Arial"/>
          <w:color w:val="000000"/>
          <w:szCs w:val="20"/>
        </w:rPr>
        <w:t> </w:t>
      </w:r>
      <w:proofErr w:type="spellStart"/>
      <w:r w:rsidRPr="005D599F">
        <w:rPr>
          <w:rStyle w:val="katex-mathml"/>
          <w:rFonts w:cs="Arial"/>
          <w:color w:val="000000"/>
          <w:szCs w:val="20"/>
        </w:rPr>
        <w:t>f</w:t>
      </w:r>
      <w:r>
        <w:rPr>
          <w:rStyle w:val="katex-mathml"/>
          <w:rFonts w:cs="Arial"/>
          <w:color w:val="000000"/>
          <w:szCs w:val="20"/>
        </w:rPr>
        <w:t>_</w:t>
      </w:r>
      <w:r w:rsidRPr="005D599F">
        <w:rPr>
          <w:rStyle w:val="katex-mathml"/>
          <w:rFonts w:cs="Arial"/>
          <w:color w:val="000000"/>
          <w:szCs w:val="20"/>
        </w:rPr>
        <w:t>ref</w:t>
      </w:r>
      <w:proofErr w:type="spellEnd"/>
      <w:r w:rsidRPr="005D599F">
        <w:rPr>
          <w:rStyle w:val="vlist-s"/>
          <w:rFonts w:cs="Arial"/>
          <w:color w:val="000000"/>
          <w:szCs w:val="20"/>
        </w:rPr>
        <w:t>​</w:t>
      </w:r>
      <w:r w:rsidRPr="005D599F">
        <w:rPr>
          <w:rStyle w:val="apple-converted-space"/>
          <w:rFonts w:cs="Arial"/>
          <w:color w:val="000000"/>
          <w:szCs w:val="20"/>
        </w:rPr>
        <w:t> </w:t>
      </w:r>
      <w:r w:rsidRPr="005D599F">
        <w:rPr>
          <w:rFonts w:cs="Arial"/>
          <w:color w:val="000000"/>
          <w:szCs w:val="20"/>
        </w:rPr>
        <w:t>just as in 4b. At that point: The encoder is effectively standardized</w:t>
      </w:r>
      <w:r>
        <w:rPr>
          <w:rFonts w:cs="Arial"/>
          <w:color w:val="000000"/>
          <w:szCs w:val="20"/>
        </w:rPr>
        <w:t xml:space="preserve">, </w:t>
      </w:r>
      <w:r w:rsidRPr="005D599F">
        <w:rPr>
          <w:rFonts w:cs="Arial"/>
          <w:color w:val="000000"/>
          <w:szCs w:val="20"/>
        </w:rPr>
        <w:t>only hidden inside the dataset. TE decoders are all learning to invert the same code distribution</w:t>
      </w:r>
      <w:r>
        <w:rPr>
          <w:rFonts w:cs="Arial"/>
          <w:color w:val="000000"/>
          <w:szCs w:val="20"/>
        </w:rPr>
        <w:t xml:space="preserve">. </w:t>
      </w:r>
      <w:r w:rsidRPr="005D599F">
        <w:rPr>
          <w:rFonts w:cs="Arial"/>
          <w:color w:val="000000"/>
          <w:szCs w:val="20"/>
        </w:rPr>
        <w:t>Thus the “dataset-anchored” option (4a) becomes functionally identical to the “encoder-anchored” option (4b)</w:t>
      </w:r>
    </w:p>
    <w:p w14:paraId="026D1922" w14:textId="77777777" w:rsidR="00690D76" w:rsidRPr="0065471F" w:rsidRDefault="00690D76" w:rsidP="00690D76">
      <w:pPr>
        <w:pStyle w:val="Observation"/>
        <w:jc w:val="left"/>
        <w:rPr>
          <w:rFonts w:cs="Arial"/>
          <w:szCs w:val="20"/>
          <w:lang w:val="en-GB"/>
        </w:rPr>
      </w:pPr>
      <w:r w:rsidRPr="0065471F">
        <w:rPr>
          <w:rFonts w:cs="Arial"/>
          <w:color w:val="000000"/>
          <w:szCs w:val="20"/>
        </w:rPr>
        <w:t xml:space="preserve">Option 3 and Option 4 become effectively identical when all the flexibility intended for Option 4 is removed. This happens if: (1) the TE test decoder is fully specified and identical for all vendors, (2) everyone uses the same mixed/reference dataset, (3) no vendor-specific “own” decoder or retraining is used </w:t>
      </w:r>
      <w:r>
        <w:rPr>
          <w:rFonts w:cs="Arial"/>
          <w:color w:val="000000"/>
          <w:szCs w:val="20"/>
        </w:rPr>
        <w:t>at</w:t>
      </w:r>
      <w:r w:rsidRPr="0065471F">
        <w:rPr>
          <w:rFonts w:cs="Arial"/>
          <w:color w:val="000000"/>
          <w:szCs w:val="20"/>
        </w:rPr>
        <w:t xml:space="preserve"> </w:t>
      </w:r>
      <w:r>
        <w:rPr>
          <w:rFonts w:cs="Arial"/>
          <w:color w:val="000000"/>
          <w:szCs w:val="20"/>
        </w:rPr>
        <w:t xml:space="preserve">TE </w:t>
      </w:r>
      <w:r w:rsidRPr="0065471F">
        <w:rPr>
          <w:rFonts w:cs="Arial"/>
          <w:color w:val="000000"/>
          <w:szCs w:val="20"/>
        </w:rPr>
        <w:t>, and (4) any small freedoms in training setup (e.g., optimizer, seeds, pruning) are fixed or have no impact on the final decoder. In that case, Option 4’s “design-your-own decoder” path reduces to Option 3’s “use this frozen decoder,” with the same latent space, same weights, and same behavior. The two also converge if Option 4b’s frozen reference encoder and dataset yield a single common decoder that vendors simply adopt. Similarly, if Option 4a’s labelled dataset is generated by the same reference encoder and the decoder’s backbone and architecture are frozen, there’s no remaining design freedom</w:t>
      </w:r>
      <w:r>
        <w:rPr>
          <w:rFonts w:cs="Arial"/>
          <w:color w:val="000000"/>
          <w:szCs w:val="20"/>
        </w:rPr>
        <w:t xml:space="preserve">, </w:t>
      </w:r>
      <w:r w:rsidRPr="0065471F">
        <w:rPr>
          <w:rFonts w:cs="Arial"/>
          <w:color w:val="000000"/>
          <w:szCs w:val="20"/>
        </w:rPr>
        <w:t>making 4a essentially the same as Option 3</w:t>
      </w:r>
    </w:p>
    <w:p w14:paraId="2E69EF4A" w14:textId="77777777" w:rsidR="00690D76" w:rsidRPr="00065869" w:rsidRDefault="00690D76" w:rsidP="00690D76">
      <w:pPr>
        <w:pStyle w:val="Observation"/>
        <w:jc w:val="left"/>
        <w:rPr>
          <w:rFonts w:cs="Arial"/>
          <w:szCs w:val="20"/>
          <w:lang w:val="en-GB"/>
        </w:rPr>
      </w:pPr>
      <w:r w:rsidRPr="00065869">
        <w:rPr>
          <w:rFonts w:cs="Arial"/>
          <w:color w:val="000000"/>
          <w:szCs w:val="20"/>
        </w:rPr>
        <w:t>Option 4b lets refresh the</w:t>
      </w:r>
      <w:r w:rsidRPr="00065869">
        <w:rPr>
          <w:rStyle w:val="apple-converted-space"/>
          <w:rFonts w:cs="Arial"/>
          <w:color w:val="000000"/>
          <w:szCs w:val="20"/>
        </w:rPr>
        <w:t> </w:t>
      </w:r>
      <w:r w:rsidRPr="00065869">
        <w:rPr>
          <w:rStyle w:val="Strong"/>
          <w:rFonts w:cs="Arial"/>
          <w:b/>
          <w:bCs/>
          <w:color w:val="000000"/>
          <w:szCs w:val="20"/>
        </w:rPr>
        <w:t>training component</w:t>
      </w:r>
      <w:r>
        <w:rPr>
          <w:rStyle w:val="Strong"/>
          <w:rFonts w:cs="Arial"/>
          <w:b/>
          <w:bCs/>
          <w:color w:val="000000"/>
          <w:szCs w:val="20"/>
        </w:rPr>
        <w:t xml:space="preserve">s for test decoder </w:t>
      </w:r>
      <w:r w:rsidRPr="00065869">
        <w:rPr>
          <w:rStyle w:val="apple-converted-space"/>
          <w:rFonts w:cs="Arial"/>
          <w:color w:val="000000"/>
          <w:szCs w:val="20"/>
        </w:rPr>
        <w:t>(</w:t>
      </w:r>
      <w:r w:rsidRPr="00065869">
        <w:rPr>
          <w:rFonts w:cs="Arial"/>
          <w:color w:val="000000"/>
          <w:szCs w:val="20"/>
        </w:rPr>
        <w:t>dataset and/or frozen reference encoder) instead of re-freezing and re-specifying a new decoder every time channels change</w:t>
      </w:r>
      <w:r>
        <w:rPr>
          <w:rFonts w:cs="Arial"/>
          <w:color w:val="000000"/>
          <w:szCs w:val="20"/>
        </w:rPr>
        <w:t xml:space="preserve"> as in Option 3</w:t>
      </w:r>
      <w:r w:rsidRPr="00065869">
        <w:rPr>
          <w:rFonts w:cs="Arial"/>
          <w:color w:val="000000"/>
          <w:szCs w:val="20"/>
        </w:rPr>
        <w:t>. TE vendors can retrain their test decoders on the updated data within the same structural envelope, so the spec stays stable while the models adapt. Option 3 would require publishing a brand</w:t>
      </w:r>
      <w:r w:rsidRPr="00065869">
        <w:rPr>
          <w:rFonts w:cs="Arial"/>
          <w:color w:val="000000"/>
          <w:szCs w:val="20"/>
        </w:rPr>
        <w:noBreakHyphen/>
        <w:t>new frozen decoder (and re-certifying everyone) whenever the channel model set evolves</w:t>
      </w:r>
    </w:p>
    <w:p w14:paraId="5F69EC0F" w14:textId="310DBDBB" w:rsidR="006E1C82" w:rsidRDefault="006E1C82" w:rsidP="008E065E">
      <w:pPr>
        <w:pStyle w:val="BodyText"/>
        <w:rPr>
          <w:b/>
          <w:bCs/>
        </w:rPr>
      </w:pPr>
    </w:p>
    <w:p w14:paraId="7D91EC5D" w14:textId="77777777" w:rsidR="006E1C82" w:rsidRDefault="006E1C82" w:rsidP="008E065E">
      <w:pPr>
        <w:pStyle w:val="BodyText"/>
        <w:rPr>
          <w:b/>
          <w:bCs/>
        </w:rPr>
      </w:pPr>
    </w:p>
    <w:p w14:paraId="051D1071" w14:textId="1F39446D" w:rsidR="00690D76" w:rsidRPr="00F94E27" w:rsidRDefault="008E065E" w:rsidP="00F94E2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F29007" w14:textId="77777777" w:rsidR="00737F47" w:rsidRPr="00737F47" w:rsidRDefault="00737F47" w:rsidP="00737F47">
      <w:pPr>
        <w:pStyle w:val="Proposal"/>
        <w:numPr>
          <w:ilvl w:val="0"/>
          <w:numId w:val="43"/>
        </w:numPr>
        <w:rPr>
          <w:rFonts w:cs="Arial"/>
          <w:szCs w:val="20"/>
          <w:lang w:val="en-GB"/>
        </w:rPr>
      </w:pPr>
      <w:r w:rsidRPr="00737F47">
        <w:rPr>
          <w:rFonts w:cs="Arial"/>
          <w:color w:val="000000"/>
          <w:szCs w:val="20"/>
        </w:rPr>
        <w:t>RAN4 should standardize a</w:t>
      </w:r>
      <w:r w:rsidRPr="00737F47">
        <w:rPr>
          <w:rStyle w:val="apple-converted-space"/>
          <w:rFonts w:cs="Arial"/>
          <w:color w:val="000000"/>
          <w:szCs w:val="20"/>
        </w:rPr>
        <w:t> </w:t>
      </w:r>
      <w:r w:rsidRPr="00737F47">
        <w:rPr>
          <w:rStyle w:val="Emphasis"/>
          <w:rFonts w:cs="Arial"/>
          <w:color w:val="000000"/>
          <w:szCs w:val="20"/>
        </w:rPr>
        <w:t>single</w:t>
      </w:r>
      <w:r w:rsidRPr="00737F47">
        <w:rPr>
          <w:rStyle w:val="apple-converted-space"/>
          <w:rFonts w:cs="Arial"/>
          <w:color w:val="000000"/>
          <w:szCs w:val="20"/>
        </w:rPr>
        <w:t> </w:t>
      </w:r>
      <w:r w:rsidRPr="00737F47">
        <w:rPr>
          <w:rFonts w:cs="Arial"/>
          <w:color w:val="000000"/>
          <w:szCs w:val="20"/>
        </w:rPr>
        <w:t xml:space="preserve">frozen backbone test decoder and one associated reference encoder, trained on a sufficiently diverse dataset covering agreed frequency bands, environments, mobility profiles, antenna configurations, and SNR ranges. </w:t>
      </w:r>
      <w:r w:rsidRPr="00737F47">
        <w:rPr>
          <w:rFonts w:cs="Arial"/>
          <w:color w:val="000000"/>
          <w:szCs w:val="20"/>
        </w:rPr>
        <w:lastRenderedPageBreak/>
        <w:t>Additional full decoders shall only be added if objective evidence (e.g., agreed NMSE or SGCS spread thresholds across distinct requirement scenarios) proves that a single backbone cannot meet performance requirements. This ensures interoperability while avoiding unnecessary proliferation of large decoder models.</w:t>
      </w:r>
    </w:p>
    <w:p w14:paraId="228C13FE" w14:textId="77777777" w:rsidR="00737F47" w:rsidRPr="00E27886" w:rsidRDefault="00737F47" w:rsidP="00737F47">
      <w:pPr>
        <w:pStyle w:val="Proposal"/>
        <w:rPr>
          <w:rFonts w:cs="Arial"/>
          <w:color w:val="000000"/>
          <w:szCs w:val="20"/>
          <w:lang w:val="en-GB"/>
        </w:rPr>
      </w:pPr>
      <w:r w:rsidRPr="00E27886">
        <w:rPr>
          <w:rStyle w:val="Strong"/>
          <w:rFonts w:cs="Arial"/>
          <w:color w:val="000000"/>
          <w:szCs w:val="20"/>
        </w:rPr>
        <w:t>Adopt Backbone + Scenario-Specific Adapter Framework</w:t>
      </w:r>
      <w:r w:rsidRPr="00E27886">
        <w:rPr>
          <w:rFonts w:cs="Arial"/>
          <w:color w:val="000000"/>
          <w:szCs w:val="20"/>
        </w:rPr>
        <w:br/>
        <w:t>For scenarios where performance with the single backbone falls short, RAN4 should adopt a backbone + adapter architecture. The frozen backbone defines a common latent space for interoperability, while small, scenario-specific adapters are trained using targeted datasets to specialize the backbone. The backbone remains unchanged across scenarios, ensuring stability; only adapters are trained and validated, minimizing storage, maintenance</w:t>
      </w:r>
      <w:r>
        <w:rPr>
          <w:rFonts w:cs="Arial"/>
          <w:color w:val="000000"/>
          <w:szCs w:val="20"/>
        </w:rPr>
        <w:t>.</w:t>
      </w:r>
    </w:p>
    <w:p w14:paraId="72E7BAA2" w14:textId="77777777" w:rsidR="00737F47" w:rsidRPr="00E27886" w:rsidRDefault="00737F47" w:rsidP="00737F47">
      <w:pPr>
        <w:pStyle w:val="Proposal"/>
        <w:rPr>
          <w:rFonts w:cs="Arial"/>
          <w:color w:val="000000"/>
          <w:szCs w:val="20"/>
          <w:lang w:val="en-GB"/>
        </w:rPr>
      </w:pPr>
      <w:r>
        <w:rPr>
          <w:rStyle w:val="Strong"/>
          <w:color w:val="000000"/>
        </w:rPr>
        <w:t>On-Demand Adapter Generation Using Standardized Datasets</w:t>
      </w:r>
      <w:r>
        <w:rPr>
          <w:color w:val="000000"/>
        </w:rPr>
        <w:br/>
      </w:r>
      <w:r w:rsidRPr="00E27886">
        <w:rPr>
          <w:rFonts w:cs="Arial"/>
          <w:color w:val="000000"/>
          <w:szCs w:val="20"/>
        </w:rPr>
        <w:t>Instead of storing multiple pre-trained adapters, RAN4 should specify that new adapters be generated on demand during certification. For each new scenario, only the scenario-specific dataset and simulation assumptions are standardized. The adapter is trained on this dataset at certification time and combined with the frozen backbone to form the test decoder for that scenario. This approach eliminates per-scenario versioning overhead, reduces TE storage requirements, and ensures scalability when supporting future channel models or deployment conditions.</w:t>
      </w:r>
    </w:p>
    <w:p w14:paraId="3EEFBE01" w14:textId="77777777" w:rsidR="00737F47" w:rsidRDefault="00737F47" w:rsidP="00737F47">
      <w:pPr>
        <w:pStyle w:val="NormalWeb"/>
        <w:rPr>
          <w:rFonts w:ascii="Arial" w:hAnsi="Arial" w:cs="Arial"/>
          <w:color w:val="000000"/>
          <w:sz w:val="20"/>
          <w:szCs w:val="20"/>
        </w:rPr>
      </w:pPr>
    </w:p>
    <w:p w14:paraId="0E590E73" w14:textId="77777777" w:rsidR="00737F47" w:rsidRPr="004C4E3F" w:rsidRDefault="00737F47" w:rsidP="00737F47">
      <w:pPr>
        <w:pStyle w:val="Proposal"/>
        <w:rPr>
          <w:rFonts w:cs="Arial"/>
          <w:szCs w:val="20"/>
          <w:lang w:val="en-GB"/>
        </w:rPr>
      </w:pPr>
      <w:r w:rsidRPr="004C4E3F">
        <w:rPr>
          <w:rFonts w:cs="Arial"/>
          <w:color w:val="000000"/>
          <w:szCs w:val="20"/>
        </w:rPr>
        <w:t>To determine if more than one test decoder is needed, we propose a simulation framework for</w:t>
      </w:r>
      <w:r w:rsidRPr="004C4E3F">
        <w:rPr>
          <w:rStyle w:val="apple-converted-space"/>
          <w:rFonts w:cs="Arial"/>
          <w:color w:val="000000"/>
          <w:szCs w:val="20"/>
        </w:rPr>
        <w:t> </w:t>
      </w:r>
      <w:r w:rsidRPr="004C4E3F">
        <w:rPr>
          <w:rStyle w:val="Strong"/>
          <w:rFonts w:cs="Arial"/>
          <w:b/>
          <w:bCs/>
          <w:color w:val="000000"/>
          <w:szCs w:val="20"/>
        </w:rPr>
        <w:t>Test-Decoder Deployment Variability Assessment</w:t>
      </w:r>
      <w:r w:rsidRPr="004C4E3F">
        <w:rPr>
          <w:rFonts w:cs="Arial"/>
          <w:color w:val="000000"/>
          <w:szCs w:val="20"/>
        </w:rPr>
        <w:t>. Three model families are trained: (</w:t>
      </w:r>
      <w:proofErr w:type="spellStart"/>
      <w:r w:rsidRPr="004C4E3F">
        <w:rPr>
          <w:rFonts w:cs="Arial"/>
          <w:color w:val="000000"/>
          <w:szCs w:val="20"/>
        </w:rPr>
        <w:t>i</w:t>
      </w:r>
      <w:proofErr w:type="spellEnd"/>
      <w:r w:rsidRPr="004C4E3F">
        <w:rPr>
          <w:rFonts w:cs="Arial"/>
          <w:color w:val="000000"/>
          <w:szCs w:val="20"/>
        </w:rPr>
        <w:t>) a universal model, (ii) standalone per-scenario models, and (iii) a hybrid with a shared backbone plus scenario-specific experts. Scenarios vary in carrier frequency, antenna configuration, user speed, environment, and SNR; evaluation is on both seen and unseen scenarios. Comparing “diagonal” errors (model tested on its own scenario) with “off-diagonal” errors (tested on other scenarios) reveals when multiple decoders are necessary and whether compact expert heads can match standalone model accuracy with better scalability.</w:t>
      </w:r>
    </w:p>
    <w:p w14:paraId="098BFC57" w14:textId="77777777" w:rsidR="00737F47" w:rsidRPr="00594436" w:rsidRDefault="00737F47" w:rsidP="00737F47">
      <w:pPr>
        <w:pStyle w:val="Proposal"/>
        <w:rPr>
          <w:rFonts w:cs="Arial"/>
          <w:szCs w:val="20"/>
          <w:lang w:val="en-GB"/>
        </w:rPr>
      </w:pPr>
      <w:r w:rsidRPr="0029437E">
        <w:rPr>
          <w:rFonts w:cs="Arial"/>
          <w:color w:val="000000"/>
          <w:szCs w:val="20"/>
        </w:rPr>
        <w:t>RAN4 shall retain a single reference encoder per frozen test decoder, selecting the lowest</w:t>
      </w:r>
      <w:r w:rsidRPr="0029437E">
        <w:rPr>
          <w:rFonts w:cs="Arial"/>
          <w:color w:val="000000"/>
          <w:szCs w:val="20"/>
        </w:rPr>
        <w:noBreakHyphen/>
        <w:t xml:space="preserve">complexity encoder that still meets the agreed performance target; additional reference encoders would be justified only if RAN4 explicitly defines distinct performance tiers tied to UE capability classes. </w:t>
      </w:r>
    </w:p>
    <w:p w14:paraId="5A5C4FAC" w14:textId="77777777" w:rsidR="00737F47" w:rsidRPr="00594436" w:rsidRDefault="00737F47" w:rsidP="00737F47">
      <w:pPr>
        <w:pStyle w:val="Proposal"/>
        <w:rPr>
          <w:rFonts w:cs="Arial"/>
          <w:szCs w:val="20"/>
          <w:lang w:val="en-GB" w:eastAsia="ja-JP"/>
        </w:rPr>
      </w:pPr>
      <w:r w:rsidRPr="00594436">
        <w:rPr>
          <w:rFonts w:cs="Arial"/>
          <w:color w:val="000000"/>
          <w:szCs w:val="20"/>
          <w:lang w:val="en-GB"/>
        </w:rPr>
        <w:t>If RAN4 defines distinct performance tiers,</w:t>
      </w:r>
      <w:r w:rsidRPr="00594436">
        <w:rPr>
          <w:rFonts w:cs="Arial"/>
          <w:color w:val="000000"/>
          <w:szCs w:val="20"/>
        </w:rPr>
        <w:t xml:space="preserve"> RAN4 needs to set the exact convergence metric (SGCS, NMSE) define the capability tiers and their minimum performance floors </w:t>
      </w:r>
    </w:p>
    <w:p w14:paraId="226970EC" w14:textId="77777777" w:rsidR="00737F47" w:rsidRPr="00065869" w:rsidRDefault="00737F47" w:rsidP="00737F47">
      <w:pPr>
        <w:pStyle w:val="Observation"/>
        <w:numPr>
          <w:ilvl w:val="0"/>
          <w:numId w:val="0"/>
        </w:numPr>
        <w:jc w:val="left"/>
        <w:rPr>
          <w:rFonts w:cs="Arial"/>
          <w:color w:val="000000"/>
          <w:szCs w:val="20"/>
        </w:rPr>
      </w:pPr>
    </w:p>
    <w:p w14:paraId="421DD5BE" w14:textId="77777777" w:rsidR="00737F47" w:rsidRPr="00651BEB" w:rsidRDefault="00737F47" w:rsidP="00737F47">
      <w:pPr>
        <w:pStyle w:val="Proposal"/>
        <w:rPr>
          <w:rFonts w:cs="Arial"/>
          <w:szCs w:val="20"/>
          <w:lang w:val="en-GB"/>
        </w:rPr>
      </w:pPr>
      <w:r w:rsidRPr="00651BEB">
        <w:rPr>
          <w:rFonts w:cs="Arial"/>
          <w:color w:val="000000"/>
          <w:szCs w:val="20"/>
        </w:rPr>
        <w:t>Keep Option 3 as the baseline while maturing Option 4b, with pre</w:t>
      </w:r>
      <w:r w:rsidRPr="00651BEB">
        <w:rPr>
          <w:rFonts w:cs="Arial"/>
          <w:color w:val="000000"/>
          <w:szCs w:val="20"/>
        </w:rPr>
        <w:noBreakHyphen/>
        <w:t>agreed exit criteria to drop one path later. RAN4 should standardize a single frozen test decoder (Option 3) and its one reference encoder, guaranteeing immediate, low</w:t>
      </w:r>
      <w:r w:rsidRPr="00651BEB">
        <w:rPr>
          <w:rFonts w:cs="Arial"/>
          <w:color w:val="000000"/>
          <w:szCs w:val="20"/>
        </w:rPr>
        <w:noBreakHyphen/>
        <w:t>risk interoperability. In parallel, RAN4 should formalize Option 4b TE</w:t>
      </w:r>
      <w:r w:rsidRPr="00651BEB">
        <w:rPr>
          <w:rFonts w:cs="Arial"/>
          <w:color w:val="000000"/>
          <w:szCs w:val="20"/>
        </w:rPr>
        <w:noBreakHyphen/>
        <w:t xml:space="preserve">designed test decoders trained against a frozen reference encoder (and common/aligned dataset) under a partially specified structure to gain flexibility for future channel models, hardware targets, and innovation. Option 4a is retained only insofar as its labelled dataset is produced by that same frozen encoder; </w:t>
      </w:r>
      <w:proofErr w:type="gramStart"/>
      <w:r w:rsidRPr="00651BEB">
        <w:rPr>
          <w:rFonts w:cs="Arial"/>
          <w:color w:val="000000"/>
          <w:szCs w:val="20"/>
        </w:rPr>
        <w:t>otherwise</w:t>
      </w:r>
      <w:proofErr w:type="gramEnd"/>
      <w:r w:rsidRPr="00651BEB">
        <w:rPr>
          <w:rFonts w:cs="Arial"/>
          <w:color w:val="000000"/>
          <w:szCs w:val="20"/>
        </w:rPr>
        <w:t xml:space="preserve"> it should be folded into 4b. </w:t>
      </w:r>
    </w:p>
    <w:p w14:paraId="0D9DA2DB" w14:textId="77777777" w:rsidR="00737F47" w:rsidRPr="006A24D9" w:rsidRDefault="00737F47" w:rsidP="00737F47">
      <w:pPr>
        <w:pStyle w:val="Proposal"/>
        <w:rPr>
          <w:rFonts w:cs="Arial"/>
          <w:szCs w:val="20"/>
          <w:lang w:val="en-GB"/>
        </w:rPr>
      </w:pPr>
      <w:r w:rsidRPr="0065471F">
        <w:rPr>
          <w:rFonts w:cs="Arial"/>
          <w:color w:val="000000"/>
          <w:szCs w:val="20"/>
        </w:rPr>
        <w:t>To prevent indefinite dual maintenance, RAN4 shall define quantitative “convergence” triggers before launching the joint trial: for example, SGCS (or NMSE) spread across vendors and scenarios ≤ 5 % (or ≤ 1 dB)</w:t>
      </w:r>
      <w:r w:rsidRPr="0065471F">
        <w:rPr>
          <w:rStyle w:val="apple-converted-space"/>
          <w:rFonts w:cs="Arial"/>
          <w:color w:val="000000"/>
          <w:szCs w:val="20"/>
        </w:rPr>
        <w:t> </w:t>
      </w:r>
      <w:r w:rsidRPr="0065471F">
        <w:rPr>
          <w:rStyle w:val="Strong"/>
          <w:rFonts w:cs="Arial"/>
          <w:b/>
          <w:bCs/>
          <w:color w:val="000000"/>
          <w:szCs w:val="20"/>
        </w:rPr>
        <w:t>and no loss of interoperability in cross-vendor tests compared to the Option 3 baseline</w:t>
      </w:r>
      <w:r w:rsidRPr="0065471F">
        <w:rPr>
          <w:rFonts w:cs="Arial"/>
          <w:color w:val="000000"/>
          <w:szCs w:val="20"/>
        </w:rPr>
        <w:t>. If Option 4b meets these thresholds, announce a sunset plan for Option 3 at a specific release boundary. If it does not, Option 3 remains the normative path and Option 4b reverts to an informative/experimental track until the gaps are closed.</w:t>
      </w:r>
    </w:p>
    <w:p w14:paraId="67B9B10E" w14:textId="39DA5570" w:rsidR="006A24D9" w:rsidRPr="00690D76" w:rsidRDefault="006A24D9" w:rsidP="006A24D9">
      <w:pPr>
        <w:pStyle w:val="Proposal"/>
        <w:tabs>
          <w:tab w:val="num" w:pos="1304"/>
        </w:tabs>
        <w:ind w:left="1304" w:hanging="1304"/>
        <w:rPr>
          <w:rFonts w:cs="Arial"/>
          <w:szCs w:val="20"/>
          <w:lang w:val="en-GB"/>
        </w:rPr>
      </w:pPr>
      <w:r w:rsidRPr="00690D76">
        <w:rPr>
          <w:rFonts w:cs="Arial"/>
          <w:color w:val="000000"/>
          <w:szCs w:val="20"/>
        </w:rPr>
        <w:lastRenderedPageBreak/>
        <w:t>For training the test decoder a standardized dataset collection ensures the test decoder is trained on data that realistically reflects wireless channel scenarios, producing a representative and interoperable latent space across vendors. RAN4 shall define a simulation framework covering frequency bands, environments, mobility, antenna setups, and SNR distributions. All companies must follow these simulation agreements, with dataset alignment verified via metrics like power spectral entropy (PSE). Proprietary datasets must demonstrate alignment or be adjusted accordingly</w:t>
      </w:r>
    </w:p>
    <w:p w14:paraId="120112B4" w14:textId="59CA494A" w:rsidR="006A24D9" w:rsidRPr="0065471F" w:rsidRDefault="006A24D9" w:rsidP="006A24D9">
      <w:pPr>
        <w:pStyle w:val="Proposal"/>
        <w:numPr>
          <w:ilvl w:val="0"/>
          <w:numId w:val="0"/>
        </w:numPr>
        <w:ind w:left="1701" w:hanging="1701"/>
        <w:rPr>
          <w:rFonts w:cs="Arial"/>
          <w:szCs w:val="20"/>
          <w:lang w:val="en-GB"/>
        </w:rPr>
      </w:pPr>
    </w:p>
    <w:p w14:paraId="6ACDE47A" w14:textId="77777777" w:rsidR="00690D76" w:rsidRPr="00737F47" w:rsidRDefault="00690D76" w:rsidP="00690D76">
      <w:pPr>
        <w:pStyle w:val="NormalWeb"/>
        <w:rPr>
          <w:rFonts w:ascii="Arial" w:hAnsi="Arial" w:cs="Arial"/>
          <w:color w:val="000000"/>
          <w:sz w:val="20"/>
          <w:szCs w:val="20"/>
          <w:lang w:val="en-GB"/>
        </w:rPr>
      </w:pPr>
    </w:p>
    <w:p w14:paraId="7D8BE2D7" w14:textId="77777777" w:rsidR="00690D76" w:rsidRPr="00594436" w:rsidRDefault="00690D76" w:rsidP="00737F47">
      <w:pPr>
        <w:pStyle w:val="Proposal"/>
        <w:numPr>
          <w:ilvl w:val="0"/>
          <w:numId w:val="0"/>
        </w:numPr>
        <w:ind w:left="1701" w:hanging="1701"/>
        <w:rPr>
          <w:rFonts w:cs="Arial"/>
          <w:szCs w:val="20"/>
          <w:lang w:val="en-GB" w:eastAsia="ja-JP"/>
        </w:rPr>
      </w:pPr>
    </w:p>
    <w:p w14:paraId="51027E58" w14:textId="77777777" w:rsidR="00690D76" w:rsidRPr="00690D76" w:rsidRDefault="00690D76" w:rsidP="00690D76">
      <w:pPr>
        <w:pStyle w:val="Proposal"/>
        <w:numPr>
          <w:ilvl w:val="0"/>
          <w:numId w:val="0"/>
        </w:numPr>
        <w:ind w:left="1701" w:hanging="1701"/>
        <w:rPr>
          <w:rFonts w:cs="Arial"/>
          <w:szCs w:val="20"/>
          <w:lang w:val="en-GB"/>
        </w:rPr>
      </w:pPr>
    </w:p>
    <w:p w14:paraId="715CA09B" w14:textId="77777777" w:rsidR="003A7EF3" w:rsidRPr="00690D76" w:rsidRDefault="003A7EF3" w:rsidP="00CE0424">
      <w:pPr>
        <w:pStyle w:val="BodyText"/>
        <w:rPr>
          <w:lang w:val="en-GB"/>
        </w:rPr>
      </w:pPr>
    </w:p>
    <w:sectPr w:rsidR="003A7EF3" w:rsidRPr="00690D7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26C26" w14:textId="77777777" w:rsidR="00553876" w:rsidRDefault="00553876">
      <w:r>
        <w:separator/>
      </w:r>
    </w:p>
  </w:endnote>
  <w:endnote w:type="continuationSeparator" w:id="0">
    <w:p w14:paraId="312830CB" w14:textId="77777777" w:rsidR="00553876" w:rsidRDefault="00553876">
      <w:r>
        <w:continuationSeparator/>
      </w:r>
    </w:p>
  </w:endnote>
  <w:endnote w:type="continuationNotice" w:id="1">
    <w:p w14:paraId="7AFA22F2" w14:textId="77777777" w:rsidR="00553876" w:rsidRDefault="005538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21BC0" w14:textId="77777777" w:rsidR="00553876" w:rsidRDefault="00553876">
      <w:r>
        <w:separator/>
      </w:r>
    </w:p>
  </w:footnote>
  <w:footnote w:type="continuationSeparator" w:id="0">
    <w:p w14:paraId="39F2837C" w14:textId="77777777" w:rsidR="00553876" w:rsidRDefault="00553876">
      <w:r>
        <w:continuationSeparator/>
      </w:r>
    </w:p>
  </w:footnote>
  <w:footnote w:type="continuationNotice" w:id="1">
    <w:p w14:paraId="65E59475" w14:textId="77777777" w:rsidR="00553876" w:rsidRDefault="005538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04C34"/>
    <w:multiLevelType w:val="hybridMultilevel"/>
    <w:tmpl w:val="72D0F396"/>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3F41CA"/>
    <w:multiLevelType w:val="multilevel"/>
    <w:tmpl w:val="0A3F41CA"/>
    <w:lvl w:ilvl="0">
      <w:numFmt w:val="bullet"/>
      <w:lvlText w:val="-"/>
      <w:lvlJc w:val="left"/>
      <w:pPr>
        <w:ind w:left="42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C849B2"/>
    <w:multiLevelType w:val="multilevel"/>
    <w:tmpl w:val="D194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0320AB"/>
    <w:multiLevelType w:val="hybridMultilevel"/>
    <w:tmpl w:val="D3420D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555AB0"/>
    <w:multiLevelType w:val="multilevel"/>
    <w:tmpl w:val="3190B7B8"/>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53DF8"/>
    <w:multiLevelType w:val="hybridMultilevel"/>
    <w:tmpl w:val="6F2A362E"/>
    <w:lvl w:ilvl="0" w:tplc="5E0C8130">
      <w:start w:val="2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87542EE8"/>
    <w:lvl w:ilvl="0" w:tplc="C6F2A61E">
      <w:start w:val="1"/>
      <w:numFmt w:val="decimal"/>
      <w:pStyle w:val="Observation"/>
      <w:lvlText w:val="Observation %1"/>
      <w:lvlJc w:val="left"/>
      <w:pPr>
        <w:ind w:left="360" w:hanging="360"/>
      </w:pPr>
      <w:rPr>
        <w:rFonts w:hint="default"/>
        <w:color w:val="000000" w:themeColor="text1"/>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B65C9"/>
    <w:multiLevelType w:val="hybridMultilevel"/>
    <w:tmpl w:val="6E3C67E2"/>
    <w:lvl w:ilvl="0" w:tplc="C4AEFABA">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2577E7"/>
    <w:multiLevelType w:val="multilevel"/>
    <w:tmpl w:val="39700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511956"/>
    <w:multiLevelType w:val="multilevel"/>
    <w:tmpl w:val="FD24D2FE"/>
    <w:lvl w:ilvl="0">
      <w:start w:val="1"/>
      <w:numFmt w:val="decimal"/>
      <w:lvlText w:val="%1."/>
      <w:lvlJc w:val="left"/>
      <w:pPr>
        <w:ind w:left="720" w:hanging="360"/>
      </w:pPr>
      <w:rPr>
        <w:rFonts w:ascii="Arial" w:hAnsi="Arial" w:hint="default"/>
        <w:sz w:val="2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4"/>
  </w:num>
  <w:num w:numId="2" w16cid:durableId="69813188">
    <w:abstractNumId w:val="23"/>
  </w:num>
  <w:num w:numId="3" w16cid:durableId="1922837493">
    <w:abstractNumId w:val="17"/>
  </w:num>
  <w:num w:numId="4" w16cid:durableId="266620704">
    <w:abstractNumId w:val="18"/>
  </w:num>
  <w:num w:numId="5" w16cid:durableId="980957859">
    <w:abstractNumId w:val="14"/>
  </w:num>
  <w:num w:numId="6" w16cid:durableId="1130905483">
    <w:abstractNumId w:val="22"/>
  </w:num>
  <w:num w:numId="7" w16cid:durableId="1818380057">
    <w:abstractNumId w:val="27"/>
  </w:num>
  <w:num w:numId="8" w16cid:durableId="1575555177">
    <w:abstractNumId w:val="15"/>
  </w:num>
  <w:num w:numId="9" w16cid:durableId="859859520">
    <w:abstractNumId w:val="13"/>
  </w:num>
  <w:num w:numId="10" w16cid:durableId="1996493083">
    <w:abstractNumId w:val="2"/>
  </w:num>
  <w:num w:numId="11" w16cid:durableId="2105683940">
    <w:abstractNumId w:val="1"/>
  </w:num>
  <w:num w:numId="12" w16cid:durableId="2046832553">
    <w:abstractNumId w:val="0"/>
  </w:num>
  <w:num w:numId="13" w16cid:durableId="282807018">
    <w:abstractNumId w:val="25"/>
  </w:num>
  <w:num w:numId="14" w16cid:durableId="826438824">
    <w:abstractNumId w:val="26"/>
  </w:num>
  <w:num w:numId="15" w16cid:durableId="689725159">
    <w:abstractNumId w:val="20"/>
  </w:num>
  <w:num w:numId="16" w16cid:durableId="10954744">
    <w:abstractNumId w:val="30"/>
  </w:num>
  <w:num w:numId="17" w16cid:durableId="183830960">
    <w:abstractNumId w:val="10"/>
  </w:num>
  <w:num w:numId="18" w16cid:durableId="1606114056">
    <w:abstractNumId w:val="12"/>
  </w:num>
  <w:num w:numId="19" w16cid:durableId="2129543684">
    <w:abstractNumId w:val="7"/>
  </w:num>
  <w:num w:numId="20" w16cid:durableId="1458717335">
    <w:abstractNumId w:val="36"/>
  </w:num>
  <w:num w:numId="21" w16cid:durableId="1670518138">
    <w:abstractNumId w:val="16"/>
  </w:num>
  <w:num w:numId="22" w16cid:durableId="350379046">
    <w:abstractNumId w:val="35"/>
  </w:num>
  <w:num w:numId="23" w16cid:durableId="1046178355">
    <w:abstractNumId w:val="8"/>
  </w:num>
  <w:num w:numId="24" w16cid:durableId="181667624">
    <w:abstractNumId w:val="29"/>
  </w:num>
  <w:num w:numId="25" w16cid:durableId="267397028">
    <w:abstractNumId w:val="21"/>
  </w:num>
  <w:num w:numId="26" w16cid:durableId="759181449">
    <w:abstractNumId w:val="24"/>
  </w:num>
  <w:num w:numId="27" w16cid:durableId="237907352">
    <w:abstractNumId w:val="28"/>
  </w:num>
  <w:num w:numId="28" w16cid:durableId="381056627">
    <w:abstractNumId w:val="31"/>
  </w:num>
  <w:num w:numId="29" w16cid:durableId="416709527">
    <w:abstractNumId w:val="9"/>
  </w:num>
  <w:num w:numId="30" w16cid:durableId="1439520934">
    <w:abstractNumId w:val="11"/>
  </w:num>
  <w:num w:numId="31" w16cid:durableId="1212227443">
    <w:abstractNumId w:val="34"/>
  </w:num>
  <w:num w:numId="32" w16cid:durableId="1884247865">
    <w:abstractNumId w:val="3"/>
  </w:num>
  <w:num w:numId="33" w16cid:durableId="2091657277">
    <w:abstractNumId w:val="32"/>
  </w:num>
  <w:num w:numId="34" w16cid:durableId="1336107452">
    <w:abstractNumId w:val="5"/>
  </w:num>
  <w:num w:numId="35" w16cid:durableId="894973272">
    <w:abstractNumId w:val="33"/>
  </w:num>
  <w:num w:numId="36" w16cid:durableId="1028993576">
    <w:abstractNumId w:val="6"/>
  </w:num>
  <w:num w:numId="37" w16cid:durableId="1724061636">
    <w:abstractNumId w:val="19"/>
  </w:num>
  <w:num w:numId="38" w16cid:durableId="121923731">
    <w:abstractNumId w:val="25"/>
    <w:lvlOverride w:ilvl="0">
      <w:startOverride w:val="1"/>
    </w:lvlOverride>
  </w:num>
  <w:num w:numId="39" w16cid:durableId="1444112196">
    <w:abstractNumId w:val="17"/>
    <w:lvlOverride w:ilvl="0">
      <w:startOverride w:val="1"/>
    </w:lvlOverride>
  </w:num>
  <w:num w:numId="40" w16cid:durableId="2144536284">
    <w:abstractNumId w:val="25"/>
    <w:lvlOverride w:ilvl="0">
      <w:startOverride w:val="1"/>
    </w:lvlOverride>
  </w:num>
  <w:num w:numId="41" w16cid:durableId="1552880383">
    <w:abstractNumId w:val="17"/>
    <w:lvlOverride w:ilvl="0">
      <w:startOverride w:val="1"/>
    </w:lvlOverride>
  </w:num>
  <w:num w:numId="42" w16cid:durableId="16124812">
    <w:abstractNumId w:val="17"/>
    <w:lvlOverride w:ilvl="0">
      <w:startOverride w:val="1"/>
    </w:lvlOverride>
  </w:num>
  <w:num w:numId="43" w16cid:durableId="753665921">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4D"/>
    <w:rsid w:val="00002A37"/>
    <w:rsid w:val="0000564C"/>
    <w:rsid w:val="00005A85"/>
    <w:rsid w:val="00006446"/>
    <w:rsid w:val="00006896"/>
    <w:rsid w:val="00007CDC"/>
    <w:rsid w:val="0001066F"/>
    <w:rsid w:val="00011B28"/>
    <w:rsid w:val="000120A5"/>
    <w:rsid w:val="000151EE"/>
    <w:rsid w:val="00015D15"/>
    <w:rsid w:val="00017558"/>
    <w:rsid w:val="00017C9E"/>
    <w:rsid w:val="00020785"/>
    <w:rsid w:val="0002564D"/>
    <w:rsid w:val="00025ECA"/>
    <w:rsid w:val="00031368"/>
    <w:rsid w:val="000325B8"/>
    <w:rsid w:val="00034C15"/>
    <w:rsid w:val="00035195"/>
    <w:rsid w:val="00035FEE"/>
    <w:rsid w:val="00036BA1"/>
    <w:rsid w:val="000422E2"/>
    <w:rsid w:val="00042F22"/>
    <w:rsid w:val="0004426E"/>
    <w:rsid w:val="000444EF"/>
    <w:rsid w:val="00044867"/>
    <w:rsid w:val="000505C5"/>
    <w:rsid w:val="00051DF2"/>
    <w:rsid w:val="00052A07"/>
    <w:rsid w:val="000534E3"/>
    <w:rsid w:val="0005606A"/>
    <w:rsid w:val="000560E9"/>
    <w:rsid w:val="000560FC"/>
    <w:rsid w:val="00056801"/>
    <w:rsid w:val="00057117"/>
    <w:rsid w:val="000610F1"/>
    <w:rsid w:val="000616E7"/>
    <w:rsid w:val="00062B01"/>
    <w:rsid w:val="0006487E"/>
    <w:rsid w:val="00065869"/>
    <w:rsid w:val="00065E1A"/>
    <w:rsid w:val="000700DE"/>
    <w:rsid w:val="00071649"/>
    <w:rsid w:val="000729D3"/>
    <w:rsid w:val="00077538"/>
    <w:rsid w:val="00077E5F"/>
    <w:rsid w:val="0008036A"/>
    <w:rsid w:val="00080EE7"/>
    <w:rsid w:val="00081A6A"/>
    <w:rsid w:val="00081AE6"/>
    <w:rsid w:val="000846B8"/>
    <w:rsid w:val="000855EB"/>
    <w:rsid w:val="00085B52"/>
    <w:rsid w:val="000866F2"/>
    <w:rsid w:val="00087560"/>
    <w:rsid w:val="00090099"/>
    <w:rsid w:val="0009009F"/>
    <w:rsid w:val="00090110"/>
    <w:rsid w:val="00090A26"/>
    <w:rsid w:val="00091557"/>
    <w:rsid w:val="000924C1"/>
    <w:rsid w:val="000924F0"/>
    <w:rsid w:val="00093474"/>
    <w:rsid w:val="00094315"/>
    <w:rsid w:val="00094708"/>
    <w:rsid w:val="0009510F"/>
    <w:rsid w:val="000A0255"/>
    <w:rsid w:val="000A1B7B"/>
    <w:rsid w:val="000A2ED0"/>
    <w:rsid w:val="000A3602"/>
    <w:rsid w:val="000A4343"/>
    <w:rsid w:val="000A4B97"/>
    <w:rsid w:val="000A56F2"/>
    <w:rsid w:val="000A74EE"/>
    <w:rsid w:val="000A767D"/>
    <w:rsid w:val="000B2064"/>
    <w:rsid w:val="000B212C"/>
    <w:rsid w:val="000B2719"/>
    <w:rsid w:val="000B3A8F"/>
    <w:rsid w:val="000B4AB9"/>
    <w:rsid w:val="000B4C25"/>
    <w:rsid w:val="000B58C3"/>
    <w:rsid w:val="000B5C19"/>
    <w:rsid w:val="000B61E9"/>
    <w:rsid w:val="000C165A"/>
    <w:rsid w:val="000C16A9"/>
    <w:rsid w:val="000C27BD"/>
    <w:rsid w:val="000C2E19"/>
    <w:rsid w:val="000C6279"/>
    <w:rsid w:val="000C7A82"/>
    <w:rsid w:val="000C7CA8"/>
    <w:rsid w:val="000D04E1"/>
    <w:rsid w:val="000D0D07"/>
    <w:rsid w:val="000D2015"/>
    <w:rsid w:val="000D3F8C"/>
    <w:rsid w:val="000D4797"/>
    <w:rsid w:val="000D484B"/>
    <w:rsid w:val="000D756E"/>
    <w:rsid w:val="000E0527"/>
    <w:rsid w:val="000E117E"/>
    <w:rsid w:val="000E1E92"/>
    <w:rsid w:val="000F0109"/>
    <w:rsid w:val="000F0345"/>
    <w:rsid w:val="000F06D6"/>
    <w:rsid w:val="000F0EB1"/>
    <w:rsid w:val="000F1106"/>
    <w:rsid w:val="000F3BE9"/>
    <w:rsid w:val="000F3F6C"/>
    <w:rsid w:val="000F6DF3"/>
    <w:rsid w:val="001005FF"/>
    <w:rsid w:val="001044FE"/>
    <w:rsid w:val="001062FB"/>
    <w:rsid w:val="001063E6"/>
    <w:rsid w:val="00113A76"/>
    <w:rsid w:val="00113CF4"/>
    <w:rsid w:val="00114BC0"/>
    <w:rsid w:val="001153EA"/>
    <w:rsid w:val="00115643"/>
    <w:rsid w:val="001156E4"/>
    <w:rsid w:val="00115A0D"/>
    <w:rsid w:val="00116765"/>
    <w:rsid w:val="00116BB0"/>
    <w:rsid w:val="00117840"/>
    <w:rsid w:val="001219F5"/>
    <w:rsid w:val="00121A20"/>
    <w:rsid w:val="00122599"/>
    <w:rsid w:val="00123339"/>
    <w:rsid w:val="0012334E"/>
    <w:rsid w:val="0012377F"/>
    <w:rsid w:val="00124314"/>
    <w:rsid w:val="00124720"/>
    <w:rsid w:val="00126B4A"/>
    <w:rsid w:val="00132E7B"/>
    <w:rsid w:val="00132FD0"/>
    <w:rsid w:val="00133738"/>
    <w:rsid w:val="001344C0"/>
    <w:rsid w:val="001346FA"/>
    <w:rsid w:val="00135252"/>
    <w:rsid w:val="00136E0A"/>
    <w:rsid w:val="00137AB5"/>
    <w:rsid w:val="00137F0B"/>
    <w:rsid w:val="001415B3"/>
    <w:rsid w:val="00141669"/>
    <w:rsid w:val="00150AA3"/>
    <w:rsid w:val="00151125"/>
    <w:rsid w:val="001512D3"/>
    <w:rsid w:val="00151E23"/>
    <w:rsid w:val="001526E0"/>
    <w:rsid w:val="001551B5"/>
    <w:rsid w:val="00155A9D"/>
    <w:rsid w:val="00157050"/>
    <w:rsid w:val="00157698"/>
    <w:rsid w:val="00157905"/>
    <w:rsid w:val="001600C6"/>
    <w:rsid w:val="001605EF"/>
    <w:rsid w:val="00161A28"/>
    <w:rsid w:val="0016208B"/>
    <w:rsid w:val="0016452D"/>
    <w:rsid w:val="001659C1"/>
    <w:rsid w:val="001661A2"/>
    <w:rsid w:val="00170A36"/>
    <w:rsid w:val="00170B37"/>
    <w:rsid w:val="001722C3"/>
    <w:rsid w:val="00173A8E"/>
    <w:rsid w:val="0017421D"/>
    <w:rsid w:val="0017502C"/>
    <w:rsid w:val="00180587"/>
    <w:rsid w:val="0018143F"/>
    <w:rsid w:val="00181FF8"/>
    <w:rsid w:val="001821BD"/>
    <w:rsid w:val="00183CB9"/>
    <w:rsid w:val="00183D4E"/>
    <w:rsid w:val="00185B3E"/>
    <w:rsid w:val="001863A8"/>
    <w:rsid w:val="00190AC1"/>
    <w:rsid w:val="00192162"/>
    <w:rsid w:val="00192411"/>
    <w:rsid w:val="0019341A"/>
    <w:rsid w:val="001946D2"/>
    <w:rsid w:val="00195A45"/>
    <w:rsid w:val="001969B4"/>
    <w:rsid w:val="00197DF9"/>
    <w:rsid w:val="001A15F7"/>
    <w:rsid w:val="001A1987"/>
    <w:rsid w:val="001A2564"/>
    <w:rsid w:val="001A26F7"/>
    <w:rsid w:val="001A4C20"/>
    <w:rsid w:val="001A592D"/>
    <w:rsid w:val="001A5D2E"/>
    <w:rsid w:val="001A6173"/>
    <w:rsid w:val="001A6CBA"/>
    <w:rsid w:val="001B0D97"/>
    <w:rsid w:val="001B1203"/>
    <w:rsid w:val="001B14D8"/>
    <w:rsid w:val="001B2AF4"/>
    <w:rsid w:val="001B3ADB"/>
    <w:rsid w:val="001B582C"/>
    <w:rsid w:val="001B5A5D"/>
    <w:rsid w:val="001C18C7"/>
    <w:rsid w:val="001C1CE5"/>
    <w:rsid w:val="001C3AD3"/>
    <w:rsid w:val="001C3D2A"/>
    <w:rsid w:val="001C4DF7"/>
    <w:rsid w:val="001C573B"/>
    <w:rsid w:val="001D14ED"/>
    <w:rsid w:val="001D1B55"/>
    <w:rsid w:val="001D2F1D"/>
    <w:rsid w:val="001D39A2"/>
    <w:rsid w:val="001D4403"/>
    <w:rsid w:val="001D4A18"/>
    <w:rsid w:val="001D51BA"/>
    <w:rsid w:val="001D5261"/>
    <w:rsid w:val="001D53E7"/>
    <w:rsid w:val="001D5602"/>
    <w:rsid w:val="001D6342"/>
    <w:rsid w:val="001D6D53"/>
    <w:rsid w:val="001D779D"/>
    <w:rsid w:val="001D781D"/>
    <w:rsid w:val="001E1F3F"/>
    <w:rsid w:val="001E2833"/>
    <w:rsid w:val="001E58E2"/>
    <w:rsid w:val="001E6588"/>
    <w:rsid w:val="001E7AED"/>
    <w:rsid w:val="001F0DE4"/>
    <w:rsid w:val="001F36D7"/>
    <w:rsid w:val="001F3916"/>
    <w:rsid w:val="001F54C5"/>
    <w:rsid w:val="001F662C"/>
    <w:rsid w:val="001F7074"/>
    <w:rsid w:val="00200490"/>
    <w:rsid w:val="00201723"/>
    <w:rsid w:val="00201F3A"/>
    <w:rsid w:val="00203F96"/>
    <w:rsid w:val="002069B2"/>
    <w:rsid w:val="00207FA3"/>
    <w:rsid w:val="00212D00"/>
    <w:rsid w:val="0021408D"/>
    <w:rsid w:val="002147DB"/>
    <w:rsid w:val="00214DA8"/>
    <w:rsid w:val="00215423"/>
    <w:rsid w:val="002158FA"/>
    <w:rsid w:val="00217A7A"/>
    <w:rsid w:val="00220600"/>
    <w:rsid w:val="00220B50"/>
    <w:rsid w:val="002224DB"/>
    <w:rsid w:val="0022342F"/>
    <w:rsid w:val="002236CC"/>
    <w:rsid w:val="00223FCB"/>
    <w:rsid w:val="002246FE"/>
    <w:rsid w:val="00224727"/>
    <w:rsid w:val="00225062"/>
    <w:rsid w:val="002252C3"/>
    <w:rsid w:val="00225C54"/>
    <w:rsid w:val="0022787C"/>
    <w:rsid w:val="00230765"/>
    <w:rsid w:val="00230D18"/>
    <w:rsid w:val="00231883"/>
    <w:rsid w:val="002319E4"/>
    <w:rsid w:val="00231A3D"/>
    <w:rsid w:val="00232C4C"/>
    <w:rsid w:val="00235155"/>
    <w:rsid w:val="00235632"/>
    <w:rsid w:val="00235872"/>
    <w:rsid w:val="002376C9"/>
    <w:rsid w:val="00237CFD"/>
    <w:rsid w:val="00241559"/>
    <w:rsid w:val="002435B3"/>
    <w:rsid w:val="002458EB"/>
    <w:rsid w:val="00246B17"/>
    <w:rsid w:val="0024756A"/>
    <w:rsid w:val="002475DA"/>
    <w:rsid w:val="002500C8"/>
    <w:rsid w:val="002512C8"/>
    <w:rsid w:val="00257543"/>
    <w:rsid w:val="00257EE9"/>
    <w:rsid w:val="002617E7"/>
    <w:rsid w:val="00264228"/>
    <w:rsid w:val="00264334"/>
    <w:rsid w:val="0026473E"/>
    <w:rsid w:val="0026484C"/>
    <w:rsid w:val="00266214"/>
    <w:rsid w:val="00267863"/>
    <w:rsid w:val="00267C83"/>
    <w:rsid w:val="0027144F"/>
    <w:rsid w:val="00271813"/>
    <w:rsid w:val="002718B9"/>
    <w:rsid w:val="00271F3A"/>
    <w:rsid w:val="002720BD"/>
    <w:rsid w:val="00272477"/>
    <w:rsid w:val="00272CD1"/>
    <w:rsid w:val="00273278"/>
    <w:rsid w:val="002737F4"/>
    <w:rsid w:val="00273F5C"/>
    <w:rsid w:val="00275221"/>
    <w:rsid w:val="00275BAB"/>
    <w:rsid w:val="002805F5"/>
    <w:rsid w:val="00280751"/>
    <w:rsid w:val="002825F5"/>
    <w:rsid w:val="0028280A"/>
    <w:rsid w:val="00282C7F"/>
    <w:rsid w:val="00282CE0"/>
    <w:rsid w:val="0028323B"/>
    <w:rsid w:val="00284C15"/>
    <w:rsid w:val="00286311"/>
    <w:rsid w:val="00286ACD"/>
    <w:rsid w:val="00286D66"/>
    <w:rsid w:val="00287838"/>
    <w:rsid w:val="002879C1"/>
    <w:rsid w:val="00287B97"/>
    <w:rsid w:val="002907B5"/>
    <w:rsid w:val="002924C0"/>
    <w:rsid w:val="00292EB7"/>
    <w:rsid w:val="0029359F"/>
    <w:rsid w:val="0029437E"/>
    <w:rsid w:val="00294DCE"/>
    <w:rsid w:val="002954A6"/>
    <w:rsid w:val="002958FC"/>
    <w:rsid w:val="00295E65"/>
    <w:rsid w:val="00296227"/>
    <w:rsid w:val="002964A8"/>
    <w:rsid w:val="002964C7"/>
    <w:rsid w:val="00296F44"/>
    <w:rsid w:val="0029777D"/>
    <w:rsid w:val="002A055E"/>
    <w:rsid w:val="002A0A40"/>
    <w:rsid w:val="002A1D4E"/>
    <w:rsid w:val="002A2869"/>
    <w:rsid w:val="002A2D90"/>
    <w:rsid w:val="002A44B0"/>
    <w:rsid w:val="002A578E"/>
    <w:rsid w:val="002A5D05"/>
    <w:rsid w:val="002A63F3"/>
    <w:rsid w:val="002A6600"/>
    <w:rsid w:val="002A67AD"/>
    <w:rsid w:val="002B12F8"/>
    <w:rsid w:val="002B24B6"/>
    <w:rsid w:val="002B24D6"/>
    <w:rsid w:val="002B6D71"/>
    <w:rsid w:val="002B71CD"/>
    <w:rsid w:val="002B7EBD"/>
    <w:rsid w:val="002C1A33"/>
    <w:rsid w:val="002C2BA0"/>
    <w:rsid w:val="002C41E6"/>
    <w:rsid w:val="002D071A"/>
    <w:rsid w:val="002D0993"/>
    <w:rsid w:val="002D34B2"/>
    <w:rsid w:val="002D4804"/>
    <w:rsid w:val="002D48B0"/>
    <w:rsid w:val="002D5029"/>
    <w:rsid w:val="002D5B37"/>
    <w:rsid w:val="002D5F65"/>
    <w:rsid w:val="002D7637"/>
    <w:rsid w:val="002E02A2"/>
    <w:rsid w:val="002E17F2"/>
    <w:rsid w:val="002E4F40"/>
    <w:rsid w:val="002E7A37"/>
    <w:rsid w:val="002E7CAE"/>
    <w:rsid w:val="002F09B4"/>
    <w:rsid w:val="002F13E4"/>
    <w:rsid w:val="002F2771"/>
    <w:rsid w:val="002F37A9"/>
    <w:rsid w:val="002F591A"/>
    <w:rsid w:val="002F6280"/>
    <w:rsid w:val="00301CE6"/>
    <w:rsid w:val="0030256B"/>
    <w:rsid w:val="00303C97"/>
    <w:rsid w:val="0030501F"/>
    <w:rsid w:val="0030659F"/>
    <w:rsid w:val="00306E24"/>
    <w:rsid w:val="003077A0"/>
    <w:rsid w:val="00307BA1"/>
    <w:rsid w:val="00310314"/>
    <w:rsid w:val="00310606"/>
    <w:rsid w:val="00311702"/>
    <w:rsid w:val="00311E82"/>
    <w:rsid w:val="00312308"/>
    <w:rsid w:val="00313FD6"/>
    <w:rsid w:val="003143BD"/>
    <w:rsid w:val="00314E40"/>
    <w:rsid w:val="00315363"/>
    <w:rsid w:val="00315B45"/>
    <w:rsid w:val="003203ED"/>
    <w:rsid w:val="00322776"/>
    <w:rsid w:val="00322C9F"/>
    <w:rsid w:val="0032354A"/>
    <w:rsid w:val="00324D23"/>
    <w:rsid w:val="00326A35"/>
    <w:rsid w:val="00330508"/>
    <w:rsid w:val="00331751"/>
    <w:rsid w:val="00334579"/>
    <w:rsid w:val="00334D6A"/>
    <w:rsid w:val="00335858"/>
    <w:rsid w:val="00336BDA"/>
    <w:rsid w:val="00341468"/>
    <w:rsid w:val="00341710"/>
    <w:rsid w:val="0034260F"/>
    <w:rsid w:val="00342BD7"/>
    <w:rsid w:val="0034544F"/>
    <w:rsid w:val="00346DB5"/>
    <w:rsid w:val="003477B1"/>
    <w:rsid w:val="00355F13"/>
    <w:rsid w:val="00357380"/>
    <w:rsid w:val="003602D9"/>
    <w:rsid w:val="00360483"/>
    <w:rsid w:val="003604CE"/>
    <w:rsid w:val="0036141B"/>
    <w:rsid w:val="0036232E"/>
    <w:rsid w:val="00362552"/>
    <w:rsid w:val="0036297E"/>
    <w:rsid w:val="00367DF8"/>
    <w:rsid w:val="003708A9"/>
    <w:rsid w:val="00370E47"/>
    <w:rsid w:val="003742AC"/>
    <w:rsid w:val="00376E32"/>
    <w:rsid w:val="00377441"/>
    <w:rsid w:val="003774D7"/>
    <w:rsid w:val="00377CE1"/>
    <w:rsid w:val="00377F6A"/>
    <w:rsid w:val="0038192E"/>
    <w:rsid w:val="00385BF0"/>
    <w:rsid w:val="003924EE"/>
    <w:rsid w:val="0039333F"/>
    <w:rsid w:val="0039344E"/>
    <w:rsid w:val="003939FF"/>
    <w:rsid w:val="00394837"/>
    <w:rsid w:val="003974D4"/>
    <w:rsid w:val="003A1E57"/>
    <w:rsid w:val="003A2223"/>
    <w:rsid w:val="003A22BB"/>
    <w:rsid w:val="003A2A0F"/>
    <w:rsid w:val="003A2B63"/>
    <w:rsid w:val="003A3882"/>
    <w:rsid w:val="003A45A1"/>
    <w:rsid w:val="003A46B5"/>
    <w:rsid w:val="003A5AEC"/>
    <w:rsid w:val="003A5B0A"/>
    <w:rsid w:val="003A6BAC"/>
    <w:rsid w:val="003A70A4"/>
    <w:rsid w:val="003A76FA"/>
    <w:rsid w:val="003A7EF3"/>
    <w:rsid w:val="003B159C"/>
    <w:rsid w:val="003B23C2"/>
    <w:rsid w:val="003B3030"/>
    <w:rsid w:val="003B369F"/>
    <w:rsid w:val="003B36A3"/>
    <w:rsid w:val="003B377A"/>
    <w:rsid w:val="003B4CE6"/>
    <w:rsid w:val="003B64BB"/>
    <w:rsid w:val="003B7FE5"/>
    <w:rsid w:val="003C11C8"/>
    <w:rsid w:val="003C2702"/>
    <w:rsid w:val="003C2BE7"/>
    <w:rsid w:val="003C3510"/>
    <w:rsid w:val="003C5886"/>
    <w:rsid w:val="003C60B7"/>
    <w:rsid w:val="003C7806"/>
    <w:rsid w:val="003D109F"/>
    <w:rsid w:val="003D1523"/>
    <w:rsid w:val="003D20F6"/>
    <w:rsid w:val="003D2478"/>
    <w:rsid w:val="003D26BE"/>
    <w:rsid w:val="003D2C2E"/>
    <w:rsid w:val="003D3114"/>
    <w:rsid w:val="003D32E4"/>
    <w:rsid w:val="003D3C45"/>
    <w:rsid w:val="003D5B1F"/>
    <w:rsid w:val="003D7DA9"/>
    <w:rsid w:val="003E15FA"/>
    <w:rsid w:val="003E55E4"/>
    <w:rsid w:val="003E659F"/>
    <w:rsid w:val="003E6DA3"/>
    <w:rsid w:val="003E74E3"/>
    <w:rsid w:val="003F05C7"/>
    <w:rsid w:val="003F2CD4"/>
    <w:rsid w:val="003F54F2"/>
    <w:rsid w:val="003F6BBE"/>
    <w:rsid w:val="004000E8"/>
    <w:rsid w:val="00400B4F"/>
    <w:rsid w:val="00401662"/>
    <w:rsid w:val="00402E2B"/>
    <w:rsid w:val="004045E7"/>
    <w:rsid w:val="004046C2"/>
    <w:rsid w:val="00404CC1"/>
    <w:rsid w:val="0040512B"/>
    <w:rsid w:val="0040586A"/>
    <w:rsid w:val="00405CA5"/>
    <w:rsid w:val="00405F52"/>
    <w:rsid w:val="004069A7"/>
    <w:rsid w:val="00407CD3"/>
    <w:rsid w:val="00410134"/>
    <w:rsid w:val="00410B72"/>
    <w:rsid w:val="00410C4D"/>
    <w:rsid w:val="00410F18"/>
    <w:rsid w:val="0041263E"/>
    <w:rsid w:val="004127FD"/>
    <w:rsid w:val="00413AAC"/>
    <w:rsid w:val="00413E92"/>
    <w:rsid w:val="00413FCD"/>
    <w:rsid w:val="00415C63"/>
    <w:rsid w:val="0041791F"/>
    <w:rsid w:val="00421105"/>
    <w:rsid w:val="00422AA4"/>
    <w:rsid w:val="004242F4"/>
    <w:rsid w:val="0042661D"/>
    <w:rsid w:val="00427248"/>
    <w:rsid w:val="00431971"/>
    <w:rsid w:val="0043222F"/>
    <w:rsid w:val="00434AAB"/>
    <w:rsid w:val="00434B9C"/>
    <w:rsid w:val="00437447"/>
    <w:rsid w:val="00441A92"/>
    <w:rsid w:val="00441DAA"/>
    <w:rsid w:val="004431DC"/>
    <w:rsid w:val="00444F56"/>
    <w:rsid w:val="00446488"/>
    <w:rsid w:val="0044736C"/>
    <w:rsid w:val="004511B9"/>
    <w:rsid w:val="004517AA"/>
    <w:rsid w:val="00452CAC"/>
    <w:rsid w:val="00452FD9"/>
    <w:rsid w:val="004570F5"/>
    <w:rsid w:val="00457304"/>
    <w:rsid w:val="00457565"/>
    <w:rsid w:val="00457B71"/>
    <w:rsid w:val="004626AA"/>
    <w:rsid w:val="00462EA6"/>
    <w:rsid w:val="00463B75"/>
    <w:rsid w:val="00464689"/>
    <w:rsid w:val="004650EC"/>
    <w:rsid w:val="00465648"/>
    <w:rsid w:val="004667E1"/>
    <w:rsid w:val="004669E2"/>
    <w:rsid w:val="00470C31"/>
    <w:rsid w:val="00471DE0"/>
    <w:rsid w:val="0047270D"/>
    <w:rsid w:val="004734D0"/>
    <w:rsid w:val="0047556B"/>
    <w:rsid w:val="00477768"/>
    <w:rsid w:val="0048018B"/>
    <w:rsid w:val="004802F3"/>
    <w:rsid w:val="004822FC"/>
    <w:rsid w:val="0048449C"/>
    <w:rsid w:val="00485650"/>
    <w:rsid w:val="00485C50"/>
    <w:rsid w:val="00486286"/>
    <w:rsid w:val="00492BC5"/>
    <w:rsid w:val="00494340"/>
    <w:rsid w:val="00495B1A"/>
    <w:rsid w:val="00495B59"/>
    <w:rsid w:val="004960E2"/>
    <w:rsid w:val="004964F1"/>
    <w:rsid w:val="004969B6"/>
    <w:rsid w:val="00496FDA"/>
    <w:rsid w:val="004A16BC"/>
    <w:rsid w:val="004A2B94"/>
    <w:rsid w:val="004A39D6"/>
    <w:rsid w:val="004A5446"/>
    <w:rsid w:val="004B0C34"/>
    <w:rsid w:val="004B1D83"/>
    <w:rsid w:val="004B50BF"/>
    <w:rsid w:val="004B5D6C"/>
    <w:rsid w:val="004B5E10"/>
    <w:rsid w:val="004B6F6A"/>
    <w:rsid w:val="004B7C0C"/>
    <w:rsid w:val="004C0E28"/>
    <w:rsid w:val="004C32B0"/>
    <w:rsid w:val="004C3898"/>
    <w:rsid w:val="004C4E3F"/>
    <w:rsid w:val="004D00DA"/>
    <w:rsid w:val="004D36B1"/>
    <w:rsid w:val="004D3AC8"/>
    <w:rsid w:val="004D7EBD"/>
    <w:rsid w:val="004E02D9"/>
    <w:rsid w:val="004E0F28"/>
    <w:rsid w:val="004E174A"/>
    <w:rsid w:val="004E2680"/>
    <w:rsid w:val="004E28F9"/>
    <w:rsid w:val="004E2D42"/>
    <w:rsid w:val="004E379C"/>
    <w:rsid w:val="004E462E"/>
    <w:rsid w:val="004E56DC"/>
    <w:rsid w:val="004E6498"/>
    <w:rsid w:val="004E68CB"/>
    <w:rsid w:val="004E76F4"/>
    <w:rsid w:val="004F0B4E"/>
    <w:rsid w:val="004F0B6C"/>
    <w:rsid w:val="004F2078"/>
    <w:rsid w:val="004F4312"/>
    <w:rsid w:val="004F4DA3"/>
    <w:rsid w:val="004F6871"/>
    <w:rsid w:val="00504005"/>
    <w:rsid w:val="00506557"/>
    <w:rsid w:val="0050677A"/>
    <w:rsid w:val="005070DE"/>
    <w:rsid w:val="005108D8"/>
    <w:rsid w:val="00510FD2"/>
    <w:rsid w:val="005116F9"/>
    <w:rsid w:val="00514750"/>
    <w:rsid w:val="005153A7"/>
    <w:rsid w:val="00516A23"/>
    <w:rsid w:val="00520182"/>
    <w:rsid w:val="005219CF"/>
    <w:rsid w:val="0052220F"/>
    <w:rsid w:val="00523888"/>
    <w:rsid w:val="00524540"/>
    <w:rsid w:val="005248C3"/>
    <w:rsid w:val="00527FF9"/>
    <w:rsid w:val="00533401"/>
    <w:rsid w:val="00534B59"/>
    <w:rsid w:val="005356D9"/>
    <w:rsid w:val="00535DFD"/>
    <w:rsid w:val="00536759"/>
    <w:rsid w:val="00537C62"/>
    <w:rsid w:val="00542A9B"/>
    <w:rsid w:val="00543204"/>
    <w:rsid w:val="005434ED"/>
    <w:rsid w:val="00543B3A"/>
    <w:rsid w:val="00546970"/>
    <w:rsid w:val="005504C3"/>
    <w:rsid w:val="00550E55"/>
    <w:rsid w:val="005531AF"/>
    <w:rsid w:val="00553420"/>
    <w:rsid w:val="00553876"/>
    <w:rsid w:val="00554E19"/>
    <w:rsid w:val="0056121F"/>
    <w:rsid w:val="005632D6"/>
    <w:rsid w:val="00565746"/>
    <w:rsid w:val="00567D1A"/>
    <w:rsid w:val="00572505"/>
    <w:rsid w:val="005731B2"/>
    <w:rsid w:val="0057390B"/>
    <w:rsid w:val="00573EC6"/>
    <w:rsid w:val="0058099A"/>
    <w:rsid w:val="00580E9F"/>
    <w:rsid w:val="00581FA8"/>
    <w:rsid w:val="00582342"/>
    <w:rsid w:val="00582809"/>
    <w:rsid w:val="005872E9"/>
    <w:rsid w:val="0058798C"/>
    <w:rsid w:val="00587C4A"/>
    <w:rsid w:val="005900FA"/>
    <w:rsid w:val="00591CC7"/>
    <w:rsid w:val="005935A4"/>
    <w:rsid w:val="00594436"/>
    <w:rsid w:val="005948C2"/>
    <w:rsid w:val="00595DCA"/>
    <w:rsid w:val="0059779B"/>
    <w:rsid w:val="00597A80"/>
    <w:rsid w:val="005A00F8"/>
    <w:rsid w:val="005A1AED"/>
    <w:rsid w:val="005A209A"/>
    <w:rsid w:val="005A27A1"/>
    <w:rsid w:val="005A4FDC"/>
    <w:rsid w:val="005A662D"/>
    <w:rsid w:val="005A7E0A"/>
    <w:rsid w:val="005B1409"/>
    <w:rsid w:val="005B1F09"/>
    <w:rsid w:val="005B35D7"/>
    <w:rsid w:val="005B392A"/>
    <w:rsid w:val="005B3AA3"/>
    <w:rsid w:val="005B512F"/>
    <w:rsid w:val="005B6F83"/>
    <w:rsid w:val="005B7265"/>
    <w:rsid w:val="005C38D3"/>
    <w:rsid w:val="005C74FB"/>
    <w:rsid w:val="005D0C00"/>
    <w:rsid w:val="005D1602"/>
    <w:rsid w:val="005D31A2"/>
    <w:rsid w:val="005D40AF"/>
    <w:rsid w:val="005D599F"/>
    <w:rsid w:val="005D62EC"/>
    <w:rsid w:val="005D73A7"/>
    <w:rsid w:val="005E12DF"/>
    <w:rsid w:val="005E22FA"/>
    <w:rsid w:val="005E2A40"/>
    <w:rsid w:val="005E385F"/>
    <w:rsid w:val="005E3971"/>
    <w:rsid w:val="005E5B81"/>
    <w:rsid w:val="005E653B"/>
    <w:rsid w:val="005E691B"/>
    <w:rsid w:val="005E72A3"/>
    <w:rsid w:val="005F07A4"/>
    <w:rsid w:val="005F2CB1"/>
    <w:rsid w:val="005F3025"/>
    <w:rsid w:val="005F618C"/>
    <w:rsid w:val="005F70BD"/>
    <w:rsid w:val="0060283C"/>
    <w:rsid w:val="00604F14"/>
    <w:rsid w:val="006106A0"/>
    <w:rsid w:val="00611B83"/>
    <w:rsid w:val="00613257"/>
    <w:rsid w:val="00615357"/>
    <w:rsid w:val="0061545C"/>
    <w:rsid w:val="00620A71"/>
    <w:rsid w:val="00620D80"/>
    <w:rsid w:val="006219EA"/>
    <w:rsid w:val="006234A6"/>
    <w:rsid w:val="00623FB6"/>
    <w:rsid w:val="00630001"/>
    <w:rsid w:val="006311B3"/>
    <w:rsid w:val="0063284C"/>
    <w:rsid w:val="00632A8D"/>
    <w:rsid w:val="006342A3"/>
    <w:rsid w:val="00636398"/>
    <w:rsid w:val="006368D3"/>
    <w:rsid w:val="006377EC"/>
    <w:rsid w:val="0064151F"/>
    <w:rsid w:val="00641533"/>
    <w:rsid w:val="0064208D"/>
    <w:rsid w:val="006428D3"/>
    <w:rsid w:val="00643475"/>
    <w:rsid w:val="0064396A"/>
    <w:rsid w:val="0064624E"/>
    <w:rsid w:val="006466AA"/>
    <w:rsid w:val="00650AB9"/>
    <w:rsid w:val="00651BEB"/>
    <w:rsid w:val="00652376"/>
    <w:rsid w:val="00653BFE"/>
    <w:rsid w:val="0065471F"/>
    <w:rsid w:val="00655733"/>
    <w:rsid w:val="00655ACD"/>
    <w:rsid w:val="00656A92"/>
    <w:rsid w:val="00656DDE"/>
    <w:rsid w:val="0066011D"/>
    <w:rsid w:val="006607C0"/>
    <w:rsid w:val="006613A6"/>
    <w:rsid w:val="006627A2"/>
    <w:rsid w:val="006634E6"/>
    <w:rsid w:val="00663CC9"/>
    <w:rsid w:val="006655EE"/>
    <w:rsid w:val="00667EE7"/>
    <w:rsid w:val="00670922"/>
    <w:rsid w:val="00670BE1"/>
    <w:rsid w:val="0067218F"/>
    <w:rsid w:val="006721CE"/>
    <w:rsid w:val="00673EAC"/>
    <w:rsid w:val="006741F2"/>
    <w:rsid w:val="00674CC3"/>
    <w:rsid w:val="00675C72"/>
    <w:rsid w:val="006771F9"/>
    <w:rsid w:val="006776D7"/>
    <w:rsid w:val="00677AF1"/>
    <w:rsid w:val="00681003"/>
    <w:rsid w:val="006817C9"/>
    <w:rsid w:val="00681FB0"/>
    <w:rsid w:val="00683ECE"/>
    <w:rsid w:val="00685BFD"/>
    <w:rsid w:val="00686F91"/>
    <w:rsid w:val="00687C27"/>
    <w:rsid w:val="006905CF"/>
    <w:rsid w:val="0069095A"/>
    <w:rsid w:val="00690D76"/>
    <w:rsid w:val="006935FC"/>
    <w:rsid w:val="00695FC2"/>
    <w:rsid w:val="006966D0"/>
    <w:rsid w:val="00696949"/>
    <w:rsid w:val="00697052"/>
    <w:rsid w:val="0069764D"/>
    <w:rsid w:val="006A24D9"/>
    <w:rsid w:val="006A361A"/>
    <w:rsid w:val="006A46FB"/>
    <w:rsid w:val="006A5E28"/>
    <w:rsid w:val="006A697B"/>
    <w:rsid w:val="006A6B2B"/>
    <w:rsid w:val="006A7AFF"/>
    <w:rsid w:val="006B16CE"/>
    <w:rsid w:val="006B1816"/>
    <w:rsid w:val="006B2099"/>
    <w:rsid w:val="006B3D07"/>
    <w:rsid w:val="006B3D51"/>
    <w:rsid w:val="006B4760"/>
    <w:rsid w:val="006B4DB4"/>
    <w:rsid w:val="006B503B"/>
    <w:rsid w:val="006B50CF"/>
    <w:rsid w:val="006B5D11"/>
    <w:rsid w:val="006C03B8"/>
    <w:rsid w:val="006C342C"/>
    <w:rsid w:val="006C5EC9"/>
    <w:rsid w:val="006C6059"/>
    <w:rsid w:val="006C7522"/>
    <w:rsid w:val="006D0833"/>
    <w:rsid w:val="006D0A94"/>
    <w:rsid w:val="006D1491"/>
    <w:rsid w:val="006D151A"/>
    <w:rsid w:val="006D5CB0"/>
    <w:rsid w:val="006D67B6"/>
    <w:rsid w:val="006D6F08"/>
    <w:rsid w:val="006D6FAE"/>
    <w:rsid w:val="006E062C"/>
    <w:rsid w:val="006E1C82"/>
    <w:rsid w:val="006E28B7"/>
    <w:rsid w:val="006E2A9B"/>
    <w:rsid w:val="006E3310"/>
    <w:rsid w:val="006E3E6B"/>
    <w:rsid w:val="006E4E39"/>
    <w:rsid w:val="006E565E"/>
    <w:rsid w:val="006E673D"/>
    <w:rsid w:val="006E7D3B"/>
    <w:rsid w:val="006F1009"/>
    <w:rsid w:val="006F1B45"/>
    <w:rsid w:val="006F1B70"/>
    <w:rsid w:val="006F341D"/>
    <w:rsid w:val="006F3CDE"/>
    <w:rsid w:val="006F5677"/>
    <w:rsid w:val="006F56D6"/>
    <w:rsid w:val="006F581A"/>
    <w:rsid w:val="006F58D4"/>
    <w:rsid w:val="006F6582"/>
    <w:rsid w:val="00700A5E"/>
    <w:rsid w:val="0070346E"/>
    <w:rsid w:val="007042A3"/>
    <w:rsid w:val="00704EDB"/>
    <w:rsid w:val="00705803"/>
    <w:rsid w:val="00706101"/>
    <w:rsid w:val="00706425"/>
    <w:rsid w:val="00707072"/>
    <w:rsid w:val="00707D61"/>
    <w:rsid w:val="00712287"/>
    <w:rsid w:val="00712772"/>
    <w:rsid w:val="0071324A"/>
    <w:rsid w:val="00714356"/>
    <w:rsid w:val="007148D3"/>
    <w:rsid w:val="00715B9A"/>
    <w:rsid w:val="00721658"/>
    <w:rsid w:val="00721B32"/>
    <w:rsid w:val="00722217"/>
    <w:rsid w:val="007257D0"/>
    <w:rsid w:val="00725F63"/>
    <w:rsid w:val="00726593"/>
    <w:rsid w:val="00726EA6"/>
    <w:rsid w:val="00727208"/>
    <w:rsid w:val="00727680"/>
    <w:rsid w:val="0072768C"/>
    <w:rsid w:val="00727ED9"/>
    <w:rsid w:val="0073121C"/>
    <w:rsid w:val="007348B1"/>
    <w:rsid w:val="007362A6"/>
    <w:rsid w:val="00736608"/>
    <w:rsid w:val="00736681"/>
    <w:rsid w:val="00736D7D"/>
    <w:rsid w:val="00737F47"/>
    <w:rsid w:val="00740E58"/>
    <w:rsid w:val="0074243B"/>
    <w:rsid w:val="0074335C"/>
    <w:rsid w:val="0074344B"/>
    <w:rsid w:val="00743E85"/>
    <w:rsid w:val="0074435D"/>
    <w:rsid w:val="007445A0"/>
    <w:rsid w:val="00744828"/>
    <w:rsid w:val="0074524B"/>
    <w:rsid w:val="00746B9A"/>
    <w:rsid w:val="00747D8B"/>
    <w:rsid w:val="00751228"/>
    <w:rsid w:val="00753DD3"/>
    <w:rsid w:val="007571E1"/>
    <w:rsid w:val="007604B2"/>
    <w:rsid w:val="007648D0"/>
    <w:rsid w:val="00765281"/>
    <w:rsid w:val="00766BAD"/>
    <w:rsid w:val="007729A2"/>
    <w:rsid w:val="00773C2B"/>
    <w:rsid w:val="007755F2"/>
    <w:rsid w:val="00776971"/>
    <w:rsid w:val="007776CF"/>
    <w:rsid w:val="00780A80"/>
    <w:rsid w:val="0078177E"/>
    <w:rsid w:val="0078304C"/>
    <w:rsid w:val="00783673"/>
    <w:rsid w:val="00785490"/>
    <w:rsid w:val="0079118E"/>
    <w:rsid w:val="00791741"/>
    <w:rsid w:val="007925EA"/>
    <w:rsid w:val="00792B22"/>
    <w:rsid w:val="00793CD8"/>
    <w:rsid w:val="00794552"/>
    <w:rsid w:val="00795C92"/>
    <w:rsid w:val="00796231"/>
    <w:rsid w:val="00797173"/>
    <w:rsid w:val="007A1CB3"/>
    <w:rsid w:val="007A306F"/>
    <w:rsid w:val="007A43A6"/>
    <w:rsid w:val="007A44B6"/>
    <w:rsid w:val="007A58A6"/>
    <w:rsid w:val="007A6D81"/>
    <w:rsid w:val="007B1353"/>
    <w:rsid w:val="007B1AC7"/>
    <w:rsid w:val="007B23C8"/>
    <w:rsid w:val="007B3D2D"/>
    <w:rsid w:val="007B50AE"/>
    <w:rsid w:val="007B51DF"/>
    <w:rsid w:val="007C05DD"/>
    <w:rsid w:val="007C067E"/>
    <w:rsid w:val="007C0BA1"/>
    <w:rsid w:val="007C1680"/>
    <w:rsid w:val="007C1C20"/>
    <w:rsid w:val="007C2757"/>
    <w:rsid w:val="007C3D18"/>
    <w:rsid w:val="007C5D7C"/>
    <w:rsid w:val="007C60BF"/>
    <w:rsid w:val="007C6A07"/>
    <w:rsid w:val="007C75A1"/>
    <w:rsid w:val="007C77A5"/>
    <w:rsid w:val="007D04E3"/>
    <w:rsid w:val="007D04E5"/>
    <w:rsid w:val="007D1F9E"/>
    <w:rsid w:val="007D5901"/>
    <w:rsid w:val="007D6179"/>
    <w:rsid w:val="007D6A3A"/>
    <w:rsid w:val="007D7526"/>
    <w:rsid w:val="007E09FE"/>
    <w:rsid w:val="007E17CF"/>
    <w:rsid w:val="007E218A"/>
    <w:rsid w:val="007E4610"/>
    <w:rsid w:val="007E4715"/>
    <w:rsid w:val="007E505B"/>
    <w:rsid w:val="007E5AEA"/>
    <w:rsid w:val="007E7091"/>
    <w:rsid w:val="007F03BF"/>
    <w:rsid w:val="007F1FA4"/>
    <w:rsid w:val="007F5D6F"/>
    <w:rsid w:val="008001B9"/>
    <w:rsid w:val="00801108"/>
    <w:rsid w:val="0080124C"/>
    <w:rsid w:val="00803FAE"/>
    <w:rsid w:val="0080605F"/>
    <w:rsid w:val="00807786"/>
    <w:rsid w:val="00807E04"/>
    <w:rsid w:val="00811FCB"/>
    <w:rsid w:val="00814D42"/>
    <w:rsid w:val="00815003"/>
    <w:rsid w:val="008158D6"/>
    <w:rsid w:val="00815C0E"/>
    <w:rsid w:val="00817196"/>
    <w:rsid w:val="00822FDA"/>
    <w:rsid w:val="008235DB"/>
    <w:rsid w:val="00823B53"/>
    <w:rsid w:val="008242F7"/>
    <w:rsid w:val="00824AB4"/>
    <w:rsid w:val="00825C42"/>
    <w:rsid w:val="00825D25"/>
    <w:rsid w:val="0082790E"/>
    <w:rsid w:val="00827D6F"/>
    <w:rsid w:val="00831CC5"/>
    <w:rsid w:val="00832CFF"/>
    <w:rsid w:val="00832DEB"/>
    <w:rsid w:val="00833681"/>
    <w:rsid w:val="00835ACA"/>
    <w:rsid w:val="0083621F"/>
    <w:rsid w:val="008371ED"/>
    <w:rsid w:val="008376AC"/>
    <w:rsid w:val="008430D8"/>
    <w:rsid w:val="008444E8"/>
    <w:rsid w:val="008449DB"/>
    <w:rsid w:val="00844E80"/>
    <w:rsid w:val="00846FE7"/>
    <w:rsid w:val="00850616"/>
    <w:rsid w:val="00850DDA"/>
    <w:rsid w:val="0085193A"/>
    <w:rsid w:val="00856911"/>
    <w:rsid w:val="0086023B"/>
    <w:rsid w:val="00865FBE"/>
    <w:rsid w:val="008677FD"/>
    <w:rsid w:val="008706D4"/>
    <w:rsid w:val="00870F8A"/>
    <w:rsid w:val="008719A4"/>
    <w:rsid w:val="00871D23"/>
    <w:rsid w:val="00872856"/>
    <w:rsid w:val="00874312"/>
    <w:rsid w:val="0087437C"/>
    <w:rsid w:val="0087598B"/>
    <w:rsid w:val="00875CD7"/>
    <w:rsid w:val="00876B4D"/>
    <w:rsid w:val="00877F18"/>
    <w:rsid w:val="00883400"/>
    <w:rsid w:val="008878C4"/>
    <w:rsid w:val="00892561"/>
    <w:rsid w:val="00893045"/>
    <w:rsid w:val="008941E3"/>
    <w:rsid w:val="0089480F"/>
    <w:rsid w:val="00894A88"/>
    <w:rsid w:val="00895386"/>
    <w:rsid w:val="008973B0"/>
    <w:rsid w:val="008A074C"/>
    <w:rsid w:val="008A21FF"/>
    <w:rsid w:val="008A23D4"/>
    <w:rsid w:val="008A2CE2"/>
    <w:rsid w:val="008A2DA7"/>
    <w:rsid w:val="008A30AC"/>
    <w:rsid w:val="008A44B8"/>
    <w:rsid w:val="008A51A8"/>
    <w:rsid w:val="008A5304"/>
    <w:rsid w:val="008A54C7"/>
    <w:rsid w:val="008A5540"/>
    <w:rsid w:val="008A606C"/>
    <w:rsid w:val="008A77D8"/>
    <w:rsid w:val="008B0483"/>
    <w:rsid w:val="008B120C"/>
    <w:rsid w:val="008B1AC4"/>
    <w:rsid w:val="008B284B"/>
    <w:rsid w:val="008B4306"/>
    <w:rsid w:val="008B51A0"/>
    <w:rsid w:val="008B5442"/>
    <w:rsid w:val="008B592A"/>
    <w:rsid w:val="008B645E"/>
    <w:rsid w:val="008B7B5C"/>
    <w:rsid w:val="008C0C99"/>
    <w:rsid w:val="008C1484"/>
    <w:rsid w:val="008C2017"/>
    <w:rsid w:val="008C45FE"/>
    <w:rsid w:val="008C4958"/>
    <w:rsid w:val="008C4BAA"/>
    <w:rsid w:val="008C6AE8"/>
    <w:rsid w:val="008C7573"/>
    <w:rsid w:val="008D00A5"/>
    <w:rsid w:val="008D013A"/>
    <w:rsid w:val="008D34F1"/>
    <w:rsid w:val="008D39D8"/>
    <w:rsid w:val="008D6D1A"/>
    <w:rsid w:val="008E065E"/>
    <w:rsid w:val="008E0927"/>
    <w:rsid w:val="008E1909"/>
    <w:rsid w:val="008E31AC"/>
    <w:rsid w:val="008E5ECD"/>
    <w:rsid w:val="008F1C4E"/>
    <w:rsid w:val="008F1EAB"/>
    <w:rsid w:val="008F33DC"/>
    <w:rsid w:val="008F477F"/>
    <w:rsid w:val="00902350"/>
    <w:rsid w:val="0090336B"/>
    <w:rsid w:val="0090456B"/>
    <w:rsid w:val="00904D72"/>
    <w:rsid w:val="009053AA"/>
    <w:rsid w:val="00906939"/>
    <w:rsid w:val="00906CFA"/>
    <w:rsid w:val="00910B7D"/>
    <w:rsid w:val="00911DFB"/>
    <w:rsid w:val="00911E72"/>
    <w:rsid w:val="009139D9"/>
    <w:rsid w:val="00914AD8"/>
    <w:rsid w:val="00916079"/>
    <w:rsid w:val="00917CE9"/>
    <w:rsid w:val="00920068"/>
    <w:rsid w:val="0092075B"/>
    <w:rsid w:val="00920BF2"/>
    <w:rsid w:val="00920C4D"/>
    <w:rsid w:val="00921A48"/>
    <w:rsid w:val="00922010"/>
    <w:rsid w:val="009302A4"/>
    <w:rsid w:val="009307CB"/>
    <w:rsid w:val="00931BD9"/>
    <w:rsid w:val="00935D9F"/>
    <w:rsid w:val="009368F3"/>
    <w:rsid w:val="009375C6"/>
    <w:rsid w:val="00937D96"/>
    <w:rsid w:val="00941636"/>
    <w:rsid w:val="009420F5"/>
    <w:rsid w:val="009423C5"/>
    <w:rsid w:val="00942F33"/>
    <w:rsid w:val="00943742"/>
    <w:rsid w:val="0094459D"/>
    <w:rsid w:val="00945C05"/>
    <w:rsid w:val="00946945"/>
    <w:rsid w:val="00947713"/>
    <w:rsid w:val="009503C6"/>
    <w:rsid w:val="009504A0"/>
    <w:rsid w:val="00950CD5"/>
    <w:rsid w:val="00950DE7"/>
    <w:rsid w:val="00952201"/>
    <w:rsid w:val="009525A5"/>
    <w:rsid w:val="00953920"/>
    <w:rsid w:val="00953AF0"/>
    <w:rsid w:val="00953D47"/>
    <w:rsid w:val="00956161"/>
    <w:rsid w:val="0095681E"/>
    <w:rsid w:val="009572D4"/>
    <w:rsid w:val="00957732"/>
    <w:rsid w:val="00961429"/>
    <w:rsid w:val="00961921"/>
    <w:rsid w:val="0096325A"/>
    <w:rsid w:val="00963818"/>
    <w:rsid w:val="0096430A"/>
    <w:rsid w:val="00964EA9"/>
    <w:rsid w:val="0096554B"/>
    <w:rsid w:val="0096584A"/>
    <w:rsid w:val="00966191"/>
    <w:rsid w:val="00967450"/>
    <w:rsid w:val="00970BDE"/>
    <w:rsid w:val="00970EE6"/>
    <w:rsid w:val="00971F08"/>
    <w:rsid w:val="00972E20"/>
    <w:rsid w:val="00972FC8"/>
    <w:rsid w:val="00973049"/>
    <w:rsid w:val="00973EE6"/>
    <w:rsid w:val="0097603D"/>
    <w:rsid w:val="00976949"/>
    <w:rsid w:val="00980477"/>
    <w:rsid w:val="009813C9"/>
    <w:rsid w:val="0098299A"/>
    <w:rsid w:val="00983375"/>
    <w:rsid w:val="009835DC"/>
    <w:rsid w:val="00985253"/>
    <w:rsid w:val="009853B3"/>
    <w:rsid w:val="00986140"/>
    <w:rsid w:val="00990630"/>
    <w:rsid w:val="00991761"/>
    <w:rsid w:val="00992347"/>
    <w:rsid w:val="009925E0"/>
    <w:rsid w:val="00992865"/>
    <w:rsid w:val="00994DCA"/>
    <w:rsid w:val="009960EC"/>
    <w:rsid w:val="00996B5D"/>
    <w:rsid w:val="009970DD"/>
    <w:rsid w:val="00997574"/>
    <w:rsid w:val="00997F12"/>
    <w:rsid w:val="009A0154"/>
    <w:rsid w:val="009A0FBA"/>
    <w:rsid w:val="009A1601"/>
    <w:rsid w:val="009A3BB6"/>
    <w:rsid w:val="009A462D"/>
    <w:rsid w:val="009A5371"/>
    <w:rsid w:val="009A5CBA"/>
    <w:rsid w:val="009B1F30"/>
    <w:rsid w:val="009B2A50"/>
    <w:rsid w:val="009B3AC2"/>
    <w:rsid w:val="009B4C40"/>
    <w:rsid w:val="009B4DF4"/>
    <w:rsid w:val="009B564E"/>
    <w:rsid w:val="009B7E87"/>
    <w:rsid w:val="009C0169"/>
    <w:rsid w:val="009C1044"/>
    <w:rsid w:val="009C2105"/>
    <w:rsid w:val="009C28B6"/>
    <w:rsid w:val="009C3246"/>
    <w:rsid w:val="009C403E"/>
    <w:rsid w:val="009C5F82"/>
    <w:rsid w:val="009C6D31"/>
    <w:rsid w:val="009C6E22"/>
    <w:rsid w:val="009D06B6"/>
    <w:rsid w:val="009D11E6"/>
    <w:rsid w:val="009D2665"/>
    <w:rsid w:val="009D345F"/>
    <w:rsid w:val="009D4FF0"/>
    <w:rsid w:val="009D703C"/>
    <w:rsid w:val="009D718F"/>
    <w:rsid w:val="009D79BB"/>
    <w:rsid w:val="009E068F"/>
    <w:rsid w:val="009E109F"/>
    <w:rsid w:val="009E129A"/>
    <w:rsid w:val="009E14E0"/>
    <w:rsid w:val="009E2A78"/>
    <w:rsid w:val="009E325D"/>
    <w:rsid w:val="009E35DB"/>
    <w:rsid w:val="009E47A3"/>
    <w:rsid w:val="009E58DE"/>
    <w:rsid w:val="009E6D59"/>
    <w:rsid w:val="009F08F3"/>
    <w:rsid w:val="009F309C"/>
    <w:rsid w:val="009F344F"/>
    <w:rsid w:val="009F5351"/>
    <w:rsid w:val="009F7FCA"/>
    <w:rsid w:val="00A0048A"/>
    <w:rsid w:val="00A013CA"/>
    <w:rsid w:val="00A02652"/>
    <w:rsid w:val="00A031D8"/>
    <w:rsid w:val="00A048A8"/>
    <w:rsid w:val="00A04DC0"/>
    <w:rsid w:val="00A04F49"/>
    <w:rsid w:val="00A117D4"/>
    <w:rsid w:val="00A128C7"/>
    <w:rsid w:val="00A13E54"/>
    <w:rsid w:val="00A15838"/>
    <w:rsid w:val="00A17739"/>
    <w:rsid w:val="00A177D5"/>
    <w:rsid w:val="00A178F8"/>
    <w:rsid w:val="00A17F63"/>
    <w:rsid w:val="00A20195"/>
    <w:rsid w:val="00A2193B"/>
    <w:rsid w:val="00A22F0F"/>
    <w:rsid w:val="00A230DA"/>
    <w:rsid w:val="00A2351A"/>
    <w:rsid w:val="00A23A01"/>
    <w:rsid w:val="00A264A9"/>
    <w:rsid w:val="00A267C4"/>
    <w:rsid w:val="00A26C2B"/>
    <w:rsid w:val="00A26DCF"/>
    <w:rsid w:val="00A27785"/>
    <w:rsid w:val="00A30187"/>
    <w:rsid w:val="00A3448A"/>
    <w:rsid w:val="00A36297"/>
    <w:rsid w:val="00A37C84"/>
    <w:rsid w:val="00A41520"/>
    <w:rsid w:val="00A41859"/>
    <w:rsid w:val="00A41917"/>
    <w:rsid w:val="00A41E2B"/>
    <w:rsid w:val="00A423B4"/>
    <w:rsid w:val="00A45344"/>
    <w:rsid w:val="00A45B74"/>
    <w:rsid w:val="00A52E1D"/>
    <w:rsid w:val="00A53B58"/>
    <w:rsid w:val="00A55989"/>
    <w:rsid w:val="00A5759C"/>
    <w:rsid w:val="00A57BA3"/>
    <w:rsid w:val="00A57DFA"/>
    <w:rsid w:val="00A61499"/>
    <w:rsid w:val="00A62A77"/>
    <w:rsid w:val="00A63255"/>
    <w:rsid w:val="00A63483"/>
    <w:rsid w:val="00A63A69"/>
    <w:rsid w:val="00A63DA0"/>
    <w:rsid w:val="00A652F3"/>
    <w:rsid w:val="00A657D7"/>
    <w:rsid w:val="00A660AC"/>
    <w:rsid w:val="00A67E6C"/>
    <w:rsid w:val="00A71B99"/>
    <w:rsid w:val="00A71FA9"/>
    <w:rsid w:val="00A72274"/>
    <w:rsid w:val="00A72C63"/>
    <w:rsid w:val="00A739D0"/>
    <w:rsid w:val="00A761D4"/>
    <w:rsid w:val="00A76D8C"/>
    <w:rsid w:val="00A76E03"/>
    <w:rsid w:val="00A7783E"/>
    <w:rsid w:val="00A77EC4"/>
    <w:rsid w:val="00A80AE4"/>
    <w:rsid w:val="00A81C21"/>
    <w:rsid w:val="00A81C8C"/>
    <w:rsid w:val="00A846DA"/>
    <w:rsid w:val="00A84729"/>
    <w:rsid w:val="00A86166"/>
    <w:rsid w:val="00A863DB"/>
    <w:rsid w:val="00A92879"/>
    <w:rsid w:val="00A92F27"/>
    <w:rsid w:val="00A9442A"/>
    <w:rsid w:val="00A94D78"/>
    <w:rsid w:val="00AA016F"/>
    <w:rsid w:val="00AA07CC"/>
    <w:rsid w:val="00AA09FA"/>
    <w:rsid w:val="00AA1634"/>
    <w:rsid w:val="00AA1ED6"/>
    <w:rsid w:val="00AA20AF"/>
    <w:rsid w:val="00AA3AAC"/>
    <w:rsid w:val="00AA51D6"/>
    <w:rsid w:val="00AA5E26"/>
    <w:rsid w:val="00AB0BC8"/>
    <w:rsid w:val="00AB11CA"/>
    <w:rsid w:val="00AB14D9"/>
    <w:rsid w:val="00AB25EB"/>
    <w:rsid w:val="00AB499C"/>
    <w:rsid w:val="00AB4AB8"/>
    <w:rsid w:val="00AB55B9"/>
    <w:rsid w:val="00AB655E"/>
    <w:rsid w:val="00AC007F"/>
    <w:rsid w:val="00AC2ECD"/>
    <w:rsid w:val="00AC3119"/>
    <w:rsid w:val="00AC49FB"/>
    <w:rsid w:val="00AC4F76"/>
    <w:rsid w:val="00AC546A"/>
    <w:rsid w:val="00AC5A10"/>
    <w:rsid w:val="00AC6A3F"/>
    <w:rsid w:val="00AC78C1"/>
    <w:rsid w:val="00AD0AA3"/>
    <w:rsid w:val="00AD2ED0"/>
    <w:rsid w:val="00AD3F94"/>
    <w:rsid w:val="00AD4A5A"/>
    <w:rsid w:val="00AD7113"/>
    <w:rsid w:val="00AD71E4"/>
    <w:rsid w:val="00AD73C3"/>
    <w:rsid w:val="00AE1958"/>
    <w:rsid w:val="00AE27AC"/>
    <w:rsid w:val="00AE3712"/>
    <w:rsid w:val="00AE40E0"/>
    <w:rsid w:val="00AE4DBA"/>
    <w:rsid w:val="00AE4F07"/>
    <w:rsid w:val="00AE6902"/>
    <w:rsid w:val="00AE72F8"/>
    <w:rsid w:val="00AF1C5D"/>
    <w:rsid w:val="00AF42D7"/>
    <w:rsid w:val="00AF7250"/>
    <w:rsid w:val="00B006FE"/>
    <w:rsid w:val="00B007CB"/>
    <w:rsid w:val="00B01691"/>
    <w:rsid w:val="00B02AA9"/>
    <w:rsid w:val="00B02FA3"/>
    <w:rsid w:val="00B04109"/>
    <w:rsid w:val="00B05084"/>
    <w:rsid w:val="00B157F9"/>
    <w:rsid w:val="00B16C5F"/>
    <w:rsid w:val="00B20256"/>
    <w:rsid w:val="00B209A7"/>
    <w:rsid w:val="00B20D09"/>
    <w:rsid w:val="00B23605"/>
    <w:rsid w:val="00B26763"/>
    <w:rsid w:val="00B2757F"/>
    <w:rsid w:val="00B2763F"/>
    <w:rsid w:val="00B27AAC"/>
    <w:rsid w:val="00B30929"/>
    <w:rsid w:val="00B3163D"/>
    <w:rsid w:val="00B33D29"/>
    <w:rsid w:val="00B35FE9"/>
    <w:rsid w:val="00B372AA"/>
    <w:rsid w:val="00B37699"/>
    <w:rsid w:val="00B40445"/>
    <w:rsid w:val="00B409E0"/>
    <w:rsid w:val="00B41683"/>
    <w:rsid w:val="00B41888"/>
    <w:rsid w:val="00B45A42"/>
    <w:rsid w:val="00B45A52"/>
    <w:rsid w:val="00B46175"/>
    <w:rsid w:val="00B46BBD"/>
    <w:rsid w:val="00B50D21"/>
    <w:rsid w:val="00B548B7"/>
    <w:rsid w:val="00B55DE3"/>
    <w:rsid w:val="00B56E95"/>
    <w:rsid w:val="00B57AC7"/>
    <w:rsid w:val="00B6215A"/>
    <w:rsid w:val="00B62378"/>
    <w:rsid w:val="00B63EF1"/>
    <w:rsid w:val="00B651A5"/>
    <w:rsid w:val="00B664C7"/>
    <w:rsid w:val="00B672E7"/>
    <w:rsid w:val="00B713D8"/>
    <w:rsid w:val="00B7377B"/>
    <w:rsid w:val="00B739F6"/>
    <w:rsid w:val="00B81A6C"/>
    <w:rsid w:val="00B82211"/>
    <w:rsid w:val="00B8516A"/>
    <w:rsid w:val="00B851A8"/>
    <w:rsid w:val="00B85DE5"/>
    <w:rsid w:val="00B87F6F"/>
    <w:rsid w:val="00B90F73"/>
    <w:rsid w:val="00B92DD0"/>
    <w:rsid w:val="00B93B59"/>
    <w:rsid w:val="00B9406A"/>
    <w:rsid w:val="00B97C38"/>
    <w:rsid w:val="00BA08F2"/>
    <w:rsid w:val="00BA093E"/>
    <w:rsid w:val="00BA1D96"/>
    <w:rsid w:val="00BA2055"/>
    <w:rsid w:val="00BA2280"/>
    <w:rsid w:val="00BA2A08"/>
    <w:rsid w:val="00BA56D2"/>
    <w:rsid w:val="00BA6B5F"/>
    <w:rsid w:val="00BA76E0"/>
    <w:rsid w:val="00BA7C9D"/>
    <w:rsid w:val="00BB24EA"/>
    <w:rsid w:val="00BB2A25"/>
    <w:rsid w:val="00BB31E6"/>
    <w:rsid w:val="00BB4162"/>
    <w:rsid w:val="00BB51E9"/>
    <w:rsid w:val="00BB6219"/>
    <w:rsid w:val="00BB79E1"/>
    <w:rsid w:val="00BC0FDC"/>
    <w:rsid w:val="00BC14F1"/>
    <w:rsid w:val="00BC2D37"/>
    <w:rsid w:val="00BC3053"/>
    <w:rsid w:val="00BC4D2E"/>
    <w:rsid w:val="00BC62D4"/>
    <w:rsid w:val="00BD0357"/>
    <w:rsid w:val="00BD0FD9"/>
    <w:rsid w:val="00BD2415"/>
    <w:rsid w:val="00BD48AC"/>
    <w:rsid w:val="00BD5E26"/>
    <w:rsid w:val="00BD5F1A"/>
    <w:rsid w:val="00BE0EC5"/>
    <w:rsid w:val="00BE1234"/>
    <w:rsid w:val="00BE141D"/>
    <w:rsid w:val="00BE2FA6"/>
    <w:rsid w:val="00BE333F"/>
    <w:rsid w:val="00BE44C5"/>
    <w:rsid w:val="00BE7406"/>
    <w:rsid w:val="00BE7518"/>
    <w:rsid w:val="00BE7603"/>
    <w:rsid w:val="00BF239D"/>
    <w:rsid w:val="00BF3279"/>
    <w:rsid w:val="00BF36A1"/>
    <w:rsid w:val="00BF38BC"/>
    <w:rsid w:val="00BF3E29"/>
    <w:rsid w:val="00BF74C7"/>
    <w:rsid w:val="00C00CFD"/>
    <w:rsid w:val="00C01464"/>
    <w:rsid w:val="00C015F1"/>
    <w:rsid w:val="00C01AE7"/>
    <w:rsid w:val="00C01D76"/>
    <w:rsid w:val="00C01F33"/>
    <w:rsid w:val="00C02CC6"/>
    <w:rsid w:val="00C03F10"/>
    <w:rsid w:val="00C040F7"/>
    <w:rsid w:val="00C044AB"/>
    <w:rsid w:val="00C04C3F"/>
    <w:rsid w:val="00C05706"/>
    <w:rsid w:val="00C07377"/>
    <w:rsid w:val="00C10478"/>
    <w:rsid w:val="00C113FB"/>
    <w:rsid w:val="00C11692"/>
    <w:rsid w:val="00C12107"/>
    <w:rsid w:val="00C125AC"/>
    <w:rsid w:val="00C14073"/>
    <w:rsid w:val="00C14D4B"/>
    <w:rsid w:val="00C154BB"/>
    <w:rsid w:val="00C16396"/>
    <w:rsid w:val="00C1655C"/>
    <w:rsid w:val="00C16975"/>
    <w:rsid w:val="00C21825"/>
    <w:rsid w:val="00C2276D"/>
    <w:rsid w:val="00C22E09"/>
    <w:rsid w:val="00C24517"/>
    <w:rsid w:val="00C24740"/>
    <w:rsid w:val="00C268F1"/>
    <w:rsid w:val="00C26B24"/>
    <w:rsid w:val="00C27801"/>
    <w:rsid w:val="00C279B5"/>
    <w:rsid w:val="00C27C45"/>
    <w:rsid w:val="00C30076"/>
    <w:rsid w:val="00C32AED"/>
    <w:rsid w:val="00C34065"/>
    <w:rsid w:val="00C3719D"/>
    <w:rsid w:val="00C37CB2"/>
    <w:rsid w:val="00C37DDF"/>
    <w:rsid w:val="00C4096A"/>
    <w:rsid w:val="00C41098"/>
    <w:rsid w:val="00C4134E"/>
    <w:rsid w:val="00C441D3"/>
    <w:rsid w:val="00C473A5"/>
    <w:rsid w:val="00C5381C"/>
    <w:rsid w:val="00C54995"/>
    <w:rsid w:val="00C54D41"/>
    <w:rsid w:val="00C5541A"/>
    <w:rsid w:val="00C5750F"/>
    <w:rsid w:val="00C60783"/>
    <w:rsid w:val="00C61193"/>
    <w:rsid w:val="00C616B7"/>
    <w:rsid w:val="00C64672"/>
    <w:rsid w:val="00C64BFB"/>
    <w:rsid w:val="00C6535C"/>
    <w:rsid w:val="00C6543A"/>
    <w:rsid w:val="00C70697"/>
    <w:rsid w:val="00C70FDD"/>
    <w:rsid w:val="00C71636"/>
    <w:rsid w:val="00C72093"/>
    <w:rsid w:val="00C72EF4"/>
    <w:rsid w:val="00C744FE"/>
    <w:rsid w:val="00C74D78"/>
    <w:rsid w:val="00C75D2F"/>
    <w:rsid w:val="00C767BE"/>
    <w:rsid w:val="00C76E3C"/>
    <w:rsid w:val="00C81568"/>
    <w:rsid w:val="00C87F96"/>
    <w:rsid w:val="00C9027A"/>
    <w:rsid w:val="00C9068E"/>
    <w:rsid w:val="00C93814"/>
    <w:rsid w:val="00C93C4B"/>
    <w:rsid w:val="00C944AB"/>
    <w:rsid w:val="00C95B40"/>
    <w:rsid w:val="00CA03D6"/>
    <w:rsid w:val="00CA10FA"/>
    <w:rsid w:val="00CA1D08"/>
    <w:rsid w:val="00CA1ED8"/>
    <w:rsid w:val="00CA5464"/>
    <w:rsid w:val="00CA5F97"/>
    <w:rsid w:val="00CA631F"/>
    <w:rsid w:val="00CA6CBF"/>
    <w:rsid w:val="00CB0440"/>
    <w:rsid w:val="00CB1F63"/>
    <w:rsid w:val="00CB50C2"/>
    <w:rsid w:val="00CB6FA5"/>
    <w:rsid w:val="00CB7170"/>
    <w:rsid w:val="00CC040E"/>
    <w:rsid w:val="00CC111F"/>
    <w:rsid w:val="00CC2011"/>
    <w:rsid w:val="00CC350D"/>
    <w:rsid w:val="00CC3EA0"/>
    <w:rsid w:val="00CC5F35"/>
    <w:rsid w:val="00CC6650"/>
    <w:rsid w:val="00CC7B45"/>
    <w:rsid w:val="00CD02C6"/>
    <w:rsid w:val="00CD0EEA"/>
    <w:rsid w:val="00CD1188"/>
    <w:rsid w:val="00CD2ED1"/>
    <w:rsid w:val="00CD2FB5"/>
    <w:rsid w:val="00CD337B"/>
    <w:rsid w:val="00CD3986"/>
    <w:rsid w:val="00CD5306"/>
    <w:rsid w:val="00CD6832"/>
    <w:rsid w:val="00CD76AF"/>
    <w:rsid w:val="00CE0424"/>
    <w:rsid w:val="00CE1C77"/>
    <w:rsid w:val="00CE46FA"/>
    <w:rsid w:val="00CE7561"/>
    <w:rsid w:val="00CF0B00"/>
    <w:rsid w:val="00CF1354"/>
    <w:rsid w:val="00CF1821"/>
    <w:rsid w:val="00CF3B1F"/>
    <w:rsid w:val="00CF3BF6"/>
    <w:rsid w:val="00CF4B29"/>
    <w:rsid w:val="00CF625B"/>
    <w:rsid w:val="00CF687E"/>
    <w:rsid w:val="00D006D7"/>
    <w:rsid w:val="00D0349B"/>
    <w:rsid w:val="00D072A0"/>
    <w:rsid w:val="00D10249"/>
    <w:rsid w:val="00D115C3"/>
    <w:rsid w:val="00D11897"/>
    <w:rsid w:val="00D13135"/>
    <w:rsid w:val="00D13317"/>
    <w:rsid w:val="00D13E4E"/>
    <w:rsid w:val="00D205D5"/>
    <w:rsid w:val="00D239A7"/>
    <w:rsid w:val="00D23F47"/>
    <w:rsid w:val="00D306EE"/>
    <w:rsid w:val="00D30AC3"/>
    <w:rsid w:val="00D327C0"/>
    <w:rsid w:val="00D36E71"/>
    <w:rsid w:val="00D37D87"/>
    <w:rsid w:val="00D40B33"/>
    <w:rsid w:val="00D425CE"/>
    <w:rsid w:val="00D4318F"/>
    <w:rsid w:val="00D436B5"/>
    <w:rsid w:val="00D438BF"/>
    <w:rsid w:val="00D43DDF"/>
    <w:rsid w:val="00D440F8"/>
    <w:rsid w:val="00D44E34"/>
    <w:rsid w:val="00D453F3"/>
    <w:rsid w:val="00D46270"/>
    <w:rsid w:val="00D468BD"/>
    <w:rsid w:val="00D51517"/>
    <w:rsid w:val="00D51FAB"/>
    <w:rsid w:val="00D5423B"/>
    <w:rsid w:val="00D54395"/>
    <w:rsid w:val="00D546FF"/>
    <w:rsid w:val="00D54F61"/>
    <w:rsid w:val="00D55AD5"/>
    <w:rsid w:val="00D573F9"/>
    <w:rsid w:val="00D576CA"/>
    <w:rsid w:val="00D6029C"/>
    <w:rsid w:val="00D61AF5"/>
    <w:rsid w:val="00D61E96"/>
    <w:rsid w:val="00D6216A"/>
    <w:rsid w:val="00D62E97"/>
    <w:rsid w:val="00D64E10"/>
    <w:rsid w:val="00D652B5"/>
    <w:rsid w:val="00D65764"/>
    <w:rsid w:val="00D66155"/>
    <w:rsid w:val="00D67286"/>
    <w:rsid w:val="00D708B0"/>
    <w:rsid w:val="00D71FC2"/>
    <w:rsid w:val="00D727AD"/>
    <w:rsid w:val="00D73376"/>
    <w:rsid w:val="00D7403B"/>
    <w:rsid w:val="00D7610D"/>
    <w:rsid w:val="00D77B1D"/>
    <w:rsid w:val="00D8021F"/>
    <w:rsid w:val="00D80383"/>
    <w:rsid w:val="00D823C6"/>
    <w:rsid w:val="00D8327F"/>
    <w:rsid w:val="00D86347"/>
    <w:rsid w:val="00D86CA3"/>
    <w:rsid w:val="00D86EBC"/>
    <w:rsid w:val="00D871CE"/>
    <w:rsid w:val="00D87713"/>
    <w:rsid w:val="00D9196D"/>
    <w:rsid w:val="00D92982"/>
    <w:rsid w:val="00D94C77"/>
    <w:rsid w:val="00DA066D"/>
    <w:rsid w:val="00DA13CA"/>
    <w:rsid w:val="00DA305E"/>
    <w:rsid w:val="00DA5417"/>
    <w:rsid w:val="00DA56E8"/>
    <w:rsid w:val="00DA60A2"/>
    <w:rsid w:val="00DA723C"/>
    <w:rsid w:val="00DB0A9F"/>
    <w:rsid w:val="00DB377D"/>
    <w:rsid w:val="00DC2D36"/>
    <w:rsid w:val="00DC2FC2"/>
    <w:rsid w:val="00DC508A"/>
    <w:rsid w:val="00DC53EF"/>
    <w:rsid w:val="00DC5865"/>
    <w:rsid w:val="00DC6012"/>
    <w:rsid w:val="00DD0D59"/>
    <w:rsid w:val="00DD147F"/>
    <w:rsid w:val="00DE2F35"/>
    <w:rsid w:val="00DE3F81"/>
    <w:rsid w:val="00DE5608"/>
    <w:rsid w:val="00DE58D0"/>
    <w:rsid w:val="00DE654F"/>
    <w:rsid w:val="00DE6932"/>
    <w:rsid w:val="00DE75F5"/>
    <w:rsid w:val="00DF0B6E"/>
    <w:rsid w:val="00DF0C29"/>
    <w:rsid w:val="00DF13A7"/>
    <w:rsid w:val="00DF15E0"/>
    <w:rsid w:val="00DF3414"/>
    <w:rsid w:val="00DF37A0"/>
    <w:rsid w:val="00DF3A60"/>
    <w:rsid w:val="00DF793E"/>
    <w:rsid w:val="00E01244"/>
    <w:rsid w:val="00E0156D"/>
    <w:rsid w:val="00E044EB"/>
    <w:rsid w:val="00E10963"/>
    <w:rsid w:val="00E110E7"/>
    <w:rsid w:val="00E11437"/>
    <w:rsid w:val="00E11B20"/>
    <w:rsid w:val="00E122E2"/>
    <w:rsid w:val="00E14D08"/>
    <w:rsid w:val="00E15B91"/>
    <w:rsid w:val="00E1648C"/>
    <w:rsid w:val="00E17FA2"/>
    <w:rsid w:val="00E22330"/>
    <w:rsid w:val="00E27886"/>
    <w:rsid w:val="00E30B5A"/>
    <w:rsid w:val="00E3123D"/>
    <w:rsid w:val="00E31461"/>
    <w:rsid w:val="00E31D43"/>
    <w:rsid w:val="00E32608"/>
    <w:rsid w:val="00E3268F"/>
    <w:rsid w:val="00E34188"/>
    <w:rsid w:val="00E345D7"/>
    <w:rsid w:val="00E34B6E"/>
    <w:rsid w:val="00E3551A"/>
    <w:rsid w:val="00E35559"/>
    <w:rsid w:val="00E3723A"/>
    <w:rsid w:val="00E37860"/>
    <w:rsid w:val="00E4123A"/>
    <w:rsid w:val="00E429EE"/>
    <w:rsid w:val="00E446F1"/>
    <w:rsid w:val="00E45DBB"/>
    <w:rsid w:val="00E4650C"/>
    <w:rsid w:val="00E46886"/>
    <w:rsid w:val="00E47AEF"/>
    <w:rsid w:val="00E53B75"/>
    <w:rsid w:val="00E54E3B"/>
    <w:rsid w:val="00E57565"/>
    <w:rsid w:val="00E60DB7"/>
    <w:rsid w:val="00E63838"/>
    <w:rsid w:val="00E63986"/>
    <w:rsid w:val="00E64434"/>
    <w:rsid w:val="00E64E7B"/>
    <w:rsid w:val="00E66CB7"/>
    <w:rsid w:val="00E67C51"/>
    <w:rsid w:val="00E7084F"/>
    <w:rsid w:val="00E7163D"/>
    <w:rsid w:val="00E71EF0"/>
    <w:rsid w:val="00E72EFC"/>
    <w:rsid w:val="00E739DF"/>
    <w:rsid w:val="00E758EC"/>
    <w:rsid w:val="00E770C1"/>
    <w:rsid w:val="00E772BD"/>
    <w:rsid w:val="00E8234C"/>
    <w:rsid w:val="00E83AA9"/>
    <w:rsid w:val="00E83E8B"/>
    <w:rsid w:val="00E84F01"/>
    <w:rsid w:val="00E85928"/>
    <w:rsid w:val="00E87822"/>
    <w:rsid w:val="00E90395"/>
    <w:rsid w:val="00E907C0"/>
    <w:rsid w:val="00E90E49"/>
    <w:rsid w:val="00E91427"/>
    <w:rsid w:val="00E917F9"/>
    <w:rsid w:val="00E9291C"/>
    <w:rsid w:val="00E93FFE"/>
    <w:rsid w:val="00E94F8A"/>
    <w:rsid w:val="00EA658A"/>
    <w:rsid w:val="00EA7A41"/>
    <w:rsid w:val="00EB077B"/>
    <w:rsid w:val="00EB46F3"/>
    <w:rsid w:val="00EB4EA2"/>
    <w:rsid w:val="00EB5E0A"/>
    <w:rsid w:val="00EC24D5"/>
    <w:rsid w:val="00EC27C6"/>
    <w:rsid w:val="00EC3557"/>
    <w:rsid w:val="00EC4207"/>
    <w:rsid w:val="00EC507F"/>
    <w:rsid w:val="00EC5514"/>
    <w:rsid w:val="00EC5653"/>
    <w:rsid w:val="00EC5B69"/>
    <w:rsid w:val="00EC71CE"/>
    <w:rsid w:val="00ED0584"/>
    <w:rsid w:val="00ED1006"/>
    <w:rsid w:val="00ED4CB5"/>
    <w:rsid w:val="00EE0F6F"/>
    <w:rsid w:val="00EE1D8E"/>
    <w:rsid w:val="00EE3CFC"/>
    <w:rsid w:val="00EF18FE"/>
    <w:rsid w:val="00EF1BEC"/>
    <w:rsid w:val="00EF2883"/>
    <w:rsid w:val="00EF3117"/>
    <w:rsid w:val="00EF5787"/>
    <w:rsid w:val="00EF60D0"/>
    <w:rsid w:val="00EF6E9C"/>
    <w:rsid w:val="00EF7A59"/>
    <w:rsid w:val="00F0424A"/>
    <w:rsid w:val="00F0528D"/>
    <w:rsid w:val="00F06C67"/>
    <w:rsid w:val="00F06DFD"/>
    <w:rsid w:val="00F071D1"/>
    <w:rsid w:val="00F07533"/>
    <w:rsid w:val="00F10629"/>
    <w:rsid w:val="00F13D48"/>
    <w:rsid w:val="00F15EB9"/>
    <w:rsid w:val="00F15FA5"/>
    <w:rsid w:val="00F2017B"/>
    <w:rsid w:val="00F209B7"/>
    <w:rsid w:val="00F20A19"/>
    <w:rsid w:val="00F2376F"/>
    <w:rsid w:val="00F243D8"/>
    <w:rsid w:val="00F26573"/>
    <w:rsid w:val="00F266F6"/>
    <w:rsid w:val="00F27919"/>
    <w:rsid w:val="00F30828"/>
    <w:rsid w:val="00F313D6"/>
    <w:rsid w:val="00F31400"/>
    <w:rsid w:val="00F37104"/>
    <w:rsid w:val="00F37180"/>
    <w:rsid w:val="00F40C08"/>
    <w:rsid w:val="00F40F0C"/>
    <w:rsid w:val="00F46FE3"/>
    <w:rsid w:val="00F4766C"/>
    <w:rsid w:val="00F5060E"/>
    <w:rsid w:val="00F507D1"/>
    <w:rsid w:val="00F519CE"/>
    <w:rsid w:val="00F51ADA"/>
    <w:rsid w:val="00F57BBE"/>
    <w:rsid w:val="00F60203"/>
    <w:rsid w:val="00F607C5"/>
    <w:rsid w:val="00F60DEA"/>
    <w:rsid w:val="00F6195E"/>
    <w:rsid w:val="00F62BC3"/>
    <w:rsid w:val="00F62CC5"/>
    <w:rsid w:val="00F6302A"/>
    <w:rsid w:val="00F63950"/>
    <w:rsid w:val="00F64C2B"/>
    <w:rsid w:val="00F651BE"/>
    <w:rsid w:val="00F666BA"/>
    <w:rsid w:val="00F67F53"/>
    <w:rsid w:val="00F7012A"/>
    <w:rsid w:val="00F703BE"/>
    <w:rsid w:val="00F70428"/>
    <w:rsid w:val="00F7191F"/>
    <w:rsid w:val="00F71F69"/>
    <w:rsid w:val="00F72B72"/>
    <w:rsid w:val="00F74BB9"/>
    <w:rsid w:val="00F74D93"/>
    <w:rsid w:val="00F75582"/>
    <w:rsid w:val="00F76EFA"/>
    <w:rsid w:val="00F804BE"/>
    <w:rsid w:val="00F817CE"/>
    <w:rsid w:val="00F81E0F"/>
    <w:rsid w:val="00F8456C"/>
    <w:rsid w:val="00F859D8"/>
    <w:rsid w:val="00F868F5"/>
    <w:rsid w:val="00F87679"/>
    <w:rsid w:val="00F9036C"/>
    <w:rsid w:val="00F9056A"/>
    <w:rsid w:val="00F90F8D"/>
    <w:rsid w:val="00F92782"/>
    <w:rsid w:val="00F93AA9"/>
    <w:rsid w:val="00F94885"/>
    <w:rsid w:val="00F94E27"/>
    <w:rsid w:val="00F95223"/>
    <w:rsid w:val="00F96985"/>
    <w:rsid w:val="00F97838"/>
    <w:rsid w:val="00FA04B0"/>
    <w:rsid w:val="00FA2BB3"/>
    <w:rsid w:val="00FA4C23"/>
    <w:rsid w:val="00FA7B23"/>
    <w:rsid w:val="00FA7B31"/>
    <w:rsid w:val="00FB3047"/>
    <w:rsid w:val="00FB4C80"/>
    <w:rsid w:val="00FB6A6A"/>
    <w:rsid w:val="00FB711D"/>
    <w:rsid w:val="00FC36A9"/>
    <w:rsid w:val="00FC42BD"/>
    <w:rsid w:val="00FC5EE5"/>
    <w:rsid w:val="00FC62B5"/>
    <w:rsid w:val="00FC63C3"/>
    <w:rsid w:val="00FC7147"/>
    <w:rsid w:val="00FC7429"/>
    <w:rsid w:val="00FD07F6"/>
    <w:rsid w:val="00FD1D9A"/>
    <w:rsid w:val="00FD1EC8"/>
    <w:rsid w:val="00FD3F82"/>
    <w:rsid w:val="00FD47ED"/>
    <w:rsid w:val="00FD6129"/>
    <w:rsid w:val="00FD74DB"/>
    <w:rsid w:val="00FD7660"/>
    <w:rsid w:val="00FE0655"/>
    <w:rsid w:val="00FE1DA7"/>
    <w:rsid w:val="00FE2365"/>
    <w:rsid w:val="00FE37D7"/>
    <w:rsid w:val="00FE4B16"/>
    <w:rsid w:val="00FE4C7B"/>
    <w:rsid w:val="00FE5DDA"/>
    <w:rsid w:val="00FE7336"/>
    <w:rsid w:val="00FE787C"/>
    <w:rsid w:val="00FE7DFC"/>
    <w:rsid w:val="00FF0EC0"/>
    <w:rsid w:val="00FF1728"/>
    <w:rsid w:val="00FF4114"/>
    <w:rsid w:val="00FF45A5"/>
    <w:rsid w:val="00FF45B7"/>
    <w:rsid w:val="00FF486A"/>
    <w:rsid w:val="00FF5C91"/>
    <w:rsid w:val="00FF76B2"/>
    <w:rsid w:val="5E8C2D23"/>
    <w:rsid w:val="656E05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24C0D00-1B5F-41AE-B340-271733C5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62B01"/>
    <w:pPr>
      <w:pBdr>
        <w:top w:val="none" w:sz="0" w:space="0" w:color="auto"/>
      </w:pBdr>
      <w:spacing w:before="180"/>
      <w:outlineLvl w:val="1"/>
    </w:pPr>
    <w:rPr>
      <w:sz w:val="28"/>
    </w:rPr>
  </w:style>
  <w:style w:type="paragraph" w:styleId="Heading3">
    <w:name w:val="heading 3"/>
    <w:basedOn w:val="Heading2"/>
    <w:next w:val="Normal"/>
    <w:link w:val="Heading3Char"/>
    <w:qFormat/>
    <w:rsid w:val="008D00A5"/>
    <w:pPr>
      <w:spacing w:before="120"/>
      <w:outlineLvl w:val="2"/>
    </w:p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28"/>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85650"/>
    <w:rPr>
      <w:rFonts w:ascii="Arial" w:eastAsiaTheme="minorHAnsi" w:hAnsi="Arial" w:cstheme="minorBidi"/>
      <w:szCs w:val="22"/>
      <w:lang w:val="en-US" w:eastAsia="en-US"/>
    </w:rPr>
  </w:style>
  <w:style w:type="character" w:customStyle="1" w:styleId="mord">
    <w:name w:val="mord"/>
    <w:basedOn w:val="DefaultParagraphFont"/>
    <w:rsid w:val="00DA066D"/>
  </w:style>
  <w:style w:type="character" w:customStyle="1" w:styleId="vlist-s">
    <w:name w:val="vlist-s"/>
    <w:basedOn w:val="DefaultParagraphFont"/>
    <w:rsid w:val="00DA066D"/>
  </w:style>
  <w:style w:type="character" w:customStyle="1" w:styleId="mrel">
    <w:name w:val="mrel"/>
    <w:basedOn w:val="DefaultParagraphFont"/>
    <w:rsid w:val="00DA066D"/>
  </w:style>
  <w:style w:type="character" w:customStyle="1" w:styleId="mopen">
    <w:name w:val="mopen"/>
    <w:basedOn w:val="DefaultParagraphFont"/>
    <w:rsid w:val="00DA066D"/>
  </w:style>
  <w:style w:type="character" w:customStyle="1" w:styleId="mclose">
    <w:name w:val="mclose"/>
    <w:basedOn w:val="DefaultParagraphFont"/>
    <w:rsid w:val="00DA066D"/>
  </w:style>
  <w:style w:type="character" w:customStyle="1" w:styleId="mpunct">
    <w:name w:val="mpunct"/>
    <w:basedOn w:val="DefaultParagraphFont"/>
    <w:rsid w:val="00DA066D"/>
  </w:style>
  <w:style w:type="character" w:styleId="PlaceholderText">
    <w:name w:val="Placeholder Text"/>
    <w:basedOn w:val="DefaultParagraphFont"/>
    <w:uiPriority w:val="99"/>
    <w:semiHidden/>
    <w:rsid w:val="00DA066D"/>
    <w:rPr>
      <w:color w:val="666666"/>
    </w:rPr>
  </w:style>
  <w:style w:type="character" w:customStyle="1" w:styleId="apple-converted-space">
    <w:name w:val="apple-converted-space"/>
    <w:basedOn w:val="DefaultParagraphFont"/>
    <w:rsid w:val="00865FBE"/>
  </w:style>
  <w:style w:type="character" w:customStyle="1" w:styleId="katex-mathml">
    <w:name w:val="katex-mathml"/>
    <w:basedOn w:val="DefaultParagraphFont"/>
    <w:rsid w:val="00865FBE"/>
  </w:style>
  <w:style w:type="paragraph" w:styleId="NormalWeb">
    <w:name w:val="Normal (Web)"/>
    <w:basedOn w:val="Normal"/>
    <w:uiPriority w:val="99"/>
    <w:unhideWhenUsed/>
    <w:rsid w:val="00DF7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limsizing">
    <w:name w:val="delimsizing"/>
    <w:basedOn w:val="DefaultParagraphFont"/>
    <w:rsid w:val="00C01AE7"/>
  </w:style>
  <w:style w:type="character" w:customStyle="1" w:styleId="mop">
    <w:name w:val="mop"/>
    <w:basedOn w:val="DefaultParagraphFont"/>
    <w:rsid w:val="00DE75F5"/>
  </w:style>
  <w:style w:type="character" w:customStyle="1" w:styleId="sr-only">
    <w:name w:val="sr-only"/>
    <w:basedOn w:val="DefaultParagraphFont"/>
    <w:rsid w:val="00837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1871">
      <w:bodyDiv w:val="1"/>
      <w:marLeft w:val="0"/>
      <w:marRight w:val="0"/>
      <w:marTop w:val="0"/>
      <w:marBottom w:val="0"/>
      <w:divBdr>
        <w:top w:val="none" w:sz="0" w:space="0" w:color="auto"/>
        <w:left w:val="none" w:sz="0" w:space="0" w:color="auto"/>
        <w:bottom w:val="none" w:sz="0" w:space="0" w:color="auto"/>
        <w:right w:val="none" w:sz="0" w:space="0" w:color="auto"/>
      </w:divBdr>
    </w:div>
    <w:div w:id="31078418">
      <w:bodyDiv w:val="1"/>
      <w:marLeft w:val="0"/>
      <w:marRight w:val="0"/>
      <w:marTop w:val="0"/>
      <w:marBottom w:val="0"/>
      <w:divBdr>
        <w:top w:val="none" w:sz="0" w:space="0" w:color="auto"/>
        <w:left w:val="none" w:sz="0" w:space="0" w:color="auto"/>
        <w:bottom w:val="none" w:sz="0" w:space="0" w:color="auto"/>
        <w:right w:val="none" w:sz="0" w:space="0" w:color="auto"/>
      </w:divBdr>
    </w:div>
    <w:div w:id="46490393">
      <w:bodyDiv w:val="1"/>
      <w:marLeft w:val="0"/>
      <w:marRight w:val="0"/>
      <w:marTop w:val="0"/>
      <w:marBottom w:val="0"/>
      <w:divBdr>
        <w:top w:val="none" w:sz="0" w:space="0" w:color="auto"/>
        <w:left w:val="none" w:sz="0" w:space="0" w:color="auto"/>
        <w:bottom w:val="none" w:sz="0" w:space="0" w:color="auto"/>
        <w:right w:val="none" w:sz="0" w:space="0" w:color="auto"/>
      </w:divBdr>
    </w:div>
    <w:div w:id="66196627">
      <w:bodyDiv w:val="1"/>
      <w:marLeft w:val="0"/>
      <w:marRight w:val="0"/>
      <w:marTop w:val="0"/>
      <w:marBottom w:val="0"/>
      <w:divBdr>
        <w:top w:val="none" w:sz="0" w:space="0" w:color="auto"/>
        <w:left w:val="none" w:sz="0" w:space="0" w:color="auto"/>
        <w:bottom w:val="none" w:sz="0" w:space="0" w:color="auto"/>
        <w:right w:val="none" w:sz="0" w:space="0" w:color="auto"/>
      </w:divBdr>
    </w:div>
    <w:div w:id="161627748">
      <w:bodyDiv w:val="1"/>
      <w:marLeft w:val="0"/>
      <w:marRight w:val="0"/>
      <w:marTop w:val="0"/>
      <w:marBottom w:val="0"/>
      <w:divBdr>
        <w:top w:val="none" w:sz="0" w:space="0" w:color="auto"/>
        <w:left w:val="none" w:sz="0" w:space="0" w:color="auto"/>
        <w:bottom w:val="none" w:sz="0" w:space="0" w:color="auto"/>
        <w:right w:val="none" w:sz="0" w:space="0" w:color="auto"/>
      </w:divBdr>
    </w:div>
    <w:div w:id="221865910">
      <w:bodyDiv w:val="1"/>
      <w:marLeft w:val="0"/>
      <w:marRight w:val="0"/>
      <w:marTop w:val="0"/>
      <w:marBottom w:val="0"/>
      <w:divBdr>
        <w:top w:val="none" w:sz="0" w:space="0" w:color="auto"/>
        <w:left w:val="none" w:sz="0" w:space="0" w:color="auto"/>
        <w:bottom w:val="none" w:sz="0" w:space="0" w:color="auto"/>
        <w:right w:val="none" w:sz="0" w:space="0" w:color="auto"/>
      </w:divBdr>
    </w:div>
    <w:div w:id="271936269">
      <w:bodyDiv w:val="1"/>
      <w:marLeft w:val="0"/>
      <w:marRight w:val="0"/>
      <w:marTop w:val="0"/>
      <w:marBottom w:val="0"/>
      <w:divBdr>
        <w:top w:val="none" w:sz="0" w:space="0" w:color="auto"/>
        <w:left w:val="none" w:sz="0" w:space="0" w:color="auto"/>
        <w:bottom w:val="none" w:sz="0" w:space="0" w:color="auto"/>
        <w:right w:val="none" w:sz="0" w:space="0" w:color="auto"/>
      </w:divBdr>
    </w:div>
    <w:div w:id="309553577">
      <w:bodyDiv w:val="1"/>
      <w:marLeft w:val="0"/>
      <w:marRight w:val="0"/>
      <w:marTop w:val="0"/>
      <w:marBottom w:val="0"/>
      <w:divBdr>
        <w:top w:val="none" w:sz="0" w:space="0" w:color="auto"/>
        <w:left w:val="none" w:sz="0" w:space="0" w:color="auto"/>
        <w:bottom w:val="none" w:sz="0" w:space="0" w:color="auto"/>
        <w:right w:val="none" w:sz="0" w:space="0" w:color="auto"/>
      </w:divBdr>
      <w:divsChild>
        <w:div w:id="717045805">
          <w:marLeft w:val="0"/>
          <w:marRight w:val="0"/>
          <w:marTop w:val="0"/>
          <w:marBottom w:val="0"/>
          <w:divBdr>
            <w:top w:val="none" w:sz="0" w:space="0" w:color="auto"/>
            <w:left w:val="none" w:sz="0" w:space="0" w:color="auto"/>
            <w:bottom w:val="none" w:sz="0" w:space="0" w:color="auto"/>
            <w:right w:val="none" w:sz="0" w:space="0" w:color="auto"/>
          </w:divBdr>
          <w:divsChild>
            <w:div w:id="2115779576">
              <w:marLeft w:val="0"/>
              <w:marRight w:val="0"/>
              <w:marTop w:val="0"/>
              <w:marBottom w:val="0"/>
              <w:divBdr>
                <w:top w:val="none" w:sz="0" w:space="0" w:color="auto"/>
                <w:left w:val="none" w:sz="0" w:space="0" w:color="auto"/>
                <w:bottom w:val="none" w:sz="0" w:space="0" w:color="auto"/>
                <w:right w:val="none" w:sz="0" w:space="0" w:color="auto"/>
              </w:divBdr>
              <w:divsChild>
                <w:div w:id="1826583093">
                  <w:marLeft w:val="0"/>
                  <w:marRight w:val="0"/>
                  <w:marTop w:val="0"/>
                  <w:marBottom w:val="0"/>
                  <w:divBdr>
                    <w:top w:val="none" w:sz="0" w:space="0" w:color="auto"/>
                    <w:left w:val="none" w:sz="0" w:space="0" w:color="auto"/>
                    <w:bottom w:val="none" w:sz="0" w:space="0" w:color="auto"/>
                    <w:right w:val="none" w:sz="0" w:space="0" w:color="auto"/>
                  </w:divBdr>
                  <w:divsChild>
                    <w:div w:id="1853910924">
                      <w:marLeft w:val="0"/>
                      <w:marRight w:val="0"/>
                      <w:marTop w:val="0"/>
                      <w:marBottom w:val="0"/>
                      <w:divBdr>
                        <w:top w:val="none" w:sz="0" w:space="0" w:color="auto"/>
                        <w:left w:val="none" w:sz="0" w:space="0" w:color="auto"/>
                        <w:bottom w:val="none" w:sz="0" w:space="0" w:color="auto"/>
                        <w:right w:val="none" w:sz="0" w:space="0" w:color="auto"/>
                      </w:divBdr>
                      <w:divsChild>
                        <w:div w:id="1989237789">
                          <w:marLeft w:val="0"/>
                          <w:marRight w:val="0"/>
                          <w:marTop w:val="0"/>
                          <w:marBottom w:val="0"/>
                          <w:divBdr>
                            <w:top w:val="none" w:sz="0" w:space="0" w:color="auto"/>
                            <w:left w:val="none" w:sz="0" w:space="0" w:color="auto"/>
                            <w:bottom w:val="none" w:sz="0" w:space="0" w:color="auto"/>
                            <w:right w:val="none" w:sz="0" w:space="0" w:color="auto"/>
                          </w:divBdr>
                          <w:divsChild>
                            <w:div w:id="58032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2231">
                  <w:marLeft w:val="0"/>
                  <w:marRight w:val="0"/>
                  <w:marTop w:val="0"/>
                  <w:marBottom w:val="0"/>
                  <w:divBdr>
                    <w:top w:val="none" w:sz="0" w:space="0" w:color="auto"/>
                    <w:left w:val="none" w:sz="0" w:space="0" w:color="auto"/>
                    <w:bottom w:val="none" w:sz="0" w:space="0" w:color="auto"/>
                    <w:right w:val="none" w:sz="0" w:space="0" w:color="auto"/>
                  </w:divBdr>
                  <w:divsChild>
                    <w:div w:id="1834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063028">
      <w:bodyDiv w:val="1"/>
      <w:marLeft w:val="0"/>
      <w:marRight w:val="0"/>
      <w:marTop w:val="0"/>
      <w:marBottom w:val="0"/>
      <w:divBdr>
        <w:top w:val="none" w:sz="0" w:space="0" w:color="auto"/>
        <w:left w:val="none" w:sz="0" w:space="0" w:color="auto"/>
        <w:bottom w:val="none" w:sz="0" w:space="0" w:color="auto"/>
        <w:right w:val="none" w:sz="0" w:space="0" w:color="auto"/>
      </w:divBdr>
    </w:div>
    <w:div w:id="835999627">
      <w:bodyDiv w:val="1"/>
      <w:marLeft w:val="0"/>
      <w:marRight w:val="0"/>
      <w:marTop w:val="0"/>
      <w:marBottom w:val="0"/>
      <w:divBdr>
        <w:top w:val="none" w:sz="0" w:space="0" w:color="auto"/>
        <w:left w:val="none" w:sz="0" w:space="0" w:color="auto"/>
        <w:bottom w:val="none" w:sz="0" w:space="0" w:color="auto"/>
        <w:right w:val="none" w:sz="0" w:space="0" w:color="auto"/>
      </w:divBdr>
    </w:div>
    <w:div w:id="881014227">
      <w:bodyDiv w:val="1"/>
      <w:marLeft w:val="0"/>
      <w:marRight w:val="0"/>
      <w:marTop w:val="0"/>
      <w:marBottom w:val="0"/>
      <w:divBdr>
        <w:top w:val="none" w:sz="0" w:space="0" w:color="auto"/>
        <w:left w:val="none" w:sz="0" w:space="0" w:color="auto"/>
        <w:bottom w:val="none" w:sz="0" w:space="0" w:color="auto"/>
        <w:right w:val="none" w:sz="0" w:space="0" w:color="auto"/>
      </w:divBdr>
    </w:div>
    <w:div w:id="930241124">
      <w:bodyDiv w:val="1"/>
      <w:marLeft w:val="0"/>
      <w:marRight w:val="0"/>
      <w:marTop w:val="0"/>
      <w:marBottom w:val="0"/>
      <w:divBdr>
        <w:top w:val="none" w:sz="0" w:space="0" w:color="auto"/>
        <w:left w:val="none" w:sz="0" w:space="0" w:color="auto"/>
        <w:bottom w:val="none" w:sz="0" w:space="0" w:color="auto"/>
        <w:right w:val="none" w:sz="0" w:space="0" w:color="auto"/>
      </w:divBdr>
    </w:div>
    <w:div w:id="961497879">
      <w:bodyDiv w:val="1"/>
      <w:marLeft w:val="0"/>
      <w:marRight w:val="0"/>
      <w:marTop w:val="0"/>
      <w:marBottom w:val="0"/>
      <w:divBdr>
        <w:top w:val="none" w:sz="0" w:space="0" w:color="auto"/>
        <w:left w:val="none" w:sz="0" w:space="0" w:color="auto"/>
        <w:bottom w:val="none" w:sz="0" w:space="0" w:color="auto"/>
        <w:right w:val="none" w:sz="0" w:space="0" w:color="auto"/>
      </w:divBdr>
    </w:div>
    <w:div w:id="1136340184">
      <w:bodyDiv w:val="1"/>
      <w:marLeft w:val="0"/>
      <w:marRight w:val="0"/>
      <w:marTop w:val="0"/>
      <w:marBottom w:val="0"/>
      <w:divBdr>
        <w:top w:val="none" w:sz="0" w:space="0" w:color="auto"/>
        <w:left w:val="none" w:sz="0" w:space="0" w:color="auto"/>
        <w:bottom w:val="none" w:sz="0" w:space="0" w:color="auto"/>
        <w:right w:val="none" w:sz="0" w:space="0" w:color="auto"/>
      </w:divBdr>
      <w:divsChild>
        <w:div w:id="172232496">
          <w:marLeft w:val="0"/>
          <w:marRight w:val="0"/>
          <w:marTop w:val="0"/>
          <w:marBottom w:val="0"/>
          <w:divBdr>
            <w:top w:val="none" w:sz="0" w:space="0" w:color="auto"/>
            <w:left w:val="none" w:sz="0" w:space="0" w:color="auto"/>
            <w:bottom w:val="none" w:sz="0" w:space="0" w:color="auto"/>
            <w:right w:val="none" w:sz="0" w:space="0" w:color="auto"/>
          </w:divBdr>
          <w:divsChild>
            <w:div w:id="209533396">
              <w:marLeft w:val="0"/>
              <w:marRight w:val="0"/>
              <w:marTop w:val="0"/>
              <w:marBottom w:val="0"/>
              <w:divBdr>
                <w:top w:val="none" w:sz="0" w:space="0" w:color="auto"/>
                <w:left w:val="none" w:sz="0" w:space="0" w:color="auto"/>
                <w:bottom w:val="none" w:sz="0" w:space="0" w:color="auto"/>
                <w:right w:val="none" w:sz="0" w:space="0" w:color="auto"/>
              </w:divBdr>
              <w:divsChild>
                <w:div w:id="1130518593">
                  <w:marLeft w:val="0"/>
                  <w:marRight w:val="0"/>
                  <w:marTop w:val="0"/>
                  <w:marBottom w:val="0"/>
                  <w:divBdr>
                    <w:top w:val="none" w:sz="0" w:space="0" w:color="auto"/>
                    <w:left w:val="none" w:sz="0" w:space="0" w:color="auto"/>
                    <w:bottom w:val="none" w:sz="0" w:space="0" w:color="auto"/>
                    <w:right w:val="none" w:sz="0" w:space="0" w:color="auto"/>
                  </w:divBdr>
                  <w:divsChild>
                    <w:div w:id="835458558">
                      <w:marLeft w:val="0"/>
                      <w:marRight w:val="0"/>
                      <w:marTop w:val="0"/>
                      <w:marBottom w:val="0"/>
                      <w:divBdr>
                        <w:top w:val="none" w:sz="0" w:space="0" w:color="auto"/>
                        <w:left w:val="none" w:sz="0" w:space="0" w:color="auto"/>
                        <w:bottom w:val="none" w:sz="0" w:space="0" w:color="auto"/>
                        <w:right w:val="none" w:sz="0" w:space="0" w:color="auto"/>
                      </w:divBdr>
                      <w:divsChild>
                        <w:div w:id="1958490974">
                          <w:marLeft w:val="0"/>
                          <w:marRight w:val="0"/>
                          <w:marTop w:val="0"/>
                          <w:marBottom w:val="0"/>
                          <w:divBdr>
                            <w:top w:val="none" w:sz="0" w:space="0" w:color="auto"/>
                            <w:left w:val="none" w:sz="0" w:space="0" w:color="auto"/>
                            <w:bottom w:val="none" w:sz="0" w:space="0" w:color="auto"/>
                            <w:right w:val="none" w:sz="0" w:space="0" w:color="auto"/>
                          </w:divBdr>
                          <w:divsChild>
                            <w:div w:id="159917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075176">
                  <w:marLeft w:val="0"/>
                  <w:marRight w:val="0"/>
                  <w:marTop w:val="0"/>
                  <w:marBottom w:val="0"/>
                  <w:divBdr>
                    <w:top w:val="none" w:sz="0" w:space="0" w:color="auto"/>
                    <w:left w:val="none" w:sz="0" w:space="0" w:color="auto"/>
                    <w:bottom w:val="none" w:sz="0" w:space="0" w:color="auto"/>
                    <w:right w:val="none" w:sz="0" w:space="0" w:color="auto"/>
                  </w:divBdr>
                  <w:divsChild>
                    <w:div w:id="148813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469879">
      <w:bodyDiv w:val="1"/>
      <w:marLeft w:val="0"/>
      <w:marRight w:val="0"/>
      <w:marTop w:val="0"/>
      <w:marBottom w:val="0"/>
      <w:divBdr>
        <w:top w:val="none" w:sz="0" w:space="0" w:color="auto"/>
        <w:left w:val="none" w:sz="0" w:space="0" w:color="auto"/>
        <w:bottom w:val="none" w:sz="0" w:space="0" w:color="auto"/>
        <w:right w:val="none" w:sz="0" w:space="0" w:color="auto"/>
      </w:divBdr>
    </w:div>
    <w:div w:id="1201937916">
      <w:bodyDiv w:val="1"/>
      <w:marLeft w:val="0"/>
      <w:marRight w:val="0"/>
      <w:marTop w:val="0"/>
      <w:marBottom w:val="0"/>
      <w:divBdr>
        <w:top w:val="none" w:sz="0" w:space="0" w:color="auto"/>
        <w:left w:val="none" w:sz="0" w:space="0" w:color="auto"/>
        <w:bottom w:val="none" w:sz="0" w:space="0" w:color="auto"/>
        <w:right w:val="none" w:sz="0" w:space="0" w:color="auto"/>
      </w:divBdr>
    </w:div>
    <w:div w:id="1381978706">
      <w:bodyDiv w:val="1"/>
      <w:marLeft w:val="0"/>
      <w:marRight w:val="0"/>
      <w:marTop w:val="0"/>
      <w:marBottom w:val="0"/>
      <w:divBdr>
        <w:top w:val="none" w:sz="0" w:space="0" w:color="auto"/>
        <w:left w:val="none" w:sz="0" w:space="0" w:color="auto"/>
        <w:bottom w:val="none" w:sz="0" w:space="0" w:color="auto"/>
        <w:right w:val="none" w:sz="0" w:space="0" w:color="auto"/>
      </w:divBdr>
    </w:div>
    <w:div w:id="1390961821">
      <w:bodyDiv w:val="1"/>
      <w:marLeft w:val="0"/>
      <w:marRight w:val="0"/>
      <w:marTop w:val="0"/>
      <w:marBottom w:val="0"/>
      <w:divBdr>
        <w:top w:val="none" w:sz="0" w:space="0" w:color="auto"/>
        <w:left w:val="none" w:sz="0" w:space="0" w:color="auto"/>
        <w:bottom w:val="none" w:sz="0" w:space="0" w:color="auto"/>
        <w:right w:val="none" w:sz="0" w:space="0" w:color="auto"/>
      </w:divBdr>
    </w:div>
    <w:div w:id="1428572210">
      <w:bodyDiv w:val="1"/>
      <w:marLeft w:val="0"/>
      <w:marRight w:val="0"/>
      <w:marTop w:val="0"/>
      <w:marBottom w:val="0"/>
      <w:divBdr>
        <w:top w:val="none" w:sz="0" w:space="0" w:color="auto"/>
        <w:left w:val="none" w:sz="0" w:space="0" w:color="auto"/>
        <w:bottom w:val="none" w:sz="0" w:space="0" w:color="auto"/>
        <w:right w:val="none" w:sz="0" w:space="0" w:color="auto"/>
      </w:divBdr>
    </w:div>
    <w:div w:id="1550334392">
      <w:bodyDiv w:val="1"/>
      <w:marLeft w:val="0"/>
      <w:marRight w:val="0"/>
      <w:marTop w:val="0"/>
      <w:marBottom w:val="0"/>
      <w:divBdr>
        <w:top w:val="none" w:sz="0" w:space="0" w:color="auto"/>
        <w:left w:val="none" w:sz="0" w:space="0" w:color="auto"/>
        <w:bottom w:val="none" w:sz="0" w:space="0" w:color="auto"/>
        <w:right w:val="none" w:sz="0" w:space="0" w:color="auto"/>
      </w:divBdr>
    </w:div>
    <w:div w:id="1568414545">
      <w:bodyDiv w:val="1"/>
      <w:marLeft w:val="0"/>
      <w:marRight w:val="0"/>
      <w:marTop w:val="0"/>
      <w:marBottom w:val="0"/>
      <w:divBdr>
        <w:top w:val="none" w:sz="0" w:space="0" w:color="auto"/>
        <w:left w:val="none" w:sz="0" w:space="0" w:color="auto"/>
        <w:bottom w:val="none" w:sz="0" w:space="0" w:color="auto"/>
        <w:right w:val="none" w:sz="0" w:space="0" w:color="auto"/>
      </w:divBdr>
    </w:div>
    <w:div w:id="1593127672">
      <w:bodyDiv w:val="1"/>
      <w:marLeft w:val="0"/>
      <w:marRight w:val="0"/>
      <w:marTop w:val="0"/>
      <w:marBottom w:val="0"/>
      <w:divBdr>
        <w:top w:val="none" w:sz="0" w:space="0" w:color="auto"/>
        <w:left w:val="none" w:sz="0" w:space="0" w:color="auto"/>
        <w:bottom w:val="none" w:sz="0" w:space="0" w:color="auto"/>
        <w:right w:val="none" w:sz="0" w:space="0" w:color="auto"/>
      </w:divBdr>
    </w:div>
    <w:div w:id="1630282665">
      <w:bodyDiv w:val="1"/>
      <w:marLeft w:val="0"/>
      <w:marRight w:val="0"/>
      <w:marTop w:val="0"/>
      <w:marBottom w:val="0"/>
      <w:divBdr>
        <w:top w:val="none" w:sz="0" w:space="0" w:color="auto"/>
        <w:left w:val="none" w:sz="0" w:space="0" w:color="auto"/>
        <w:bottom w:val="none" w:sz="0" w:space="0" w:color="auto"/>
        <w:right w:val="none" w:sz="0" w:space="0" w:color="auto"/>
      </w:divBdr>
    </w:div>
    <w:div w:id="1887140567">
      <w:bodyDiv w:val="1"/>
      <w:marLeft w:val="0"/>
      <w:marRight w:val="0"/>
      <w:marTop w:val="0"/>
      <w:marBottom w:val="0"/>
      <w:divBdr>
        <w:top w:val="none" w:sz="0" w:space="0" w:color="auto"/>
        <w:left w:val="none" w:sz="0" w:space="0" w:color="auto"/>
        <w:bottom w:val="none" w:sz="0" w:space="0" w:color="auto"/>
        <w:right w:val="none" w:sz="0" w:space="0" w:color="auto"/>
      </w:divBdr>
    </w:div>
    <w:div w:id="20543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4B415A82-A6F7-447B-BBAF-81DAE1C20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10</Pages>
  <Words>4912</Words>
  <Characters>28003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32850</CharactersWithSpaces>
  <SharedDoc>false</SharedDoc>
  <HLinks>
    <vt:vector size="114" baseType="variant">
      <vt:variant>
        <vt:i4>1048631</vt:i4>
      </vt:variant>
      <vt:variant>
        <vt:i4>119</vt:i4>
      </vt:variant>
      <vt:variant>
        <vt:i4>0</vt:i4>
      </vt:variant>
      <vt:variant>
        <vt:i4>5</vt:i4>
      </vt:variant>
      <vt:variant>
        <vt:lpwstr/>
      </vt:variant>
      <vt:variant>
        <vt:lpwstr>_Toc197076684</vt:lpwstr>
      </vt:variant>
      <vt:variant>
        <vt:i4>1048631</vt:i4>
      </vt:variant>
      <vt:variant>
        <vt:i4>116</vt:i4>
      </vt:variant>
      <vt:variant>
        <vt:i4>0</vt:i4>
      </vt:variant>
      <vt:variant>
        <vt:i4>5</vt:i4>
      </vt:variant>
      <vt:variant>
        <vt:lpwstr/>
      </vt:variant>
      <vt:variant>
        <vt:lpwstr>_Toc197076683</vt:lpwstr>
      </vt:variant>
      <vt:variant>
        <vt:i4>1048631</vt:i4>
      </vt:variant>
      <vt:variant>
        <vt:i4>113</vt:i4>
      </vt:variant>
      <vt:variant>
        <vt:i4>0</vt:i4>
      </vt:variant>
      <vt:variant>
        <vt:i4>5</vt:i4>
      </vt:variant>
      <vt:variant>
        <vt:lpwstr/>
      </vt:variant>
      <vt:variant>
        <vt:lpwstr>_Toc197076682</vt:lpwstr>
      </vt:variant>
      <vt:variant>
        <vt:i4>1048631</vt:i4>
      </vt:variant>
      <vt:variant>
        <vt:i4>110</vt:i4>
      </vt:variant>
      <vt:variant>
        <vt:i4>0</vt:i4>
      </vt:variant>
      <vt:variant>
        <vt:i4>5</vt:i4>
      </vt:variant>
      <vt:variant>
        <vt:lpwstr/>
      </vt:variant>
      <vt:variant>
        <vt:lpwstr>_Toc197076681</vt:lpwstr>
      </vt:variant>
      <vt:variant>
        <vt:i4>1048631</vt:i4>
      </vt:variant>
      <vt:variant>
        <vt:i4>107</vt:i4>
      </vt:variant>
      <vt:variant>
        <vt:i4>0</vt:i4>
      </vt:variant>
      <vt:variant>
        <vt:i4>5</vt:i4>
      </vt:variant>
      <vt:variant>
        <vt:lpwstr/>
      </vt:variant>
      <vt:variant>
        <vt:lpwstr>_Toc197076680</vt:lpwstr>
      </vt:variant>
      <vt:variant>
        <vt:i4>2031671</vt:i4>
      </vt:variant>
      <vt:variant>
        <vt:i4>104</vt:i4>
      </vt:variant>
      <vt:variant>
        <vt:i4>0</vt:i4>
      </vt:variant>
      <vt:variant>
        <vt:i4>5</vt:i4>
      </vt:variant>
      <vt:variant>
        <vt:lpwstr/>
      </vt:variant>
      <vt:variant>
        <vt:lpwstr>_Toc197076679</vt:lpwstr>
      </vt:variant>
      <vt:variant>
        <vt:i4>2031671</vt:i4>
      </vt:variant>
      <vt:variant>
        <vt:i4>98</vt:i4>
      </vt:variant>
      <vt:variant>
        <vt:i4>0</vt:i4>
      </vt:variant>
      <vt:variant>
        <vt:i4>5</vt:i4>
      </vt:variant>
      <vt:variant>
        <vt:lpwstr/>
      </vt:variant>
      <vt:variant>
        <vt:lpwstr>_Toc197076678</vt:lpwstr>
      </vt:variant>
      <vt:variant>
        <vt:i4>2031671</vt:i4>
      </vt:variant>
      <vt:variant>
        <vt:i4>95</vt:i4>
      </vt:variant>
      <vt:variant>
        <vt:i4>0</vt:i4>
      </vt:variant>
      <vt:variant>
        <vt:i4>5</vt:i4>
      </vt:variant>
      <vt:variant>
        <vt:lpwstr/>
      </vt:variant>
      <vt:variant>
        <vt:lpwstr>_Toc197076677</vt:lpwstr>
      </vt:variant>
      <vt:variant>
        <vt:i4>2031671</vt:i4>
      </vt:variant>
      <vt:variant>
        <vt:i4>92</vt:i4>
      </vt:variant>
      <vt:variant>
        <vt:i4>0</vt:i4>
      </vt:variant>
      <vt:variant>
        <vt:i4>5</vt:i4>
      </vt:variant>
      <vt:variant>
        <vt:lpwstr/>
      </vt:variant>
      <vt:variant>
        <vt:lpwstr>_Toc197076676</vt:lpwstr>
      </vt:variant>
      <vt:variant>
        <vt:i4>2031671</vt:i4>
      </vt:variant>
      <vt:variant>
        <vt:i4>89</vt:i4>
      </vt:variant>
      <vt:variant>
        <vt:i4>0</vt:i4>
      </vt:variant>
      <vt:variant>
        <vt:i4>5</vt:i4>
      </vt:variant>
      <vt:variant>
        <vt:lpwstr/>
      </vt:variant>
      <vt:variant>
        <vt:lpwstr>_Toc197076675</vt:lpwstr>
      </vt:variant>
      <vt:variant>
        <vt:i4>2031671</vt:i4>
      </vt:variant>
      <vt:variant>
        <vt:i4>86</vt:i4>
      </vt:variant>
      <vt:variant>
        <vt:i4>0</vt:i4>
      </vt:variant>
      <vt:variant>
        <vt:i4>5</vt:i4>
      </vt:variant>
      <vt:variant>
        <vt:lpwstr/>
      </vt:variant>
      <vt:variant>
        <vt:lpwstr>_Toc197076674</vt:lpwstr>
      </vt:variant>
      <vt:variant>
        <vt:i4>2031671</vt:i4>
      </vt:variant>
      <vt:variant>
        <vt:i4>83</vt:i4>
      </vt:variant>
      <vt:variant>
        <vt:i4>0</vt:i4>
      </vt:variant>
      <vt:variant>
        <vt:i4>5</vt:i4>
      </vt:variant>
      <vt:variant>
        <vt:lpwstr/>
      </vt:variant>
      <vt:variant>
        <vt:lpwstr>_Toc197076673</vt:lpwstr>
      </vt:variant>
      <vt:variant>
        <vt:i4>2031671</vt:i4>
      </vt:variant>
      <vt:variant>
        <vt:i4>80</vt:i4>
      </vt:variant>
      <vt:variant>
        <vt:i4>0</vt:i4>
      </vt:variant>
      <vt:variant>
        <vt:i4>5</vt:i4>
      </vt:variant>
      <vt:variant>
        <vt:lpwstr/>
      </vt:variant>
      <vt:variant>
        <vt:lpwstr>_Toc197076672</vt:lpwstr>
      </vt:variant>
      <vt:variant>
        <vt:i4>2031671</vt:i4>
      </vt:variant>
      <vt:variant>
        <vt:i4>77</vt:i4>
      </vt:variant>
      <vt:variant>
        <vt:i4>0</vt:i4>
      </vt:variant>
      <vt:variant>
        <vt:i4>5</vt:i4>
      </vt:variant>
      <vt:variant>
        <vt:lpwstr/>
      </vt:variant>
      <vt:variant>
        <vt:lpwstr>_Toc197076671</vt:lpwstr>
      </vt:variant>
      <vt:variant>
        <vt:i4>2031671</vt:i4>
      </vt:variant>
      <vt:variant>
        <vt:i4>74</vt:i4>
      </vt:variant>
      <vt:variant>
        <vt:i4>0</vt:i4>
      </vt:variant>
      <vt:variant>
        <vt:i4>5</vt:i4>
      </vt:variant>
      <vt:variant>
        <vt:lpwstr/>
      </vt:variant>
      <vt:variant>
        <vt:lpwstr>_Toc197076670</vt:lpwstr>
      </vt:variant>
      <vt:variant>
        <vt:i4>1966135</vt:i4>
      </vt:variant>
      <vt:variant>
        <vt:i4>71</vt:i4>
      </vt:variant>
      <vt:variant>
        <vt:i4>0</vt:i4>
      </vt:variant>
      <vt:variant>
        <vt:i4>5</vt:i4>
      </vt:variant>
      <vt:variant>
        <vt:lpwstr/>
      </vt:variant>
      <vt:variant>
        <vt:lpwstr>_Toc197076669</vt:lpwstr>
      </vt:variant>
      <vt:variant>
        <vt:i4>1966135</vt:i4>
      </vt:variant>
      <vt:variant>
        <vt:i4>68</vt:i4>
      </vt:variant>
      <vt:variant>
        <vt:i4>0</vt:i4>
      </vt:variant>
      <vt:variant>
        <vt:i4>5</vt:i4>
      </vt:variant>
      <vt:variant>
        <vt:lpwstr/>
      </vt:variant>
      <vt:variant>
        <vt:lpwstr>_Toc197076668</vt:lpwstr>
      </vt:variant>
      <vt:variant>
        <vt:i4>1966135</vt:i4>
      </vt:variant>
      <vt:variant>
        <vt:i4>65</vt:i4>
      </vt:variant>
      <vt:variant>
        <vt:i4>0</vt:i4>
      </vt:variant>
      <vt:variant>
        <vt:i4>5</vt:i4>
      </vt:variant>
      <vt:variant>
        <vt:lpwstr/>
      </vt:variant>
      <vt:variant>
        <vt:lpwstr>_Toc197076667</vt:lpwstr>
      </vt:variant>
      <vt:variant>
        <vt:i4>1966135</vt:i4>
      </vt:variant>
      <vt:variant>
        <vt:i4>62</vt:i4>
      </vt:variant>
      <vt:variant>
        <vt:i4>0</vt:i4>
      </vt:variant>
      <vt:variant>
        <vt:i4>5</vt:i4>
      </vt:variant>
      <vt:variant>
        <vt:lpwstr/>
      </vt:variant>
      <vt:variant>
        <vt:lpwstr>_Toc197076666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Apple</cp:lastModifiedBy>
  <cp:revision>202</cp:revision>
  <cp:lastPrinted>2008-02-01T01:09:00Z</cp:lastPrinted>
  <dcterms:created xsi:type="dcterms:W3CDTF">2020-08-14T15:21:00Z</dcterms:created>
  <dcterms:modified xsi:type="dcterms:W3CDTF">2025-08-15T14:28:00Z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