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6622502A" w:rsidR="009A5D49" w:rsidRPr="00DF65F7" w:rsidRDefault="004C0BAE" w:rsidP="009A5D49">
      <w:pPr>
        <w:pStyle w:val="Header"/>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EB0EC8">
        <w:rPr>
          <w:rFonts w:eastAsia="宋体" w:cs="Arial"/>
          <w:sz w:val="24"/>
          <w:szCs w:val="24"/>
          <w:lang w:eastAsia="zh-CN"/>
        </w:rPr>
        <w:t>5</w:t>
      </w:r>
      <w:r w:rsidR="009A5D49" w:rsidRPr="00952411">
        <w:rPr>
          <w:rFonts w:cs="Arial"/>
          <w:sz w:val="24"/>
          <w:szCs w:val="24"/>
        </w:rPr>
        <w:tab/>
      </w:r>
      <w:r w:rsidR="00B0024B" w:rsidRPr="00B0024B">
        <w:rPr>
          <w:rFonts w:cs="Arial"/>
          <w:sz w:val="24"/>
          <w:szCs w:val="24"/>
        </w:rPr>
        <w:t>R4-2506704</w:t>
      </w:r>
    </w:p>
    <w:p w14:paraId="7451FF66" w14:textId="77777777" w:rsidR="00EB0EC8" w:rsidRPr="00F542A0" w:rsidRDefault="00EB0EC8" w:rsidP="00EB0EC8">
      <w:pPr>
        <w:pStyle w:val="Header"/>
        <w:tabs>
          <w:tab w:val="right" w:pos="9781"/>
          <w:tab w:val="right" w:pos="13323"/>
        </w:tabs>
        <w:spacing w:before="60" w:after="60"/>
        <w:outlineLvl w:val="0"/>
        <w:rPr>
          <w:rFonts w:eastAsia="宋体" w:cs="Arial"/>
          <w:b w:val="0"/>
          <w:sz w:val="24"/>
          <w:szCs w:val="24"/>
          <w:lang w:eastAsia="zh-CN"/>
        </w:rPr>
      </w:pPr>
      <w:bookmarkStart w:id="2" w:name="_Hlk196640163"/>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 2025</w:t>
      </w:r>
    </w:p>
    <w:bookmarkEnd w:id="2"/>
    <w:p w14:paraId="12C19EE5" w14:textId="77777777" w:rsidR="00DE64A1" w:rsidRPr="002D2977" w:rsidRDefault="00DE64A1" w:rsidP="001F4680">
      <w:pPr>
        <w:pStyle w:val="Footer"/>
        <w:jc w:val="left"/>
        <w:rPr>
          <w:noProof w:val="0"/>
        </w:rPr>
      </w:pPr>
    </w:p>
    <w:p w14:paraId="7F9FBBE7" w14:textId="671CE0D6"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B0EC8" w:rsidRPr="00EB0EC8">
        <w:rPr>
          <w:rFonts w:ascii="Arial" w:hAnsi="Arial"/>
          <w:sz w:val="24"/>
          <w:lang w:val="en-US"/>
        </w:rPr>
        <w:t>7.18.6</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3F2C8D03"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D6D7C" w:rsidRPr="000D6D7C">
        <w:rPr>
          <w:rFonts w:ascii="Arial" w:hAnsi="Arial"/>
          <w:sz w:val="24"/>
          <w:lang w:val="en-US"/>
        </w:rPr>
        <w:t>Discussion on performance part for Fast SCell activation for UE supporting Rel-18 EMR</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1242DAE4" w14:textId="1109EEF2" w:rsidR="00F73E6D" w:rsidRDefault="00F73E6D" w:rsidP="00622EBC">
      <w:pPr>
        <w:rPr>
          <w:rFonts w:eastAsiaTheme="minorEastAsia"/>
          <w:lang w:val="en-US" w:eastAsia="zh-CN"/>
        </w:rPr>
      </w:pPr>
      <w:bookmarkStart w:id="3" w:name="_Hlk131426020"/>
      <w:r>
        <w:rPr>
          <w:rFonts w:eastAsiaTheme="minorEastAsia"/>
          <w:lang w:val="en-US" w:eastAsia="zh-CN"/>
        </w:rPr>
        <w:t xml:space="preserve">According to the TU schedule, the performance part for RRM phase 5 starting from RAN4#114bis meeting. In this contribution, we </w:t>
      </w:r>
      <w:r w:rsidR="00EB0EC8">
        <w:rPr>
          <w:rFonts w:eastAsiaTheme="minorEastAsia" w:hint="eastAsia"/>
          <w:lang w:val="en-US" w:eastAsia="zh-CN"/>
        </w:rPr>
        <w:t>further</w:t>
      </w:r>
      <w:r w:rsidR="00EB0EC8">
        <w:rPr>
          <w:rFonts w:eastAsiaTheme="minorEastAsia"/>
          <w:lang w:val="en-US" w:eastAsia="zh-CN"/>
        </w:rPr>
        <w:t xml:space="preserve"> </w:t>
      </w:r>
      <w:r>
        <w:rPr>
          <w:rFonts w:eastAsiaTheme="minorEastAsia"/>
          <w:lang w:val="en-US" w:eastAsia="zh-CN"/>
        </w:rPr>
        <w:t>provide our views on performance impacts of the WI.</w:t>
      </w:r>
    </w:p>
    <w:bookmarkEnd w:id="3"/>
    <w:p w14:paraId="2EBB39AE" w14:textId="0555C125" w:rsidR="00DF0231" w:rsidRDefault="00DF0231" w:rsidP="00DF0231">
      <w:pPr>
        <w:pStyle w:val="Heading1"/>
        <w:numPr>
          <w:ilvl w:val="0"/>
          <w:numId w:val="1"/>
        </w:numPr>
        <w:rPr>
          <w:lang w:val="en-US"/>
        </w:rPr>
      </w:pPr>
      <w:r w:rsidRPr="002D2977">
        <w:rPr>
          <w:lang w:val="en-US"/>
        </w:rPr>
        <w:t>Discussion</w:t>
      </w:r>
    </w:p>
    <w:p w14:paraId="3DD8442C" w14:textId="389F5E6D" w:rsidR="00F73E6D" w:rsidRDefault="001C3D0E" w:rsidP="007A7559">
      <w:pPr>
        <w:jc w:val="both"/>
        <w:rPr>
          <w:lang w:eastAsia="zh-CN"/>
        </w:rPr>
      </w:pPr>
      <w:r>
        <w:rPr>
          <w:lang w:eastAsia="zh-CN"/>
        </w:rPr>
        <w:t>For the objective of fast SCell activation for UE supporting Rel-18 EMR, the core part discussion has been closed. Based on RAN4 agreements and the latest CR [1], the requirements applied for both FR1/FR2 for following SCell activation scenarios:</w:t>
      </w:r>
    </w:p>
    <w:p w14:paraId="54F65DFA" w14:textId="281E2B2D" w:rsidR="001C3D0E" w:rsidRDefault="001C3D0E" w:rsidP="001C3D0E">
      <w:pPr>
        <w:pStyle w:val="ListParagraph"/>
        <w:numPr>
          <w:ilvl w:val="0"/>
          <w:numId w:val="49"/>
        </w:numPr>
        <w:ind w:firstLineChars="0"/>
        <w:jc w:val="both"/>
        <w:rPr>
          <w:lang w:eastAsia="zh-CN"/>
        </w:rPr>
      </w:pPr>
      <w:r w:rsidRPr="001C3D0E">
        <w:rPr>
          <w:lang w:val="en-US"/>
        </w:rPr>
        <w:t xml:space="preserve">SCell Activation </w:t>
      </w:r>
      <w:r w:rsidRPr="001C3D0E">
        <w:rPr>
          <w:rFonts w:hint="eastAsia"/>
          <w:lang w:val="en-US" w:eastAsia="zh-CN"/>
        </w:rPr>
        <w:t>base</w:t>
      </w:r>
      <w:r w:rsidRPr="001C3D0E">
        <w:rPr>
          <w:lang w:val="en-US" w:eastAsia="zh-CN"/>
        </w:rPr>
        <w:t>d on measurement in IDLE/INACTIVE mode</w:t>
      </w:r>
    </w:p>
    <w:p w14:paraId="4309C37D" w14:textId="6C46C5B8" w:rsidR="00F73E6D" w:rsidRDefault="001C3D0E" w:rsidP="001C3D0E">
      <w:pPr>
        <w:pStyle w:val="ListParagraph"/>
        <w:numPr>
          <w:ilvl w:val="0"/>
          <w:numId w:val="49"/>
        </w:numPr>
        <w:ind w:firstLineChars="0"/>
        <w:jc w:val="both"/>
        <w:rPr>
          <w:lang w:eastAsia="zh-CN"/>
        </w:rPr>
      </w:pPr>
      <w:r w:rsidRPr="009C5807">
        <w:rPr>
          <w:lang w:eastAsia="ko-KR"/>
        </w:rPr>
        <w:t>Direct SCell Activation at SCell addition</w:t>
      </w:r>
    </w:p>
    <w:p w14:paraId="78B95727" w14:textId="2C3C8099" w:rsidR="00F73E6D" w:rsidRDefault="001C3D0E" w:rsidP="001C3D0E">
      <w:pPr>
        <w:pStyle w:val="ListParagraph"/>
        <w:numPr>
          <w:ilvl w:val="0"/>
          <w:numId w:val="49"/>
        </w:numPr>
        <w:ind w:firstLineChars="0"/>
        <w:jc w:val="both"/>
        <w:rPr>
          <w:lang w:eastAsia="zh-CN"/>
        </w:rPr>
      </w:pPr>
      <w:r w:rsidRPr="001C3D0E">
        <w:rPr>
          <w:lang w:val="en-US"/>
        </w:rPr>
        <w:t>SCell Activation Delay Requirement for Deactivated PUCCH SCell</w:t>
      </w:r>
    </w:p>
    <w:p w14:paraId="458A2C43" w14:textId="0F25D3BA" w:rsidR="00F73E6D" w:rsidRDefault="001C3D0E" w:rsidP="007A7559">
      <w:pPr>
        <w:jc w:val="both"/>
        <w:rPr>
          <w:lang w:eastAsia="zh-CN"/>
        </w:rPr>
      </w:pPr>
      <w:r>
        <w:rPr>
          <w:lang w:eastAsia="zh-CN"/>
        </w:rPr>
        <w:t>From our understanding, RAN4 shall define test cases for all three scenarios for both FR1 and FR2. And RAN4 could further discuss the applicability rule whether UE is required to pass all of them.</w:t>
      </w:r>
    </w:p>
    <w:p w14:paraId="39383999" w14:textId="1658B00E" w:rsidR="001C3D0E" w:rsidRPr="001C3D0E" w:rsidRDefault="001C3D0E" w:rsidP="007A7559">
      <w:pPr>
        <w:jc w:val="both"/>
        <w:rPr>
          <w:b/>
          <w:lang w:eastAsia="zh-CN"/>
        </w:rPr>
      </w:pPr>
      <w:r w:rsidRPr="001C3D0E">
        <w:rPr>
          <w:b/>
          <w:lang w:eastAsia="zh-CN"/>
        </w:rPr>
        <w:t xml:space="preserve">Proposal </w:t>
      </w:r>
      <w:r w:rsidR="000D6D7C">
        <w:rPr>
          <w:b/>
          <w:lang w:eastAsia="zh-CN"/>
        </w:rPr>
        <w:t>1</w:t>
      </w:r>
      <w:r w:rsidRPr="001C3D0E">
        <w:rPr>
          <w:b/>
          <w:lang w:eastAsia="zh-CN"/>
        </w:rPr>
        <w:t>: For fast SCell activation for UE supporting Rel-18 EMR, RAN4 to define test cases for all three scenarios for both FR1 and FR2. And RAN4 could further discuss the applicability rule whether UE is required to pass all of them.</w:t>
      </w:r>
    </w:p>
    <w:p w14:paraId="6D7D8CBE" w14:textId="77777777" w:rsidR="001C3D0E" w:rsidRPr="001C3D0E" w:rsidRDefault="001C3D0E" w:rsidP="001C3D0E">
      <w:pPr>
        <w:pStyle w:val="ListParagraph"/>
        <w:numPr>
          <w:ilvl w:val="0"/>
          <w:numId w:val="49"/>
        </w:numPr>
        <w:ind w:firstLineChars="0"/>
        <w:jc w:val="both"/>
        <w:rPr>
          <w:b/>
          <w:lang w:eastAsia="zh-CN"/>
        </w:rPr>
      </w:pPr>
      <w:r w:rsidRPr="001C3D0E">
        <w:rPr>
          <w:b/>
          <w:lang w:val="en-US"/>
        </w:rPr>
        <w:t xml:space="preserve">SCell Activation </w:t>
      </w:r>
      <w:r w:rsidRPr="001C3D0E">
        <w:rPr>
          <w:rFonts w:hint="eastAsia"/>
          <w:b/>
          <w:lang w:val="en-US" w:eastAsia="zh-CN"/>
        </w:rPr>
        <w:t>base</w:t>
      </w:r>
      <w:r w:rsidRPr="001C3D0E">
        <w:rPr>
          <w:b/>
          <w:lang w:val="en-US" w:eastAsia="zh-CN"/>
        </w:rPr>
        <w:t>d on measurement in IDLE/INACTIVE mode</w:t>
      </w:r>
    </w:p>
    <w:p w14:paraId="048D4711" w14:textId="77777777" w:rsidR="001C3D0E" w:rsidRPr="001C3D0E" w:rsidRDefault="001C3D0E" w:rsidP="001C3D0E">
      <w:pPr>
        <w:pStyle w:val="ListParagraph"/>
        <w:numPr>
          <w:ilvl w:val="0"/>
          <w:numId w:val="49"/>
        </w:numPr>
        <w:ind w:firstLineChars="0"/>
        <w:jc w:val="both"/>
        <w:rPr>
          <w:b/>
          <w:lang w:eastAsia="zh-CN"/>
        </w:rPr>
      </w:pPr>
      <w:r w:rsidRPr="001C3D0E">
        <w:rPr>
          <w:b/>
          <w:lang w:eastAsia="ko-KR"/>
        </w:rPr>
        <w:t>Direct SCell Activation at SCell addition</w:t>
      </w:r>
    </w:p>
    <w:p w14:paraId="3AEC1C56" w14:textId="77777777" w:rsidR="001C3D0E" w:rsidRPr="001C3D0E" w:rsidRDefault="001C3D0E" w:rsidP="001C3D0E">
      <w:pPr>
        <w:pStyle w:val="ListParagraph"/>
        <w:numPr>
          <w:ilvl w:val="0"/>
          <w:numId w:val="49"/>
        </w:numPr>
        <w:ind w:firstLineChars="0"/>
        <w:jc w:val="both"/>
        <w:rPr>
          <w:b/>
          <w:lang w:eastAsia="zh-CN"/>
        </w:rPr>
      </w:pPr>
      <w:r w:rsidRPr="001C3D0E">
        <w:rPr>
          <w:b/>
          <w:lang w:val="en-US"/>
        </w:rPr>
        <w:t>SCell Activation Delay Requirement for Deactivated PUCCH SCell</w:t>
      </w:r>
    </w:p>
    <w:p w14:paraId="45C83251" w14:textId="77777777" w:rsidR="00F73E6D" w:rsidRPr="00805386" w:rsidRDefault="00F73E6D" w:rsidP="007A7559">
      <w:pPr>
        <w:jc w:val="both"/>
        <w:rPr>
          <w:lang w:eastAsia="zh-CN"/>
        </w:rPr>
      </w:pPr>
    </w:p>
    <w:p w14:paraId="24120099" w14:textId="2715CD7C" w:rsidR="00386BEA" w:rsidRPr="00386BEA" w:rsidRDefault="00DF0231" w:rsidP="00A86270">
      <w:pPr>
        <w:pStyle w:val="Heading1"/>
        <w:numPr>
          <w:ilvl w:val="0"/>
          <w:numId w:val="1"/>
        </w:numPr>
        <w:rPr>
          <w:lang w:val="en-US"/>
        </w:rPr>
      </w:pPr>
      <w:bookmarkStart w:id="4" w:name="_GoBack"/>
      <w:bookmarkEnd w:id="4"/>
      <w:r w:rsidRPr="002D2977">
        <w:rPr>
          <w:lang w:val="en-US"/>
        </w:rPr>
        <w:t>Conclusions</w:t>
      </w:r>
    </w:p>
    <w:p w14:paraId="4B89FFF5" w14:textId="0BA65DC0" w:rsidR="001C3D0E" w:rsidRPr="001C3D0E" w:rsidRDefault="001C3D0E" w:rsidP="001C3D0E">
      <w:pPr>
        <w:jc w:val="both"/>
        <w:rPr>
          <w:b/>
          <w:lang w:eastAsia="zh-CN"/>
        </w:rPr>
      </w:pPr>
      <w:r w:rsidRPr="001C3D0E">
        <w:rPr>
          <w:b/>
          <w:lang w:eastAsia="zh-CN"/>
        </w:rPr>
        <w:t xml:space="preserve">Proposal </w:t>
      </w:r>
      <w:r w:rsidR="00EB0EC8">
        <w:rPr>
          <w:b/>
          <w:lang w:eastAsia="zh-CN"/>
        </w:rPr>
        <w:t>1</w:t>
      </w:r>
      <w:r w:rsidRPr="001C3D0E">
        <w:rPr>
          <w:b/>
          <w:lang w:eastAsia="zh-CN"/>
        </w:rPr>
        <w:t>: For fast SCell activation for UE supporting Rel-18 EMR, RAN4 to define test cases for all three scenarios for both FR1 and FR2. And RAN4 could further discuss the applicability rule whether UE is required to pass all of them.</w:t>
      </w:r>
    </w:p>
    <w:p w14:paraId="082D37BE" w14:textId="77777777" w:rsidR="001C3D0E" w:rsidRPr="001C3D0E" w:rsidRDefault="001C3D0E" w:rsidP="001C3D0E">
      <w:pPr>
        <w:pStyle w:val="ListParagraph"/>
        <w:numPr>
          <w:ilvl w:val="0"/>
          <w:numId w:val="49"/>
        </w:numPr>
        <w:ind w:firstLineChars="0"/>
        <w:jc w:val="both"/>
        <w:rPr>
          <w:b/>
          <w:lang w:eastAsia="zh-CN"/>
        </w:rPr>
      </w:pPr>
      <w:r w:rsidRPr="001C3D0E">
        <w:rPr>
          <w:b/>
          <w:lang w:val="en-US"/>
        </w:rPr>
        <w:t xml:space="preserve">SCell Activation </w:t>
      </w:r>
      <w:r w:rsidRPr="001C3D0E">
        <w:rPr>
          <w:rFonts w:hint="eastAsia"/>
          <w:b/>
          <w:lang w:val="en-US" w:eastAsia="zh-CN"/>
        </w:rPr>
        <w:t>base</w:t>
      </w:r>
      <w:r w:rsidRPr="001C3D0E">
        <w:rPr>
          <w:b/>
          <w:lang w:val="en-US" w:eastAsia="zh-CN"/>
        </w:rPr>
        <w:t>d on measurement in IDLE/INACTIVE mode</w:t>
      </w:r>
    </w:p>
    <w:p w14:paraId="49C0306A" w14:textId="77777777" w:rsidR="001C3D0E" w:rsidRPr="001C3D0E" w:rsidRDefault="001C3D0E" w:rsidP="001C3D0E">
      <w:pPr>
        <w:pStyle w:val="ListParagraph"/>
        <w:numPr>
          <w:ilvl w:val="0"/>
          <w:numId w:val="49"/>
        </w:numPr>
        <w:ind w:firstLineChars="0"/>
        <w:jc w:val="both"/>
        <w:rPr>
          <w:b/>
          <w:lang w:eastAsia="zh-CN"/>
        </w:rPr>
      </w:pPr>
      <w:r w:rsidRPr="001C3D0E">
        <w:rPr>
          <w:b/>
          <w:lang w:eastAsia="ko-KR"/>
        </w:rPr>
        <w:t>Direct SCell Activation at SCell addition</w:t>
      </w:r>
    </w:p>
    <w:p w14:paraId="6D0E3BC8" w14:textId="77777777" w:rsidR="001C3D0E" w:rsidRPr="001C3D0E" w:rsidRDefault="001C3D0E" w:rsidP="001C3D0E">
      <w:pPr>
        <w:pStyle w:val="ListParagraph"/>
        <w:numPr>
          <w:ilvl w:val="0"/>
          <w:numId w:val="49"/>
        </w:numPr>
        <w:ind w:firstLineChars="0"/>
        <w:jc w:val="both"/>
        <w:rPr>
          <w:b/>
          <w:lang w:eastAsia="zh-CN"/>
        </w:rPr>
      </w:pPr>
      <w:r w:rsidRPr="001C3D0E">
        <w:rPr>
          <w:b/>
          <w:lang w:val="en-US"/>
        </w:rPr>
        <w:t>SCell Activation Delay Requirement for Deactivated PUCCH SCell</w:t>
      </w:r>
    </w:p>
    <w:p w14:paraId="61FC3516" w14:textId="77777777" w:rsidR="00DF0231" w:rsidRPr="002D2977" w:rsidRDefault="00DF0231" w:rsidP="00DF0231">
      <w:pPr>
        <w:pStyle w:val="Heading1"/>
        <w:tabs>
          <w:tab w:val="clear" w:pos="432"/>
        </w:tabs>
        <w:ind w:left="0" w:firstLine="0"/>
        <w:rPr>
          <w:lang w:val="en-US"/>
        </w:rPr>
      </w:pPr>
      <w:r w:rsidRPr="002D2977">
        <w:rPr>
          <w:lang w:val="en-US"/>
        </w:rPr>
        <w:lastRenderedPageBreak/>
        <w:t>References</w:t>
      </w:r>
    </w:p>
    <w:p w14:paraId="4CBC55A2" w14:textId="2AC05BEC" w:rsidR="007E1DD2" w:rsidRDefault="00850948">
      <w:pPr>
        <w:rPr>
          <w:rFonts w:eastAsiaTheme="minorEastAsia"/>
          <w:lang w:eastAsia="zh-CN"/>
        </w:rPr>
      </w:pPr>
      <w:r>
        <w:rPr>
          <w:rFonts w:eastAsiaTheme="minorEastAsia"/>
          <w:lang w:eastAsia="zh-CN"/>
        </w:rPr>
        <w:t xml:space="preserve">[1] </w:t>
      </w:r>
      <w:r w:rsidR="001C3D0E" w:rsidRPr="001C3D0E">
        <w:rPr>
          <w:rFonts w:eastAsiaTheme="minorEastAsia"/>
          <w:lang w:eastAsia="zh-CN"/>
        </w:rPr>
        <w:t>R4-2502685</w:t>
      </w:r>
      <w:r w:rsidR="001C3D0E">
        <w:rPr>
          <w:rFonts w:eastAsiaTheme="minorEastAsia"/>
          <w:lang w:eastAsia="zh-CN"/>
        </w:rPr>
        <w:t xml:space="preserve"> </w:t>
      </w:r>
      <w:r w:rsidR="001C3D0E" w:rsidRPr="001C3D0E">
        <w:rPr>
          <w:rFonts w:eastAsiaTheme="minorEastAsia"/>
          <w:lang w:eastAsia="zh-CN"/>
        </w:rPr>
        <w:t>draft CR for fast SCell activation for UE supporting Rel-18 EMR</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689F9" w14:textId="77777777" w:rsidR="00BF4EA2" w:rsidRDefault="00BF4EA2">
      <w:pPr>
        <w:spacing w:after="0"/>
      </w:pPr>
      <w:r>
        <w:separator/>
      </w:r>
    </w:p>
  </w:endnote>
  <w:endnote w:type="continuationSeparator" w:id="0">
    <w:p w14:paraId="572E2D95" w14:textId="77777777" w:rsidR="00BF4EA2" w:rsidRDefault="00BF4E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96D3B" w14:textId="77777777" w:rsidR="00BF4EA2" w:rsidRDefault="00BF4EA2">
      <w:pPr>
        <w:spacing w:after="0"/>
      </w:pPr>
      <w:r>
        <w:separator/>
      </w:r>
    </w:p>
  </w:footnote>
  <w:footnote w:type="continuationSeparator" w:id="0">
    <w:p w14:paraId="07A2AB79" w14:textId="77777777" w:rsidR="00BF4EA2" w:rsidRDefault="00BF4E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86A3037"/>
    <w:multiLevelType w:val="hybridMultilevel"/>
    <w:tmpl w:val="B264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F651D5"/>
    <w:multiLevelType w:val="hybridMultilevel"/>
    <w:tmpl w:val="406A7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66B50DB6"/>
    <w:multiLevelType w:val="hybridMultilevel"/>
    <w:tmpl w:val="44722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0"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4" w15:restartNumberingAfterBreak="0">
    <w:nsid w:val="76253A7F"/>
    <w:multiLevelType w:val="hybridMultilevel"/>
    <w:tmpl w:val="8FFA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41"/>
  </w:num>
  <w:num w:numId="3">
    <w:abstractNumId w:val="30"/>
  </w:num>
  <w:num w:numId="4">
    <w:abstractNumId w:val="24"/>
  </w:num>
  <w:num w:numId="5">
    <w:abstractNumId w:val="25"/>
  </w:num>
  <w:num w:numId="6">
    <w:abstractNumId w:val="6"/>
  </w:num>
  <w:num w:numId="7">
    <w:abstractNumId w:val="3"/>
  </w:num>
  <w:num w:numId="8">
    <w:abstractNumId w:val="32"/>
  </w:num>
  <w:num w:numId="9">
    <w:abstractNumId w:val="16"/>
  </w:num>
  <w:num w:numId="10">
    <w:abstractNumId w:val="35"/>
  </w:num>
  <w:num w:numId="11">
    <w:abstractNumId w:val="43"/>
  </w:num>
  <w:num w:numId="12">
    <w:abstractNumId w:val="0"/>
  </w:num>
  <w:num w:numId="13">
    <w:abstractNumId w:val="8"/>
  </w:num>
  <w:num w:numId="14">
    <w:abstractNumId w:val="1"/>
  </w:num>
  <w:num w:numId="15">
    <w:abstractNumId w:val="39"/>
  </w:num>
  <w:num w:numId="16">
    <w:abstractNumId w:val="33"/>
  </w:num>
  <w:num w:numId="17">
    <w:abstractNumId w:val="19"/>
  </w:num>
  <w:num w:numId="18">
    <w:abstractNumId w:val="38"/>
  </w:num>
  <w:num w:numId="19">
    <w:abstractNumId w:val="22"/>
  </w:num>
  <w:num w:numId="20">
    <w:abstractNumId w:val="34"/>
  </w:num>
  <w:num w:numId="21">
    <w:abstractNumId w:val="9"/>
  </w:num>
  <w:num w:numId="22">
    <w:abstractNumId w:val="31"/>
  </w:num>
  <w:num w:numId="23">
    <w:abstractNumId w:val="46"/>
  </w:num>
  <w:num w:numId="24">
    <w:abstractNumId w:val="4"/>
  </w:num>
  <w:num w:numId="25">
    <w:abstractNumId w:val="18"/>
  </w:num>
  <w:num w:numId="26">
    <w:abstractNumId w:val="7"/>
  </w:num>
  <w:num w:numId="27">
    <w:abstractNumId w:val="29"/>
  </w:num>
  <w:num w:numId="28">
    <w:abstractNumId w:val="10"/>
  </w:num>
  <w:num w:numId="29">
    <w:abstractNumId w:val="26"/>
  </w:num>
  <w:num w:numId="30">
    <w:abstractNumId w:val="47"/>
  </w:num>
  <w:num w:numId="31">
    <w:abstractNumId w:val="23"/>
  </w:num>
  <w:num w:numId="32">
    <w:abstractNumId w:val="20"/>
  </w:num>
  <w:num w:numId="33">
    <w:abstractNumId w:val="5"/>
  </w:num>
  <w:num w:numId="34">
    <w:abstractNumId w:val="42"/>
  </w:num>
  <w:num w:numId="35">
    <w:abstractNumId w:val="12"/>
  </w:num>
  <w:num w:numId="36">
    <w:abstractNumId w:val="27"/>
  </w:num>
  <w:num w:numId="37">
    <w:abstractNumId w:val="17"/>
  </w:num>
  <w:num w:numId="38">
    <w:abstractNumId w:val="2"/>
  </w:num>
  <w:num w:numId="39">
    <w:abstractNumId w:val="40"/>
  </w:num>
  <w:num w:numId="40">
    <w:abstractNumId w:val="13"/>
  </w:num>
  <w:num w:numId="41">
    <w:abstractNumId w:val="48"/>
  </w:num>
  <w:num w:numId="42">
    <w:abstractNumId w:val="15"/>
  </w:num>
  <w:num w:numId="43">
    <w:abstractNumId w:val="21"/>
  </w:num>
  <w:num w:numId="44">
    <w:abstractNumId w:val="36"/>
  </w:num>
  <w:num w:numId="45">
    <w:abstractNumId w:val="44"/>
  </w:num>
  <w:num w:numId="46">
    <w:abstractNumId w:val="37"/>
  </w:num>
  <w:num w:numId="47">
    <w:abstractNumId w:val="45"/>
  </w:num>
  <w:num w:numId="48">
    <w:abstractNumId w:val="11"/>
  </w:num>
  <w:num w:numId="4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12FB"/>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1F31"/>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6D7C"/>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71F0"/>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1CB3"/>
    <w:rsid w:val="001A1E7C"/>
    <w:rsid w:val="001A63AD"/>
    <w:rsid w:val="001B134D"/>
    <w:rsid w:val="001C3D0E"/>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318"/>
    <w:rsid w:val="00204DA3"/>
    <w:rsid w:val="00204EED"/>
    <w:rsid w:val="00207FF4"/>
    <w:rsid w:val="0021254D"/>
    <w:rsid w:val="00212E0B"/>
    <w:rsid w:val="00216AAB"/>
    <w:rsid w:val="00217770"/>
    <w:rsid w:val="0021793F"/>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87FFA"/>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5F7"/>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52D"/>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1E77"/>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0BAE"/>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227A"/>
    <w:rsid w:val="0068610B"/>
    <w:rsid w:val="006901CA"/>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55EE0"/>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559"/>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0234"/>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0B60"/>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D689B"/>
    <w:rsid w:val="008E2591"/>
    <w:rsid w:val="008E446A"/>
    <w:rsid w:val="008E4FF3"/>
    <w:rsid w:val="008E5C09"/>
    <w:rsid w:val="008E79C6"/>
    <w:rsid w:val="008E7BEF"/>
    <w:rsid w:val="008F3787"/>
    <w:rsid w:val="008F37CA"/>
    <w:rsid w:val="008F4CD0"/>
    <w:rsid w:val="008F67CF"/>
    <w:rsid w:val="00901AF1"/>
    <w:rsid w:val="00902B5D"/>
    <w:rsid w:val="009043ED"/>
    <w:rsid w:val="00904C87"/>
    <w:rsid w:val="00905C7E"/>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A778D"/>
    <w:rsid w:val="009B26A4"/>
    <w:rsid w:val="009B599E"/>
    <w:rsid w:val="009B7C4C"/>
    <w:rsid w:val="009C247A"/>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24B"/>
    <w:rsid w:val="00B00EDB"/>
    <w:rsid w:val="00B02A13"/>
    <w:rsid w:val="00B0495D"/>
    <w:rsid w:val="00B05D42"/>
    <w:rsid w:val="00B07979"/>
    <w:rsid w:val="00B10C6E"/>
    <w:rsid w:val="00B1210E"/>
    <w:rsid w:val="00B1402B"/>
    <w:rsid w:val="00B2196F"/>
    <w:rsid w:val="00B22016"/>
    <w:rsid w:val="00B221C2"/>
    <w:rsid w:val="00B22563"/>
    <w:rsid w:val="00B23292"/>
    <w:rsid w:val="00B24CE8"/>
    <w:rsid w:val="00B252A7"/>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0A"/>
    <w:rsid w:val="00BC47AB"/>
    <w:rsid w:val="00BD0D7C"/>
    <w:rsid w:val="00BD13CF"/>
    <w:rsid w:val="00BD1973"/>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4EA2"/>
    <w:rsid w:val="00C060C3"/>
    <w:rsid w:val="00C06689"/>
    <w:rsid w:val="00C075BD"/>
    <w:rsid w:val="00C07C3B"/>
    <w:rsid w:val="00C11B10"/>
    <w:rsid w:val="00C12151"/>
    <w:rsid w:val="00C12EA5"/>
    <w:rsid w:val="00C14806"/>
    <w:rsid w:val="00C15A38"/>
    <w:rsid w:val="00C15E40"/>
    <w:rsid w:val="00C161BE"/>
    <w:rsid w:val="00C239E2"/>
    <w:rsid w:val="00C32655"/>
    <w:rsid w:val="00C338CA"/>
    <w:rsid w:val="00C35CB3"/>
    <w:rsid w:val="00C35E4B"/>
    <w:rsid w:val="00C37748"/>
    <w:rsid w:val="00C402BA"/>
    <w:rsid w:val="00C418A9"/>
    <w:rsid w:val="00C47296"/>
    <w:rsid w:val="00C501F6"/>
    <w:rsid w:val="00C50A0A"/>
    <w:rsid w:val="00C52358"/>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637C"/>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3BC"/>
    <w:rsid w:val="00D93695"/>
    <w:rsid w:val="00D94E39"/>
    <w:rsid w:val="00D9789C"/>
    <w:rsid w:val="00DA3FC0"/>
    <w:rsid w:val="00DA7CE8"/>
    <w:rsid w:val="00DB10D2"/>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02E0"/>
    <w:rsid w:val="00E82ED7"/>
    <w:rsid w:val="00E83483"/>
    <w:rsid w:val="00E85BF2"/>
    <w:rsid w:val="00E862E2"/>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0EC8"/>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3E6D"/>
    <w:rsid w:val="00F76B81"/>
    <w:rsid w:val="00F770D2"/>
    <w:rsid w:val="00F83F8A"/>
    <w:rsid w:val="00F87D53"/>
    <w:rsid w:val="00F941E7"/>
    <w:rsid w:val="00F949AB"/>
    <w:rsid w:val="00FA4943"/>
    <w:rsid w:val="00FA66E0"/>
    <w:rsid w:val="00FB03B2"/>
    <w:rsid w:val="00FB3C79"/>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11FDC-4776-482B-98C1-6CF941159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10805</TotalTime>
  <Pages>2</Pages>
  <Words>294</Words>
  <Characters>1678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32</cp:revision>
  <dcterms:created xsi:type="dcterms:W3CDTF">2022-09-19T08:46:00Z</dcterms:created>
  <dcterms:modified xsi:type="dcterms:W3CDTF">2025-05-09T09:52:00Z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