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31C72F8B"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6473D0">
        <w:rPr>
          <w:rFonts w:ascii="Times New Roman" w:eastAsia="宋体" w:hAnsi="Times New Roman"/>
          <w:sz w:val="24"/>
          <w:szCs w:val="24"/>
          <w:lang w:eastAsia="zh-CN"/>
        </w:rPr>
        <w:t>5</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8308B9">
        <w:rPr>
          <w:rFonts w:ascii="Times New Roman" w:hAnsi="Times New Roman"/>
          <w:sz w:val="24"/>
          <w:szCs w:val="24"/>
        </w:rPr>
        <w:t>5</w:t>
      </w:r>
      <w:r w:rsidR="00DB20F7">
        <w:rPr>
          <w:rFonts w:ascii="Times New Roman" w:hAnsi="Times New Roman"/>
          <w:sz w:val="24"/>
          <w:szCs w:val="24"/>
        </w:rPr>
        <w:t>0</w:t>
      </w:r>
      <w:r w:rsidR="00516FB3">
        <w:rPr>
          <w:rFonts w:ascii="Times New Roman" w:hAnsi="Times New Roman"/>
          <w:sz w:val="24"/>
          <w:szCs w:val="24"/>
        </w:rPr>
        <w:t>6448</w:t>
      </w:r>
    </w:p>
    <w:p w14:paraId="7312B522" w14:textId="5A58A268" w:rsidR="00A06A1C" w:rsidRPr="00B44F57" w:rsidRDefault="006473D0" w:rsidP="00A06A1C">
      <w:pPr>
        <w:rPr>
          <w:rFonts w:eastAsia="宋体"/>
          <w:b/>
          <w:sz w:val="24"/>
          <w:szCs w:val="24"/>
          <w:lang w:eastAsia="zh-CN"/>
        </w:rPr>
      </w:pPr>
      <w:r>
        <w:rPr>
          <w:rFonts w:eastAsia="宋体"/>
          <w:b/>
          <w:sz w:val="24"/>
          <w:szCs w:val="24"/>
          <w:lang w:eastAsia="zh-CN"/>
        </w:rPr>
        <w:t>Malta</w:t>
      </w:r>
      <w:r w:rsidR="00A06A1C" w:rsidRPr="005C6546">
        <w:rPr>
          <w:rFonts w:eastAsia="宋体"/>
          <w:b/>
          <w:sz w:val="24"/>
          <w:szCs w:val="24"/>
          <w:lang w:eastAsia="zh-CN"/>
        </w:rPr>
        <w:t>,</w:t>
      </w:r>
      <w:r w:rsidR="00A06A1C">
        <w:rPr>
          <w:rFonts w:eastAsia="宋体"/>
          <w:b/>
          <w:sz w:val="24"/>
          <w:szCs w:val="24"/>
          <w:lang w:eastAsia="zh-CN"/>
        </w:rPr>
        <w:t xml:space="preserve"> </w:t>
      </w:r>
      <w:r>
        <w:rPr>
          <w:rFonts w:eastAsia="宋体"/>
          <w:b/>
          <w:sz w:val="24"/>
          <w:szCs w:val="24"/>
          <w:lang w:eastAsia="zh-CN"/>
        </w:rPr>
        <w:t>MT</w:t>
      </w:r>
      <w:r w:rsidR="00A06A1C" w:rsidRPr="005C6546">
        <w:rPr>
          <w:rFonts w:eastAsia="宋体"/>
          <w:b/>
          <w:sz w:val="24"/>
          <w:szCs w:val="24"/>
          <w:lang w:eastAsia="zh-CN"/>
        </w:rPr>
        <w:t xml:space="preserve">, </w:t>
      </w:r>
      <w:r>
        <w:rPr>
          <w:rFonts w:eastAsia="宋体"/>
          <w:b/>
          <w:sz w:val="24"/>
          <w:szCs w:val="24"/>
          <w:lang w:eastAsia="zh-CN"/>
        </w:rPr>
        <w:t>May</w:t>
      </w:r>
      <w:r w:rsidR="00A06A1C" w:rsidRPr="005C6546">
        <w:rPr>
          <w:rFonts w:eastAsia="宋体"/>
          <w:b/>
          <w:sz w:val="24"/>
          <w:szCs w:val="24"/>
          <w:lang w:eastAsia="zh-CN"/>
        </w:rPr>
        <w:t xml:space="preserve"> </w:t>
      </w:r>
      <w:r>
        <w:rPr>
          <w:rFonts w:eastAsia="宋体"/>
          <w:b/>
          <w:sz w:val="24"/>
          <w:szCs w:val="24"/>
          <w:lang w:eastAsia="zh-CN"/>
        </w:rPr>
        <w:t>19</w:t>
      </w:r>
      <w:r w:rsidR="00A06A1C" w:rsidRPr="008F0343">
        <w:rPr>
          <w:rFonts w:eastAsia="宋体"/>
          <w:b/>
          <w:sz w:val="24"/>
          <w:szCs w:val="24"/>
          <w:vertAlign w:val="superscript"/>
          <w:lang w:eastAsia="zh-CN"/>
        </w:rPr>
        <w:t>th</w:t>
      </w:r>
      <w:r w:rsidR="00A06A1C" w:rsidRPr="005C6546">
        <w:rPr>
          <w:rFonts w:eastAsia="宋体"/>
          <w:b/>
          <w:sz w:val="24"/>
          <w:szCs w:val="24"/>
          <w:lang w:eastAsia="zh-CN"/>
        </w:rPr>
        <w:t xml:space="preserve"> </w:t>
      </w:r>
      <w:r w:rsidR="00A06A1C">
        <w:rPr>
          <w:rFonts w:eastAsia="宋体"/>
          <w:b/>
          <w:sz w:val="24"/>
          <w:szCs w:val="24"/>
          <w:lang w:eastAsia="zh-CN"/>
        </w:rPr>
        <w:t>-</w:t>
      </w:r>
      <w:r>
        <w:rPr>
          <w:rFonts w:eastAsia="宋体"/>
          <w:b/>
          <w:sz w:val="24"/>
          <w:szCs w:val="24"/>
          <w:lang w:eastAsia="zh-CN"/>
        </w:rPr>
        <w:t>23</w:t>
      </w:r>
      <w:r>
        <w:rPr>
          <w:rFonts w:eastAsia="宋体"/>
          <w:b/>
          <w:sz w:val="24"/>
          <w:szCs w:val="24"/>
          <w:vertAlign w:val="superscript"/>
          <w:lang w:eastAsia="zh-CN"/>
        </w:rPr>
        <w:t>rd</w:t>
      </w:r>
      <w:r w:rsidR="00A06A1C" w:rsidRPr="005C6546">
        <w:rPr>
          <w:rFonts w:eastAsia="宋体"/>
          <w:b/>
          <w:sz w:val="24"/>
          <w:szCs w:val="24"/>
          <w:lang w:eastAsia="zh-CN"/>
        </w:rPr>
        <w:t>, 202</w:t>
      </w:r>
      <w:r w:rsidR="000645AA">
        <w:rPr>
          <w:rFonts w:eastAsia="宋体"/>
          <w:b/>
          <w:sz w:val="24"/>
          <w:szCs w:val="24"/>
          <w:lang w:eastAsia="zh-CN"/>
        </w:rPr>
        <w:t>5</w:t>
      </w:r>
    </w:p>
    <w:p w14:paraId="16783F2C" w14:textId="625BF3A8" w:rsidR="00DB3907" w:rsidRPr="00D86D7A" w:rsidRDefault="00DB3907" w:rsidP="00A667BE">
      <w:pPr>
        <w:tabs>
          <w:tab w:val="left" w:pos="2220"/>
        </w:tabs>
        <w:ind w:left="1980" w:hanging="1980"/>
        <w:rPr>
          <w:sz w:val="24"/>
          <w:lang w:val="en-US"/>
        </w:rPr>
      </w:pPr>
      <w:r w:rsidRPr="00D86D7A">
        <w:rPr>
          <w:b/>
          <w:sz w:val="24"/>
          <w:lang w:val="en-US"/>
        </w:rPr>
        <w:t>Agenda item:</w:t>
      </w:r>
      <w:r w:rsidRPr="00D86D7A">
        <w:rPr>
          <w:b/>
          <w:sz w:val="24"/>
          <w:lang w:val="en-US"/>
        </w:rPr>
        <w:tab/>
      </w:r>
      <w:r w:rsidR="00AD7D99">
        <w:rPr>
          <w:rFonts w:eastAsiaTheme="minorEastAsia"/>
          <w:sz w:val="24"/>
          <w:lang w:val="en-US" w:eastAsia="zh-CN"/>
        </w:rPr>
        <w:t>7.7.</w:t>
      </w:r>
      <w:r w:rsidR="006473D0">
        <w:rPr>
          <w:rFonts w:eastAsiaTheme="minorEastAsia"/>
          <w:sz w:val="24"/>
          <w:lang w:val="en-US" w:eastAsia="zh-CN"/>
        </w:rPr>
        <w:t>3</w:t>
      </w:r>
    </w:p>
    <w:p w14:paraId="1E1C2FD0" w14:textId="4F9D6660"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59F4D9D1"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9D5011">
        <w:rPr>
          <w:sz w:val="24"/>
          <w:lang w:val="en-US"/>
        </w:rPr>
        <w:t>UE RF requirements for LB-LB CA</w:t>
      </w:r>
      <w:r w:rsidR="00917109">
        <w:rPr>
          <w:sz w:val="24"/>
          <w:lang w:val="en-US"/>
        </w:rPr>
        <w:t xml:space="preserve"> switching</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709F6ACF" w14:textId="2E16ACB9" w:rsidR="00F5408A" w:rsidRDefault="0099544A" w:rsidP="008322A6">
      <w:pPr>
        <w:rPr>
          <w:rFonts w:eastAsia="等线"/>
          <w:lang w:eastAsia="zh-CN"/>
        </w:rPr>
      </w:pPr>
      <w:r>
        <w:t>In RAN4#11</w:t>
      </w:r>
      <w:r w:rsidR="00C93F06">
        <w:t>4bis</w:t>
      </w:r>
      <w:r>
        <w:t xml:space="preserve"> meeting</w:t>
      </w:r>
      <w:r w:rsidR="009240A3">
        <w:t>,</w:t>
      </w:r>
      <w:r w:rsidR="009240A3" w:rsidRPr="00F5408A">
        <w:t xml:space="preserve"> a </w:t>
      </w:r>
      <w:r>
        <w:rPr>
          <w:rFonts w:eastAsia="等线"/>
          <w:lang w:eastAsia="zh-CN"/>
        </w:rPr>
        <w:t xml:space="preserve">WF </w:t>
      </w:r>
      <w:r w:rsidR="00F04676">
        <w:rPr>
          <w:rFonts w:eastAsia="等线"/>
          <w:lang w:eastAsia="zh-CN"/>
        </w:rPr>
        <w:t>[1]</w:t>
      </w:r>
      <w:r w:rsidR="002F171A">
        <w:rPr>
          <w:rFonts w:eastAsia="等线"/>
          <w:lang w:eastAsia="zh-CN"/>
        </w:rPr>
        <w:t xml:space="preserve"> </w:t>
      </w:r>
      <w:r w:rsidR="00D63FD1">
        <w:t>was approved</w:t>
      </w:r>
      <w:r w:rsidR="00F5408A">
        <w:rPr>
          <w:rFonts w:eastAsia="等线"/>
          <w:lang w:eastAsia="zh-CN"/>
        </w:rPr>
        <w:t xml:space="preserve">. 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 </w:t>
      </w:r>
      <w:r w:rsidR="00F5408A">
        <w:rPr>
          <w:rFonts w:eastAsia="等线"/>
          <w:lang w:eastAsia="zh-CN"/>
        </w:rPr>
        <w:t xml:space="preserve">provide some views on </w:t>
      </w:r>
      <w:r w:rsidR="00917109">
        <w:rPr>
          <w:rFonts w:eastAsia="等线"/>
          <w:lang w:eastAsia="zh-CN"/>
        </w:rPr>
        <w:t>UE RF requirements for LB-LB CA switching</w:t>
      </w:r>
      <w:r w:rsidR="00F5408A">
        <w:rPr>
          <w:rFonts w:eastAsia="等线"/>
          <w:lang w:eastAsia="zh-CN"/>
        </w:rPr>
        <w:t>.</w:t>
      </w:r>
    </w:p>
    <w:tbl>
      <w:tblPr>
        <w:tblStyle w:val="aff"/>
        <w:tblW w:w="0" w:type="auto"/>
        <w:tblLook w:val="04A0" w:firstRow="1" w:lastRow="0" w:firstColumn="1" w:lastColumn="0" w:noHBand="0" w:noVBand="1"/>
      </w:tblPr>
      <w:tblGrid>
        <w:gridCol w:w="9621"/>
      </w:tblGrid>
      <w:tr w:rsidR="006E65BE" w14:paraId="10674947" w14:textId="77777777" w:rsidTr="006E65BE">
        <w:tc>
          <w:tcPr>
            <w:tcW w:w="9621" w:type="dxa"/>
          </w:tcPr>
          <w:p w14:paraId="2ED01219" w14:textId="77777777" w:rsidR="006E65BE" w:rsidRPr="006860B3" w:rsidRDefault="006E65BE" w:rsidP="006E65BE">
            <w:pPr>
              <w:pStyle w:val="10"/>
              <w:numPr>
                <w:ilvl w:val="0"/>
                <w:numId w:val="0"/>
              </w:numPr>
              <w:ind w:left="432" w:hanging="432"/>
              <w:outlineLvl w:val="0"/>
            </w:pPr>
            <w:bookmarkStart w:id="0" w:name="_Hlk174438956"/>
            <w:r w:rsidRPr="006860B3">
              <w:t>Way Forward</w:t>
            </w:r>
          </w:p>
          <w:p w14:paraId="7F531137" w14:textId="77777777" w:rsidR="006E65BE" w:rsidRPr="00BD50CF" w:rsidRDefault="006E65BE" w:rsidP="006E65BE">
            <w:pPr>
              <w:rPr>
                <w:b/>
                <w:bCs/>
              </w:rPr>
            </w:pPr>
            <w:bookmarkStart w:id="1" w:name="_Hlk174440006"/>
            <w:r w:rsidRPr="00BD50CF">
              <w:rPr>
                <w:b/>
                <w:bCs/>
              </w:rPr>
              <w:t xml:space="preserve">Issue 1: </w:t>
            </w:r>
            <w:r w:rsidRPr="00D92D8F">
              <w:rPr>
                <w:b/>
                <w:bCs/>
              </w:rPr>
              <w:t xml:space="preserve">Switching </w:t>
            </w:r>
            <w:r>
              <w:rPr>
                <w:b/>
                <w:bCs/>
              </w:rPr>
              <w:t>period</w:t>
            </w:r>
            <w:r w:rsidRPr="00D92D8F">
              <w:rPr>
                <w:b/>
                <w:bCs/>
              </w:rPr>
              <w:t xml:space="preserve"> capability</w:t>
            </w:r>
          </w:p>
          <w:p w14:paraId="30C86FFB" w14:textId="77777777" w:rsidR="006E65BE" w:rsidRPr="00BD50CF" w:rsidRDefault="006E65BE" w:rsidP="006E65BE">
            <w:pPr>
              <w:pStyle w:val="B10"/>
            </w:pPr>
            <w:r w:rsidRPr="00BD50CF">
              <w:t>-</w:t>
            </w:r>
            <w:r w:rsidRPr="00BD50CF">
              <w:tab/>
            </w:r>
            <w:r w:rsidRPr="00D92D8F">
              <w:t xml:space="preserve">The switching </w:t>
            </w:r>
            <w:r>
              <w:t>period</w:t>
            </w:r>
            <w:r w:rsidRPr="00D92D8F">
              <w:t xml:space="preserve"> capability can be defined per band pair per band combination.</w:t>
            </w:r>
          </w:p>
          <w:p w14:paraId="147CB38C" w14:textId="77777777" w:rsidR="006E65BE" w:rsidRDefault="006E65BE" w:rsidP="006E65BE"/>
          <w:p w14:paraId="0F00C0A7" w14:textId="77777777" w:rsidR="006E65BE" w:rsidRPr="00BD50CF" w:rsidRDefault="006E65BE" w:rsidP="006E65BE">
            <w:pPr>
              <w:rPr>
                <w:b/>
                <w:bCs/>
              </w:rPr>
            </w:pPr>
            <w:r w:rsidRPr="00BD50CF">
              <w:rPr>
                <w:b/>
                <w:bCs/>
              </w:rPr>
              <w:t xml:space="preserve">Issue </w:t>
            </w:r>
            <w:r>
              <w:rPr>
                <w:b/>
                <w:bCs/>
              </w:rPr>
              <w:t>2</w:t>
            </w:r>
            <w:r w:rsidRPr="00BD50CF">
              <w:rPr>
                <w:b/>
                <w:bCs/>
              </w:rPr>
              <w:t>: Switching period location</w:t>
            </w:r>
          </w:p>
          <w:p w14:paraId="2AEB8263" w14:textId="77777777" w:rsidR="006E65BE" w:rsidRPr="00BD50CF" w:rsidRDefault="006E65BE" w:rsidP="006E65BE">
            <w:pPr>
              <w:pStyle w:val="B10"/>
            </w:pPr>
            <w:r w:rsidRPr="00BD50CF">
              <w:rPr>
                <w:lang w:val="en-US" w:eastAsia="zh-CN"/>
              </w:rPr>
              <w:t>-</w:t>
            </w:r>
            <w:r w:rsidRPr="00BD50CF">
              <w:rPr>
                <w:lang w:val="en-US" w:eastAsia="zh-CN"/>
              </w:rPr>
              <w:tab/>
            </w:r>
            <w:r>
              <w:rPr>
                <w:lang w:val="en-US" w:eastAsia="zh-CN"/>
              </w:rPr>
              <w:t>Await outcome of RAN1 design</w:t>
            </w:r>
          </w:p>
          <w:p w14:paraId="27F5E0E4" w14:textId="77777777" w:rsidR="006E65BE" w:rsidRPr="00BD50CF" w:rsidRDefault="006E65BE" w:rsidP="006E65BE"/>
          <w:p w14:paraId="1EC144E6" w14:textId="77777777" w:rsidR="006E65BE" w:rsidRPr="00BD50CF" w:rsidRDefault="006E65BE" w:rsidP="006E65BE">
            <w:pPr>
              <w:rPr>
                <w:b/>
                <w:bCs/>
              </w:rPr>
            </w:pPr>
            <w:r w:rsidRPr="00BD50CF">
              <w:rPr>
                <w:b/>
                <w:bCs/>
              </w:rPr>
              <w:t xml:space="preserve">Issue </w:t>
            </w:r>
            <w:r>
              <w:rPr>
                <w:b/>
                <w:bCs/>
              </w:rPr>
              <w:t>3</w:t>
            </w:r>
            <w:r w:rsidRPr="00BD50CF">
              <w:rPr>
                <w:b/>
                <w:bCs/>
              </w:rPr>
              <w:t xml:space="preserve">: </w:t>
            </w:r>
            <w:r w:rsidRPr="00D92D8F">
              <w:rPr>
                <w:b/>
                <w:bCs/>
              </w:rPr>
              <w:t>Time mask</w:t>
            </w:r>
            <w:r>
              <w:rPr>
                <w:b/>
                <w:bCs/>
              </w:rPr>
              <w:t xml:space="preserve"> for switching</w:t>
            </w:r>
          </w:p>
          <w:p w14:paraId="777CFCA0" w14:textId="77777777" w:rsidR="006E65BE" w:rsidRDefault="006E65BE" w:rsidP="006E65BE">
            <w:pPr>
              <w:pStyle w:val="B10"/>
            </w:pPr>
            <w:r w:rsidRPr="00BD50CF">
              <w:t>-</w:t>
            </w:r>
            <w:r w:rsidRPr="00BD50CF">
              <w:tab/>
            </w:r>
            <w:r>
              <w:t xml:space="preserve">Define the </w:t>
            </w:r>
            <w:proofErr w:type="spellStart"/>
            <w:r>
              <w:t>Tx</w:t>
            </w:r>
            <w:proofErr w:type="spellEnd"/>
            <w:r>
              <w:t xml:space="preserve"> on-off time mask requirements</w:t>
            </w:r>
          </w:p>
          <w:p w14:paraId="10F4747F" w14:textId="77777777" w:rsidR="006E65BE" w:rsidRDefault="006E65BE" w:rsidP="006E65BE">
            <w:pPr>
              <w:pStyle w:val="B10"/>
            </w:pPr>
            <w:r>
              <w:t>-</w:t>
            </w:r>
            <w:r>
              <w:tab/>
              <w:t>FFS on how to define the Rx switching requirements to reflect where the switching period occurs</w:t>
            </w:r>
          </w:p>
          <w:p w14:paraId="0D25F50C" w14:textId="77777777" w:rsidR="006E65BE" w:rsidRDefault="006E65BE" w:rsidP="006E65BE">
            <w:pPr>
              <w:pStyle w:val="B10"/>
            </w:pPr>
            <w:r>
              <w:t>-</w:t>
            </w:r>
            <w:r>
              <w:tab/>
            </w:r>
            <w:r w:rsidRPr="00D92D8F">
              <w:t>RAN4 has understanding that RAN1 will take switching period and timing advance into account for RAN1 scheduling pattern for low band CA via switching</w:t>
            </w:r>
          </w:p>
          <w:p w14:paraId="043676B9" w14:textId="77777777" w:rsidR="006E65BE" w:rsidRDefault="006E65BE" w:rsidP="006E65BE"/>
          <w:p w14:paraId="387554E0" w14:textId="77777777" w:rsidR="006E65BE" w:rsidRPr="00BD50CF" w:rsidRDefault="006E65BE" w:rsidP="006E65BE">
            <w:pPr>
              <w:rPr>
                <w:b/>
                <w:bCs/>
              </w:rPr>
            </w:pPr>
            <w:r w:rsidRPr="00BD50CF">
              <w:rPr>
                <w:b/>
                <w:bCs/>
              </w:rPr>
              <w:t xml:space="preserve">Issue </w:t>
            </w:r>
            <w:r>
              <w:rPr>
                <w:b/>
                <w:bCs/>
              </w:rPr>
              <w:t>4</w:t>
            </w:r>
            <w:r w:rsidRPr="00BD50CF">
              <w:rPr>
                <w:b/>
                <w:bCs/>
              </w:rPr>
              <w:t xml:space="preserve">: </w:t>
            </w:r>
            <w:r w:rsidRPr="00903AC1">
              <w:rPr>
                <w:b/>
                <w:bCs/>
              </w:rPr>
              <w:t xml:space="preserve">Considerations related to </w:t>
            </w:r>
            <w:r>
              <w:rPr>
                <w:b/>
                <w:bCs/>
              </w:rPr>
              <w:t xml:space="preserve">the </w:t>
            </w:r>
            <w:proofErr w:type="spellStart"/>
            <w:r>
              <w:rPr>
                <w:b/>
                <w:bCs/>
              </w:rPr>
              <w:t>Tx</w:t>
            </w:r>
            <w:proofErr w:type="spellEnd"/>
            <w:r>
              <w:rPr>
                <w:b/>
                <w:bCs/>
              </w:rPr>
              <w:t xml:space="preserve"> on-off time mask</w:t>
            </w:r>
          </w:p>
          <w:p w14:paraId="0845DBA9" w14:textId="77777777" w:rsidR="006E65BE" w:rsidRDefault="006E65BE" w:rsidP="006E65BE">
            <w:pPr>
              <w:pStyle w:val="B10"/>
            </w:pPr>
            <w:r w:rsidRPr="00BD50CF">
              <w:t>-</w:t>
            </w:r>
            <w:r w:rsidRPr="00BD50CF">
              <w:tab/>
            </w:r>
            <w:r>
              <w:t xml:space="preserve">Option 1: </w:t>
            </w:r>
            <w:r w:rsidRPr="00903AC1">
              <w:t>Specify transmit on/off time mask for FDD UL carrier/</w:t>
            </w:r>
            <w:proofErr w:type="spellStart"/>
            <w:r w:rsidRPr="00903AC1">
              <w:t>Pcell</w:t>
            </w:r>
            <w:proofErr w:type="spellEnd"/>
            <w:r w:rsidRPr="00903AC1">
              <w:t xml:space="preserve"> for switching between LB(FDD)-LB(SDL)</w:t>
            </w:r>
          </w:p>
          <w:p w14:paraId="7B08A467" w14:textId="77777777" w:rsidR="006E65BE" w:rsidRDefault="006E65BE" w:rsidP="006E65BE">
            <w:pPr>
              <w:pStyle w:val="B10"/>
            </w:pPr>
            <w:r>
              <w:t>-</w:t>
            </w:r>
            <w:r>
              <w:tab/>
              <w:t>Option 2: Specify on-&gt;off time mask for switching from FDD to SDL carrier and specify off-&gt;on time mask for switching from SDL to FDD carrier</w:t>
            </w:r>
          </w:p>
          <w:p w14:paraId="15980499" w14:textId="77777777" w:rsidR="006E65BE" w:rsidRDefault="006E65BE" w:rsidP="006E65BE">
            <w:pPr>
              <w:pStyle w:val="B10"/>
            </w:pPr>
            <w:r>
              <w:t>-</w:t>
            </w:r>
            <w:r>
              <w:tab/>
              <w:t>Other options are not precluded</w:t>
            </w:r>
          </w:p>
          <w:bookmarkEnd w:id="0"/>
          <w:bookmarkEnd w:id="1"/>
          <w:p w14:paraId="03F51AC2" w14:textId="77777777" w:rsidR="006E65BE" w:rsidRPr="00BD50CF" w:rsidRDefault="006E65BE" w:rsidP="006E65BE">
            <w:pPr>
              <w:spacing w:after="120"/>
              <w:rPr>
                <w:color w:val="0070C0"/>
                <w:lang w:val="en-US" w:eastAsia="zh-CN"/>
              </w:rPr>
            </w:pPr>
          </w:p>
          <w:p w14:paraId="6D10284A" w14:textId="77777777" w:rsidR="006E65BE" w:rsidRPr="00BD50CF" w:rsidRDefault="006E65BE" w:rsidP="006E65BE">
            <w:pPr>
              <w:rPr>
                <w:b/>
                <w:bCs/>
              </w:rPr>
            </w:pPr>
            <w:r w:rsidRPr="00BD50CF">
              <w:rPr>
                <w:b/>
                <w:bCs/>
              </w:rPr>
              <w:t xml:space="preserve">Issue </w:t>
            </w:r>
            <w:r>
              <w:rPr>
                <w:b/>
                <w:bCs/>
              </w:rPr>
              <w:t>5</w:t>
            </w:r>
            <w:r w:rsidRPr="00BD50CF">
              <w:rPr>
                <w:b/>
                <w:bCs/>
              </w:rPr>
              <w:t>: Test methodology</w:t>
            </w:r>
          </w:p>
          <w:p w14:paraId="01BED112" w14:textId="367D5528" w:rsidR="006E65BE" w:rsidRPr="006E65BE" w:rsidRDefault="006E65BE" w:rsidP="006E65BE">
            <w:pPr>
              <w:pStyle w:val="B10"/>
              <w:rPr>
                <w:lang w:val="en-US" w:eastAsia="zh-CN"/>
              </w:rPr>
            </w:pPr>
            <w:r w:rsidRPr="00BD50CF">
              <w:rPr>
                <w:lang w:val="en-US" w:eastAsia="zh-CN"/>
              </w:rPr>
              <w:t>-</w:t>
            </w:r>
            <w:r w:rsidRPr="00BD50CF">
              <w:rPr>
                <w:lang w:val="en-US" w:eastAsia="zh-CN"/>
              </w:rPr>
              <w:tab/>
              <w:t>Companies are encouraged to contribute proposals related to the testability of the</w:t>
            </w:r>
            <w:r>
              <w:rPr>
                <w:lang w:val="en-US" w:eastAsia="zh-CN"/>
              </w:rPr>
              <w:t xml:space="preserve"> requirement on the</w:t>
            </w:r>
            <w:r w:rsidRPr="00BD50CF">
              <w:rPr>
                <w:lang w:val="en-US" w:eastAsia="zh-CN"/>
              </w:rPr>
              <w:t xml:space="preserve"> time mask</w:t>
            </w:r>
            <w:r>
              <w:rPr>
                <w:lang w:val="en-US" w:eastAsia="zh-CN"/>
              </w:rPr>
              <w:t xml:space="preserve"> for switching</w:t>
            </w:r>
          </w:p>
        </w:tc>
      </w:tr>
    </w:tbl>
    <w:p w14:paraId="16FE6B5D" w14:textId="77777777" w:rsidR="006E65BE" w:rsidRPr="00F5408A" w:rsidRDefault="006E65BE" w:rsidP="008322A6">
      <w:pPr>
        <w:rPr>
          <w:rFonts w:eastAsia="等线"/>
          <w:lang w:eastAsia="zh-CN"/>
        </w:rPr>
      </w:pPr>
    </w:p>
    <w:p w14:paraId="5AC97CA8" w14:textId="70EBF3E0" w:rsidR="007563B6" w:rsidRPr="004F0E44" w:rsidRDefault="008322A6" w:rsidP="00300941">
      <w:pPr>
        <w:pStyle w:val="10"/>
        <w:tabs>
          <w:tab w:val="clear" w:pos="432"/>
          <w:tab w:val="num" w:pos="522"/>
        </w:tabs>
        <w:ind w:left="522" w:hanging="522"/>
        <w:rPr>
          <w:lang w:val="en-US"/>
        </w:rPr>
      </w:pPr>
      <w:r>
        <w:rPr>
          <w:lang w:val="en-US"/>
        </w:rPr>
        <w:lastRenderedPageBreak/>
        <w:t>Discussion</w:t>
      </w:r>
    </w:p>
    <w:p w14:paraId="06FF1257" w14:textId="201A2A77" w:rsidR="00635394" w:rsidRPr="00635394" w:rsidRDefault="006E65BE" w:rsidP="00635394">
      <w:pPr>
        <w:pStyle w:val="aff4"/>
        <w:numPr>
          <w:ilvl w:val="0"/>
          <w:numId w:val="42"/>
        </w:numPr>
        <w:rPr>
          <w:rFonts w:eastAsiaTheme="minorEastAsia"/>
          <w:b/>
          <w:lang w:eastAsia="zh-CN"/>
        </w:rPr>
      </w:pPr>
      <w:r>
        <w:rPr>
          <w:rFonts w:eastAsiaTheme="minorEastAsia"/>
          <w:b/>
          <w:lang w:eastAsia="zh-CN"/>
        </w:rPr>
        <w:t>T</w:t>
      </w:r>
      <w:r w:rsidR="00970C55">
        <w:rPr>
          <w:rFonts w:eastAsiaTheme="minorEastAsia"/>
          <w:b/>
          <w:lang w:eastAsia="zh-CN"/>
        </w:rPr>
        <w:t xml:space="preserve">ime mask for switching </w:t>
      </w:r>
    </w:p>
    <w:p w14:paraId="684FB010" w14:textId="0D12DA99" w:rsidR="009F0D57" w:rsidRDefault="00F10F7A" w:rsidP="00851E4E">
      <w:pPr>
        <w:jc w:val="both"/>
        <w:rPr>
          <w:rFonts w:eastAsiaTheme="minorEastAsia"/>
          <w:lang w:eastAsia="zh-CN"/>
        </w:rPr>
      </w:pPr>
      <w:r>
        <w:rPr>
          <w:rFonts w:eastAsiaTheme="minorEastAsia"/>
          <w:lang w:eastAsia="zh-CN"/>
        </w:rPr>
        <w:t xml:space="preserve">Regarding time mask for switching, </w:t>
      </w:r>
      <w:r w:rsidR="009E14D6">
        <w:rPr>
          <w:rFonts w:eastAsiaTheme="minorEastAsia"/>
          <w:lang w:eastAsia="zh-CN"/>
        </w:rPr>
        <w:t xml:space="preserve">according to the WF, </w:t>
      </w:r>
      <w:r w:rsidR="009E14D6">
        <w:rPr>
          <w:rFonts w:eastAsiaTheme="minorEastAsia" w:hint="eastAsia"/>
          <w:lang w:eastAsia="zh-CN"/>
        </w:rPr>
        <w:t>it</w:t>
      </w:r>
      <w:r w:rsidR="009E14D6">
        <w:rPr>
          <w:rFonts w:eastAsiaTheme="minorEastAsia"/>
          <w:lang w:eastAsia="zh-CN"/>
        </w:rPr>
        <w:t xml:space="preserve"> </w:t>
      </w:r>
      <w:r w:rsidR="009E14D6">
        <w:rPr>
          <w:rFonts w:eastAsiaTheme="minorEastAsia" w:hint="eastAsia"/>
          <w:lang w:eastAsia="zh-CN"/>
        </w:rPr>
        <w:t>is</w:t>
      </w:r>
      <w:r w:rsidR="009E14D6">
        <w:rPr>
          <w:rFonts w:eastAsiaTheme="minorEastAsia"/>
          <w:lang w:eastAsia="zh-CN"/>
        </w:rPr>
        <w:t xml:space="preserve"> </w:t>
      </w:r>
      <w:r w:rsidR="009E14D6">
        <w:rPr>
          <w:rFonts w:eastAsiaTheme="minorEastAsia" w:hint="eastAsia"/>
          <w:lang w:eastAsia="zh-CN"/>
        </w:rPr>
        <w:t>necessary</w:t>
      </w:r>
      <w:r w:rsidR="009E14D6">
        <w:rPr>
          <w:rFonts w:eastAsiaTheme="minorEastAsia"/>
          <w:lang w:eastAsia="zh-CN"/>
        </w:rPr>
        <w:t xml:space="preserve"> to discuss how to define the Rx switching requirements to reflect where the switching period occurs.</w:t>
      </w:r>
      <w:r w:rsidR="0045103E">
        <w:rPr>
          <w:rFonts w:eastAsiaTheme="minorEastAsia"/>
          <w:lang w:eastAsia="zh-CN"/>
        </w:rPr>
        <w:t xml:space="preserve"> I</w:t>
      </w:r>
      <w:r w:rsidR="0045103E">
        <w:rPr>
          <w:rFonts w:eastAsiaTheme="minorEastAsia" w:hint="eastAsia"/>
          <w:lang w:eastAsia="zh-CN"/>
        </w:rPr>
        <w:t>n</w:t>
      </w:r>
      <w:r w:rsidR="0045103E">
        <w:rPr>
          <w:rFonts w:eastAsiaTheme="minorEastAsia"/>
          <w:lang w:eastAsia="zh-CN"/>
        </w:rPr>
        <w:t xml:space="preserve"> our understanding, there </w:t>
      </w:r>
      <w:r w:rsidR="00C93F06">
        <w:rPr>
          <w:rFonts w:eastAsiaTheme="minorEastAsia"/>
          <w:lang w:eastAsia="zh-CN"/>
        </w:rPr>
        <w:t>are</w:t>
      </w:r>
      <w:r w:rsidR="0045103E">
        <w:rPr>
          <w:rFonts w:eastAsiaTheme="minorEastAsia"/>
          <w:lang w:eastAsia="zh-CN"/>
        </w:rPr>
        <w:t xml:space="preserve"> no Rx </w:t>
      </w:r>
      <w:r w:rsidR="0045103E">
        <w:rPr>
          <w:rFonts w:eastAsiaTheme="minorEastAsia" w:hint="eastAsia"/>
          <w:lang w:eastAsia="zh-CN"/>
        </w:rPr>
        <w:t>switching</w:t>
      </w:r>
      <w:r w:rsidR="0045103E">
        <w:rPr>
          <w:rFonts w:eastAsiaTheme="minorEastAsia"/>
          <w:lang w:eastAsia="zh-CN"/>
        </w:rPr>
        <w:t xml:space="preserve"> </w:t>
      </w:r>
      <w:r w:rsidR="0045103E">
        <w:rPr>
          <w:rFonts w:eastAsiaTheme="minorEastAsia" w:hint="eastAsia"/>
          <w:lang w:eastAsia="zh-CN"/>
        </w:rPr>
        <w:t>requirements</w:t>
      </w:r>
      <w:r w:rsidR="0045103E">
        <w:rPr>
          <w:rFonts w:eastAsiaTheme="minorEastAsia"/>
          <w:lang w:eastAsia="zh-CN"/>
        </w:rPr>
        <w:t xml:space="preserve"> </w:t>
      </w:r>
      <w:r w:rsidR="0045103E">
        <w:rPr>
          <w:rFonts w:eastAsiaTheme="minorEastAsia" w:hint="eastAsia"/>
          <w:lang w:eastAsia="zh-CN"/>
        </w:rPr>
        <w:t>in</w:t>
      </w:r>
      <w:r w:rsidR="0045103E">
        <w:rPr>
          <w:rFonts w:eastAsiaTheme="minorEastAsia"/>
          <w:lang w:eastAsia="zh-CN"/>
        </w:rPr>
        <w:t xml:space="preserve"> </w:t>
      </w:r>
      <w:r w:rsidR="00BB1598">
        <w:rPr>
          <w:rFonts w:eastAsiaTheme="minorEastAsia"/>
          <w:lang w:eastAsia="zh-CN"/>
        </w:rPr>
        <w:t xml:space="preserve">the </w:t>
      </w:r>
      <w:r w:rsidR="0045103E">
        <w:rPr>
          <w:rFonts w:eastAsiaTheme="minorEastAsia"/>
          <w:lang w:eastAsia="zh-CN"/>
        </w:rPr>
        <w:t>core part. Rx switching requirements can be moved to the RRM part to discuss Rx switching requirements</w:t>
      </w:r>
      <w:r w:rsidR="00AF3AC5">
        <w:rPr>
          <w:rFonts w:eastAsiaTheme="minorEastAsia" w:hint="eastAsia"/>
          <w:lang w:eastAsia="zh-CN"/>
        </w:rPr>
        <w:t>.</w:t>
      </w:r>
    </w:p>
    <w:p w14:paraId="43FD9C0F" w14:textId="1E8EDA02" w:rsidR="00F76AE5" w:rsidRPr="00F76AE5" w:rsidRDefault="00F76AE5" w:rsidP="00851E4E">
      <w:pPr>
        <w:jc w:val="both"/>
        <w:rPr>
          <w:rFonts w:eastAsiaTheme="minorEastAsia"/>
          <w:b/>
          <w:i/>
          <w:lang w:eastAsia="zh-CN"/>
        </w:rPr>
      </w:pPr>
      <w:r w:rsidRPr="00F76AE5">
        <w:rPr>
          <w:rFonts w:eastAsiaTheme="minorEastAsia"/>
          <w:b/>
          <w:i/>
          <w:lang w:eastAsia="zh-CN"/>
        </w:rPr>
        <w:t>P</w:t>
      </w:r>
      <w:r w:rsidRPr="00F76AE5">
        <w:rPr>
          <w:rFonts w:eastAsiaTheme="minorEastAsia" w:hint="eastAsia"/>
          <w:b/>
          <w:i/>
          <w:lang w:eastAsia="zh-CN"/>
        </w:rPr>
        <w:t>roposal</w:t>
      </w:r>
      <w:r w:rsidRPr="00F76AE5">
        <w:rPr>
          <w:rFonts w:eastAsiaTheme="minorEastAsia"/>
          <w:b/>
          <w:i/>
          <w:lang w:eastAsia="zh-CN"/>
        </w:rPr>
        <w:t xml:space="preserve"> 1</w:t>
      </w:r>
      <w:r w:rsidRPr="00F76AE5">
        <w:rPr>
          <w:rFonts w:eastAsiaTheme="minorEastAsia" w:hint="eastAsia"/>
          <w:b/>
          <w:i/>
          <w:lang w:eastAsia="zh-CN"/>
        </w:rPr>
        <w:t>:</w:t>
      </w:r>
      <w:r w:rsidRPr="00F76AE5">
        <w:rPr>
          <w:rFonts w:eastAsiaTheme="minorEastAsia"/>
          <w:b/>
          <w:i/>
          <w:lang w:eastAsia="zh-CN"/>
        </w:rPr>
        <w:t xml:space="preserve"> Rx switching requirements can be moved to RRM part to define.</w:t>
      </w:r>
    </w:p>
    <w:p w14:paraId="201CDDC6" w14:textId="07535655" w:rsidR="00B45543" w:rsidRDefault="00970C55" w:rsidP="00D43A9E">
      <w:pPr>
        <w:pStyle w:val="aff4"/>
        <w:numPr>
          <w:ilvl w:val="0"/>
          <w:numId w:val="42"/>
        </w:numPr>
        <w:rPr>
          <w:rFonts w:eastAsiaTheme="minorEastAsia"/>
          <w:b/>
          <w:lang w:eastAsia="zh-CN"/>
        </w:rPr>
      </w:pPr>
      <w:r>
        <w:rPr>
          <w:rFonts w:eastAsiaTheme="minorEastAsia"/>
          <w:b/>
          <w:lang w:eastAsia="zh-CN"/>
        </w:rPr>
        <w:t>Consideration</w:t>
      </w:r>
      <w:r w:rsidR="00C93F06">
        <w:rPr>
          <w:rFonts w:eastAsiaTheme="minorEastAsia"/>
          <w:b/>
          <w:lang w:eastAsia="zh-CN"/>
        </w:rPr>
        <w:t>s</w:t>
      </w:r>
      <w:r>
        <w:rPr>
          <w:rFonts w:eastAsiaTheme="minorEastAsia"/>
          <w:b/>
          <w:lang w:eastAsia="zh-CN"/>
        </w:rPr>
        <w:t xml:space="preserve"> related to the </w:t>
      </w:r>
      <w:proofErr w:type="spellStart"/>
      <w:r>
        <w:rPr>
          <w:rFonts w:eastAsiaTheme="minorEastAsia"/>
          <w:b/>
          <w:lang w:eastAsia="zh-CN"/>
        </w:rPr>
        <w:t>Tx</w:t>
      </w:r>
      <w:proofErr w:type="spellEnd"/>
      <w:r>
        <w:rPr>
          <w:rFonts w:eastAsiaTheme="minorEastAsia"/>
          <w:b/>
          <w:lang w:eastAsia="zh-CN"/>
        </w:rPr>
        <w:t xml:space="preserve"> on-off time mask</w:t>
      </w:r>
    </w:p>
    <w:p w14:paraId="6E2C1F04" w14:textId="67A5401A" w:rsidR="000554E5" w:rsidRDefault="000554E5" w:rsidP="009B2532">
      <w:pPr>
        <w:rPr>
          <w:rFonts w:eastAsiaTheme="minorEastAsia"/>
          <w:lang w:eastAsia="zh-CN"/>
        </w:rPr>
      </w:pPr>
      <w:r>
        <w:rPr>
          <w:rFonts w:eastAsiaTheme="minorEastAsia"/>
          <w:lang w:eastAsia="zh-CN"/>
        </w:rPr>
        <w:t>According to the RAN1’s agreement, for switching from SDL carrier to FDD carrier, the switching gap is always assumed at the “switch from” carrier,</w:t>
      </w:r>
      <w:r w:rsidR="0086426B">
        <w:rPr>
          <w:rFonts w:eastAsiaTheme="minorEastAsia"/>
          <w:lang w:eastAsia="zh-CN"/>
        </w:rPr>
        <w:t xml:space="preserve"> i.e., SDL carrier. And there is still under discussion for RAN1 for switching from FDD carrier to SDL carrier.</w:t>
      </w:r>
    </w:p>
    <w:tbl>
      <w:tblPr>
        <w:tblStyle w:val="aff"/>
        <w:tblW w:w="0" w:type="auto"/>
        <w:tblLook w:val="04A0" w:firstRow="1" w:lastRow="0" w:firstColumn="1" w:lastColumn="0" w:noHBand="0" w:noVBand="1"/>
      </w:tblPr>
      <w:tblGrid>
        <w:gridCol w:w="9621"/>
      </w:tblGrid>
      <w:tr w:rsidR="000554E5" w14:paraId="3C616CED" w14:textId="77777777" w:rsidTr="000554E5">
        <w:tc>
          <w:tcPr>
            <w:tcW w:w="9621" w:type="dxa"/>
          </w:tcPr>
          <w:p w14:paraId="36FE8DCE" w14:textId="77777777" w:rsidR="000554E5" w:rsidRDefault="000554E5" w:rsidP="000554E5">
            <w:pPr>
              <w:rPr>
                <w:rFonts w:ascii="Times" w:hAnsi="Times" w:cs="Times"/>
                <w:highlight w:val="green"/>
              </w:rPr>
            </w:pPr>
            <w:r>
              <w:rPr>
                <w:rFonts w:ascii="Times" w:hAnsi="Times" w:cs="Times"/>
                <w:highlight w:val="green"/>
              </w:rPr>
              <w:t>Agreement</w:t>
            </w:r>
          </w:p>
          <w:p w14:paraId="5E92F2B9" w14:textId="77777777" w:rsidR="000554E5" w:rsidRDefault="000554E5" w:rsidP="000554E5">
            <w:pPr>
              <w:rPr>
                <w:rFonts w:ascii="Times" w:hAnsi="Times" w:cs="Times"/>
                <w:color w:val="000000"/>
              </w:rPr>
            </w:pPr>
            <w:r>
              <w:rPr>
                <w:rFonts w:ascii="Times" w:hAnsi="Times" w:cs="Times"/>
                <w:color w:val="000000"/>
              </w:rPr>
              <w:t xml:space="preserve">For RRC configuration of semi-static switching pattern in Rel-19 low NR band carrier aggregation via switching, regarding the location of the switching gap, </w:t>
            </w:r>
          </w:p>
          <w:p w14:paraId="467689B5" w14:textId="77777777" w:rsidR="000554E5" w:rsidRDefault="000554E5" w:rsidP="000554E5">
            <w:pPr>
              <w:numPr>
                <w:ilvl w:val="0"/>
                <w:numId w:val="43"/>
              </w:numPr>
              <w:spacing w:after="120"/>
              <w:contextualSpacing/>
              <w:rPr>
                <w:rFonts w:ascii="Times" w:hAnsi="Times" w:cs="Times"/>
                <w:color w:val="000000"/>
                <w:lang w:val="en-US" w:eastAsia="zh-CN"/>
              </w:rPr>
            </w:pPr>
            <w:r>
              <w:rPr>
                <w:rFonts w:ascii="Times" w:hAnsi="Times" w:cs="Times"/>
                <w:color w:val="000000"/>
              </w:rPr>
              <w:t>For switching from SDL carrier to FDD carrier, the switching gap is always assumed at the “switch from” carrier, i.e., SDL carrier.</w:t>
            </w:r>
          </w:p>
          <w:p w14:paraId="4C8DD12D" w14:textId="77777777" w:rsidR="000554E5" w:rsidRDefault="000554E5" w:rsidP="000554E5">
            <w:pPr>
              <w:numPr>
                <w:ilvl w:val="0"/>
                <w:numId w:val="43"/>
              </w:numPr>
              <w:spacing w:after="120"/>
              <w:contextualSpacing/>
              <w:rPr>
                <w:rFonts w:ascii="Times" w:hAnsi="Times" w:cs="Times"/>
                <w:color w:val="000000"/>
              </w:rPr>
            </w:pPr>
            <w:r>
              <w:rPr>
                <w:rFonts w:ascii="Times" w:hAnsi="Times" w:cs="Times"/>
                <w:color w:val="000000"/>
                <w:lang w:eastAsia="x-none"/>
              </w:rPr>
              <w:t xml:space="preserve">For switching from FDD carrier to SDL carrier, </w:t>
            </w:r>
            <w:proofErr w:type="spellStart"/>
            <w:r>
              <w:rPr>
                <w:rFonts w:ascii="Times" w:hAnsi="Times" w:cs="Times"/>
                <w:color w:val="000000"/>
                <w:lang w:eastAsia="x-none"/>
              </w:rPr>
              <w:t>downselect</w:t>
            </w:r>
            <w:proofErr w:type="spellEnd"/>
            <w:r>
              <w:rPr>
                <w:rFonts w:ascii="Times" w:hAnsi="Times" w:cs="Times"/>
                <w:color w:val="000000"/>
                <w:lang w:eastAsia="x-none"/>
              </w:rPr>
              <w:t xml:space="preserve"> one of the following solutions </w:t>
            </w:r>
          </w:p>
          <w:p w14:paraId="779E7ED1" w14:textId="77777777" w:rsidR="000554E5" w:rsidRDefault="000554E5" w:rsidP="000554E5">
            <w:pPr>
              <w:numPr>
                <w:ilvl w:val="1"/>
                <w:numId w:val="43"/>
              </w:numPr>
              <w:spacing w:after="120"/>
              <w:contextualSpacing/>
              <w:rPr>
                <w:rFonts w:ascii="Times" w:hAnsi="Times" w:cs="Times"/>
                <w:color w:val="000000"/>
              </w:rPr>
            </w:pPr>
            <w:r>
              <w:rPr>
                <w:rFonts w:ascii="Times" w:hAnsi="Times" w:cs="Times"/>
                <w:color w:val="000000"/>
                <w:lang w:eastAsia="x-none"/>
              </w:rPr>
              <w:t>Alt 1: Switching gap is always assumed at the “switch from” carrier, i.e., FDD carrier</w:t>
            </w:r>
          </w:p>
          <w:p w14:paraId="1673FF1B" w14:textId="77777777" w:rsidR="000554E5" w:rsidRDefault="000554E5" w:rsidP="000554E5">
            <w:pPr>
              <w:numPr>
                <w:ilvl w:val="1"/>
                <w:numId w:val="43"/>
              </w:numPr>
              <w:spacing w:after="120"/>
              <w:contextualSpacing/>
              <w:rPr>
                <w:rFonts w:ascii="Times" w:hAnsi="Times" w:cs="Times"/>
                <w:color w:val="000000"/>
              </w:rPr>
            </w:pPr>
            <w:r>
              <w:rPr>
                <w:rFonts w:ascii="Times" w:hAnsi="Times" w:cs="Times"/>
                <w:color w:val="000000"/>
                <w:lang w:eastAsia="x-none"/>
              </w:rPr>
              <w:t>Alt 2: NW configures whether the switching gap is at the FDD carrier or SDL carrier</w:t>
            </w:r>
          </w:p>
          <w:p w14:paraId="5B1B2B85" w14:textId="75A58F15" w:rsidR="000554E5" w:rsidRPr="000554E5" w:rsidRDefault="000554E5" w:rsidP="009B2532">
            <w:pPr>
              <w:numPr>
                <w:ilvl w:val="1"/>
                <w:numId w:val="43"/>
              </w:numPr>
              <w:spacing w:after="120"/>
              <w:contextualSpacing/>
              <w:rPr>
                <w:rFonts w:ascii="Times" w:hAnsi="Times" w:cs="Times"/>
                <w:color w:val="000000"/>
              </w:rPr>
            </w:pPr>
            <w:r>
              <w:rPr>
                <w:rFonts w:ascii="Times" w:hAnsi="Times" w:cs="Times"/>
                <w:color w:val="000000"/>
                <w:lang w:eastAsia="x-none"/>
              </w:rPr>
              <w:t>Alt 3: Switching gap is always assumed at the SDL carrier</w:t>
            </w:r>
          </w:p>
        </w:tc>
      </w:tr>
    </w:tbl>
    <w:p w14:paraId="1176D338" w14:textId="78C2789B" w:rsidR="0086426B" w:rsidRDefault="002E7E92" w:rsidP="0086426B">
      <w:pPr>
        <w:jc w:val="both"/>
        <w:rPr>
          <w:rFonts w:eastAsiaTheme="minorEastAsia"/>
          <w:lang w:eastAsia="zh-CN"/>
        </w:rPr>
      </w:pPr>
      <w:bookmarkStart w:id="2" w:name="_GoBack"/>
      <w:r>
        <w:rPr>
          <w:noProof/>
          <w:lang w:val="en-US" w:eastAsia="zh-CN"/>
        </w:rPr>
        <w:drawing>
          <wp:anchor distT="0" distB="0" distL="114300" distR="114300" simplePos="0" relativeHeight="251658240" behindDoc="0" locked="0" layoutInCell="1" allowOverlap="1" wp14:anchorId="487F9484" wp14:editId="5DD61C77">
            <wp:simplePos x="0" y="0"/>
            <wp:positionH relativeFrom="column">
              <wp:posOffset>535425</wp:posOffset>
            </wp:positionH>
            <wp:positionV relativeFrom="paragraph">
              <wp:posOffset>379239</wp:posOffset>
            </wp:positionV>
            <wp:extent cx="4888872" cy="1489352"/>
            <wp:effectExtent l="0" t="0" r="698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888872" cy="1489352"/>
                    </a:xfrm>
                    <a:prstGeom prst="rect">
                      <a:avLst/>
                    </a:prstGeom>
                  </pic:spPr>
                </pic:pic>
              </a:graphicData>
            </a:graphic>
            <wp14:sizeRelH relativeFrom="margin">
              <wp14:pctWidth>0</wp14:pctWidth>
            </wp14:sizeRelH>
            <wp14:sizeRelV relativeFrom="margin">
              <wp14:pctHeight>0</wp14:pctHeight>
            </wp14:sizeRelV>
          </wp:anchor>
        </w:drawing>
      </w:r>
      <w:bookmarkEnd w:id="2"/>
      <w:r w:rsidR="0086426B">
        <w:rPr>
          <w:rFonts w:eastAsiaTheme="minorEastAsia" w:hint="eastAsia"/>
          <w:lang w:eastAsia="zh-CN"/>
        </w:rPr>
        <w:t>I</w:t>
      </w:r>
      <w:r w:rsidR="0086426B">
        <w:rPr>
          <w:rFonts w:eastAsiaTheme="minorEastAsia"/>
          <w:lang w:eastAsia="zh-CN"/>
        </w:rPr>
        <w:t xml:space="preserve">n our understanding, we can specify </w:t>
      </w:r>
      <w:proofErr w:type="spellStart"/>
      <w:r w:rsidR="0086426B">
        <w:rPr>
          <w:rFonts w:eastAsiaTheme="minorEastAsia"/>
          <w:lang w:eastAsia="zh-CN"/>
        </w:rPr>
        <w:t>s</w:t>
      </w:r>
      <w:r w:rsidR="0086426B" w:rsidRPr="0086426B">
        <w:rPr>
          <w:rFonts w:eastAsiaTheme="minorEastAsia"/>
          <w:lang w:eastAsia="zh-CN"/>
        </w:rPr>
        <w:t>pecify</w:t>
      </w:r>
      <w:proofErr w:type="spellEnd"/>
      <w:r w:rsidR="0086426B" w:rsidRPr="0086426B">
        <w:rPr>
          <w:rFonts w:eastAsiaTheme="minorEastAsia"/>
          <w:lang w:eastAsia="zh-CN"/>
        </w:rPr>
        <w:t xml:space="preserve"> on-&gt;off time mask for switching from FDD to SDL carrier and specify off-&gt;on time mask for switching from SDL to FDD carrier</w:t>
      </w:r>
      <w:r w:rsidR="0086426B">
        <w:rPr>
          <w:rFonts w:eastAsiaTheme="minorEastAsia"/>
          <w:lang w:eastAsia="zh-CN"/>
        </w:rPr>
        <w:t xml:space="preserve"> as follow, the switching gap can wait for RAN1’s conclusion.</w:t>
      </w:r>
    </w:p>
    <w:p w14:paraId="42BA0B01" w14:textId="3B8502A0" w:rsidR="0086426B" w:rsidRPr="002E7E92" w:rsidRDefault="0086426B" w:rsidP="0086426B">
      <w:pPr>
        <w:rPr>
          <w:rFonts w:eastAsiaTheme="minorEastAsia"/>
          <w:lang w:eastAsia="zh-CN"/>
        </w:rPr>
      </w:pPr>
    </w:p>
    <w:p w14:paraId="19FA94F0" w14:textId="1F7C7EAF" w:rsidR="000554E5" w:rsidRDefault="000554E5" w:rsidP="009B2532">
      <w:pPr>
        <w:rPr>
          <w:rFonts w:eastAsiaTheme="minorEastAsia"/>
          <w:lang w:eastAsia="zh-CN"/>
        </w:rPr>
      </w:pPr>
    </w:p>
    <w:p w14:paraId="0614D2E6" w14:textId="3B1F250A" w:rsidR="0086426B" w:rsidRDefault="0086426B" w:rsidP="009B2532">
      <w:pPr>
        <w:rPr>
          <w:rFonts w:eastAsiaTheme="minorEastAsia"/>
          <w:lang w:eastAsia="zh-CN"/>
        </w:rPr>
      </w:pPr>
    </w:p>
    <w:p w14:paraId="34DCC4C7" w14:textId="2CBD6852" w:rsidR="0086426B" w:rsidRDefault="0086426B" w:rsidP="009B2532">
      <w:pPr>
        <w:rPr>
          <w:rFonts w:eastAsiaTheme="minorEastAsia"/>
          <w:lang w:eastAsia="zh-CN"/>
        </w:rPr>
      </w:pPr>
    </w:p>
    <w:p w14:paraId="7957E57B" w14:textId="1F4DCFCB" w:rsidR="0086426B" w:rsidRDefault="0086426B" w:rsidP="009B2532">
      <w:pPr>
        <w:rPr>
          <w:rFonts w:eastAsiaTheme="minorEastAsia"/>
          <w:lang w:eastAsia="zh-CN"/>
        </w:rPr>
      </w:pPr>
    </w:p>
    <w:p w14:paraId="576C7C55" w14:textId="4931D377" w:rsidR="0086426B" w:rsidRDefault="0086426B" w:rsidP="009B2532">
      <w:pPr>
        <w:rPr>
          <w:rFonts w:eastAsiaTheme="minorEastAsia"/>
          <w:lang w:eastAsia="zh-CN"/>
        </w:rPr>
      </w:pPr>
    </w:p>
    <w:p w14:paraId="14A58301" w14:textId="4EDF9A46" w:rsidR="0086426B" w:rsidRPr="003A505B" w:rsidRDefault="0086426B" w:rsidP="009B2532">
      <w:pPr>
        <w:rPr>
          <w:rFonts w:eastAsiaTheme="minorEastAsia"/>
          <w:b/>
          <w:i/>
          <w:lang w:eastAsia="zh-CN"/>
        </w:rPr>
      </w:pPr>
      <w:r w:rsidRPr="003A505B">
        <w:rPr>
          <w:rFonts w:eastAsiaTheme="minorEastAsia" w:hint="eastAsia"/>
          <w:b/>
          <w:i/>
          <w:lang w:eastAsia="zh-CN"/>
        </w:rPr>
        <w:t>P</w:t>
      </w:r>
      <w:r w:rsidRPr="003A505B">
        <w:rPr>
          <w:rFonts w:eastAsiaTheme="minorEastAsia"/>
          <w:b/>
          <w:i/>
          <w:lang w:eastAsia="zh-CN"/>
        </w:rPr>
        <w:t xml:space="preserve">roposal 2: </w:t>
      </w:r>
      <w:r w:rsidRPr="003A505B">
        <w:rPr>
          <w:b/>
          <w:i/>
        </w:rPr>
        <w:t xml:space="preserve">Specify on-&gt;off time mask for switching from FDD to SDL carrier and specify off-&gt;on time mask for switching from SDL to FDD carrier. On-&gt;off time mask for switching from FDD to SDL carrier can be in Figure 1. </w:t>
      </w:r>
      <w:r w:rsidR="00BF4AC1">
        <w:rPr>
          <w:b/>
          <w:i/>
        </w:rPr>
        <w:t>O</w:t>
      </w:r>
      <w:r w:rsidRPr="003A505B">
        <w:rPr>
          <w:b/>
          <w:i/>
        </w:rPr>
        <w:t xml:space="preserve">ff-&gt;on time mask for switching from SDL to FDD carrier can wait for RAN1’s conclusion. </w:t>
      </w:r>
    </w:p>
    <w:p w14:paraId="25BD6D27" w14:textId="1D4D0AFF" w:rsidR="00DF60C1" w:rsidRPr="00DF60C1" w:rsidRDefault="002E4704" w:rsidP="00DF60C1">
      <w:pPr>
        <w:pStyle w:val="10"/>
        <w:rPr>
          <w:lang w:val="en-US"/>
        </w:rPr>
      </w:pPr>
      <w:r>
        <w:rPr>
          <w:lang w:val="en-US"/>
        </w:rPr>
        <w:t>Conclusions</w:t>
      </w:r>
    </w:p>
    <w:p w14:paraId="76B9F0BD" w14:textId="6F7EDCDB"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UE RF requirements for LB-LB CA</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325761A6" w14:textId="77777777" w:rsidR="00F61DBA" w:rsidRPr="00F76AE5" w:rsidRDefault="00F61DBA" w:rsidP="00F61DBA">
      <w:pPr>
        <w:jc w:val="both"/>
        <w:rPr>
          <w:rFonts w:eastAsiaTheme="minorEastAsia"/>
          <w:b/>
          <w:i/>
          <w:lang w:eastAsia="zh-CN"/>
        </w:rPr>
      </w:pPr>
      <w:r w:rsidRPr="00F76AE5">
        <w:rPr>
          <w:rFonts w:eastAsiaTheme="minorEastAsia"/>
          <w:b/>
          <w:i/>
          <w:lang w:eastAsia="zh-CN"/>
        </w:rPr>
        <w:t>P</w:t>
      </w:r>
      <w:r w:rsidRPr="00F76AE5">
        <w:rPr>
          <w:rFonts w:eastAsiaTheme="minorEastAsia" w:hint="eastAsia"/>
          <w:b/>
          <w:i/>
          <w:lang w:eastAsia="zh-CN"/>
        </w:rPr>
        <w:t>roposal</w:t>
      </w:r>
      <w:r w:rsidRPr="00F76AE5">
        <w:rPr>
          <w:rFonts w:eastAsiaTheme="minorEastAsia"/>
          <w:b/>
          <w:i/>
          <w:lang w:eastAsia="zh-CN"/>
        </w:rPr>
        <w:t xml:space="preserve"> 1</w:t>
      </w:r>
      <w:r w:rsidRPr="00F76AE5">
        <w:rPr>
          <w:rFonts w:eastAsiaTheme="minorEastAsia" w:hint="eastAsia"/>
          <w:b/>
          <w:i/>
          <w:lang w:eastAsia="zh-CN"/>
        </w:rPr>
        <w:t>:</w:t>
      </w:r>
      <w:r w:rsidRPr="00F76AE5">
        <w:rPr>
          <w:rFonts w:eastAsiaTheme="minorEastAsia"/>
          <w:b/>
          <w:i/>
          <w:lang w:eastAsia="zh-CN"/>
        </w:rPr>
        <w:t xml:space="preserve"> Rx switching requirements can be moved to RRM part to define.</w:t>
      </w:r>
    </w:p>
    <w:p w14:paraId="49CAE7F5" w14:textId="77777777" w:rsidR="003A505B" w:rsidRPr="003A505B" w:rsidRDefault="003A505B" w:rsidP="003A505B">
      <w:pPr>
        <w:rPr>
          <w:rFonts w:eastAsiaTheme="minorEastAsia"/>
          <w:b/>
          <w:i/>
          <w:lang w:eastAsia="zh-CN"/>
        </w:rPr>
      </w:pPr>
      <w:r w:rsidRPr="003A505B">
        <w:rPr>
          <w:rFonts w:eastAsiaTheme="minorEastAsia" w:hint="eastAsia"/>
          <w:b/>
          <w:i/>
          <w:lang w:eastAsia="zh-CN"/>
        </w:rPr>
        <w:t>P</w:t>
      </w:r>
      <w:r w:rsidRPr="003A505B">
        <w:rPr>
          <w:rFonts w:eastAsiaTheme="minorEastAsia"/>
          <w:b/>
          <w:i/>
          <w:lang w:eastAsia="zh-CN"/>
        </w:rPr>
        <w:t xml:space="preserve">roposal 2: </w:t>
      </w:r>
      <w:r w:rsidRPr="003A505B">
        <w:rPr>
          <w:b/>
          <w:i/>
        </w:rPr>
        <w:t xml:space="preserve">Specify on-&gt;off time mask for switching from FDD to SDL carrier and specify off-&gt;on time mask for switching from SDL to FDD carrier. On-&gt;off time mask for switching from FDD to SDL carrier can be in Figure 1. </w:t>
      </w:r>
      <w:proofErr w:type="gramStart"/>
      <w:r w:rsidRPr="003A505B">
        <w:rPr>
          <w:b/>
          <w:i/>
        </w:rPr>
        <w:t>off</w:t>
      </w:r>
      <w:proofErr w:type="gramEnd"/>
      <w:r w:rsidRPr="003A505B">
        <w:rPr>
          <w:b/>
          <w:i/>
        </w:rPr>
        <w:t xml:space="preserve">-&gt;on time mask for switching from SDL to FDD carrier can wait for RAN1’s conclusion. </w:t>
      </w:r>
    </w:p>
    <w:p w14:paraId="28C94D65" w14:textId="77777777" w:rsidR="00C152C1" w:rsidRDefault="00C152C1" w:rsidP="00C152C1">
      <w:pPr>
        <w:pStyle w:val="10"/>
        <w:numPr>
          <w:ilvl w:val="0"/>
          <w:numId w:val="0"/>
        </w:numPr>
        <w:ind w:left="432" w:hanging="432"/>
        <w:rPr>
          <w:lang w:val="en-US"/>
        </w:rPr>
      </w:pPr>
      <w:r>
        <w:rPr>
          <w:lang w:val="en-US"/>
        </w:rPr>
        <w:t>Reference</w:t>
      </w:r>
    </w:p>
    <w:p w14:paraId="33D1FE4E" w14:textId="2712228A" w:rsidR="000169AD" w:rsidRPr="007D13AF" w:rsidRDefault="00E44C5B" w:rsidP="000169AD">
      <w:pPr>
        <w:pStyle w:val="aff4"/>
        <w:numPr>
          <w:ilvl w:val="0"/>
          <w:numId w:val="13"/>
        </w:numPr>
        <w:overflowPunct/>
        <w:autoSpaceDE/>
        <w:autoSpaceDN/>
        <w:adjustRightInd/>
        <w:spacing w:after="160" w:line="259" w:lineRule="auto"/>
        <w:ind w:right="-22"/>
        <w:textAlignment w:val="auto"/>
      </w:pPr>
      <w:r w:rsidRPr="00E44C5B">
        <w:t>R</w:t>
      </w:r>
      <w:r w:rsidR="007D13AF">
        <w:t>4</w:t>
      </w:r>
      <w:r w:rsidR="0088766C">
        <w:t>-</w:t>
      </w:r>
      <w:r w:rsidR="007D13AF">
        <w:t>250</w:t>
      </w:r>
      <w:r w:rsidR="00A71278">
        <w:t>5223</w:t>
      </w:r>
      <w:r w:rsidRPr="00E44C5B">
        <w:t>,</w:t>
      </w:r>
      <w:r w:rsidR="0088766C">
        <w:t xml:space="preserve"> </w:t>
      </w:r>
      <w:r w:rsidR="007D13AF">
        <w:t>WF on low-low band switching, Apple.</w:t>
      </w:r>
      <w:r w:rsidR="00E83D9F">
        <w:t xml:space="preserve"> </w:t>
      </w:r>
      <w:r w:rsidR="007D13AF">
        <w:t>TSG-RAN4#114</w:t>
      </w:r>
      <w:r w:rsidR="00A71278">
        <w:t>bis</w:t>
      </w:r>
      <w:r w:rsidR="007D13AF">
        <w:t xml:space="preserve"> meeting</w:t>
      </w:r>
      <w:r w:rsidR="00C12F9D" w:rsidRPr="007D13AF">
        <w:rPr>
          <w:rFonts w:eastAsia="等线"/>
          <w:lang w:val="en-US" w:eastAsia="zh-CN"/>
        </w:rPr>
        <w:t xml:space="preserve">                                         </w:t>
      </w:r>
      <w:r w:rsidR="00F0037C" w:rsidRPr="00F0037C">
        <w:t xml:space="preserve"> </w:t>
      </w:r>
      <w:r w:rsidR="00F0037C">
        <w:t xml:space="preserve">             </w:t>
      </w:r>
    </w:p>
    <w:sectPr w:rsidR="000169AD" w:rsidRPr="007D13AF"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BC43E" w14:textId="77777777" w:rsidR="003F4036" w:rsidRDefault="003F4036">
      <w:r>
        <w:separator/>
      </w:r>
    </w:p>
  </w:endnote>
  <w:endnote w:type="continuationSeparator" w:id="0">
    <w:p w14:paraId="35124B9F" w14:textId="77777777" w:rsidR="003F4036" w:rsidRDefault="003F4036">
      <w:r>
        <w:continuationSeparator/>
      </w:r>
    </w:p>
  </w:endnote>
  <w:endnote w:type="continuationNotice" w:id="1">
    <w:p w14:paraId="07F8231E" w14:textId="77777777" w:rsidR="003F4036" w:rsidRDefault="003F4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F0CC0" w:rsidRDefault="003F0CC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3F0CC0" w:rsidRDefault="003F0CC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E4D77EE" w:rsidR="003F0CC0" w:rsidRDefault="003F0CC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2E7E92">
      <w:rPr>
        <w:rStyle w:val="afb"/>
      </w:rPr>
      <w:t>2</w:t>
    </w:r>
    <w:r>
      <w:rPr>
        <w:rStyle w:val="afb"/>
      </w:rPr>
      <w:fldChar w:fldCharType="end"/>
    </w:r>
  </w:p>
  <w:p w14:paraId="0FACBD0C" w14:textId="77777777" w:rsidR="003F0CC0" w:rsidRDefault="003F0CC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496A4" w14:textId="77777777" w:rsidR="003F4036" w:rsidRDefault="003F4036">
      <w:r>
        <w:separator/>
      </w:r>
    </w:p>
  </w:footnote>
  <w:footnote w:type="continuationSeparator" w:id="0">
    <w:p w14:paraId="7CCDCEB1" w14:textId="77777777" w:rsidR="003F4036" w:rsidRDefault="003F4036">
      <w:r>
        <w:continuationSeparator/>
      </w:r>
    </w:p>
  </w:footnote>
  <w:footnote w:type="continuationNotice" w:id="1">
    <w:p w14:paraId="77D8A980" w14:textId="77777777" w:rsidR="003F4036" w:rsidRDefault="003F40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8"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6" w15:restartNumberingAfterBreak="0">
    <w:nsid w:val="3AD37A3D"/>
    <w:multiLevelType w:val="multilevel"/>
    <w:tmpl w:val="55761504"/>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4D3C4241"/>
    <w:multiLevelType w:val="hybridMultilevel"/>
    <w:tmpl w:val="9430875E"/>
    <w:lvl w:ilvl="0" w:tplc="8B523BB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7"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4"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0"/>
  </w:num>
  <w:num w:numId="3">
    <w:abstractNumId w:val="32"/>
  </w:num>
  <w:num w:numId="4">
    <w:abstractNumId w:val="24"/>
  </w:num>
  <w:num w:numId="5">
    <w:abstractNumId w:val="13"/>
  </w:num>
  <w:num w:numId="6">
    <w:abstractNumId w:val="4"/>
  </w:num>
  <w:num w:numId="7">
    <w:abstractNumId w:val="28"/>
  </w:num>
  <w:num w:numId="8">
    <w:abstractNumId w:val="14"/>
  </w:num>
  <w:num w:numId="9">
    <w:abstractNumId w:val="23"/>
  </w:num>
  <w:num w:numId="10">
    <w:abstractNumId w:val="33"/>
  </w:num>
  <w:num w:numId="11">
    <w:abstractNumId w:val="11"/>
  </w:num>
  <w:num w:numId="12">
    <w:abstractNumId w:val="34"/>
  </w:num>
  <w:num w:numId="13">
    <w:abstractNumId w:val="27"/>
  </w:num>
  <w:num w:numId="14">
    <w:abstractNumId w:val="25"/>
  </w:num>
  <w:num w:numId="15">
    <w:abstractNumId w:val="1"/>
  </w:num>
  <w:num w:numId="16">
    <w:abstractNumId w:val="19"/>
  </w:num>
  <w:num w:numId="17">
    <w:abstractNumId w:val="20"/>
  </w:num>
  <w:num w:numId="18">
    <w:abstractNumId w:val="9"/>
  </w:num>
  <w:num w:numId="19">
    <w:abstractNumId w:val="2"/>
  </w:num>
  <w:num w:numId="20">
    <w:abstractNumId w:val="19"/>
  </w:num>
  <w:num w:numId="21">
    <w:abstractNumId w:val="12"/>
  </w:num>
  <w:num w:numId="22">
    <w:abstractNumId w:val="19"/>
  </w:num>
  <w:num w:numId="23">
    <w:abstractNumId w:val="19"/>
  </w:num>
  <w:num w:numId="24">
    <w:abstractNumId w:val="26"/>
  </w:num>
  <w:num w:numId="25">
    <w:abstractNumId w:val="15"/>
  </w:num>
  <w:num w:numId="26">
    <w:abstractNumId w:val="19"/>
  </w:num>
  <w:num w:numId="27">
    <w:abstractNumId w:val="21"/>
  </w:num>
  <w:num w:numId="28">
    <w:abstractNumId w:val="17"/>
  </w:num>
  <w:num w:numId="29">
    <w:abstractNumId w:val="19"/>
  </w:num>
  <w:num w:numId="30">
    <w:abstractNumId w:val="19"/>
  </w:num>
  <w:num w:numId="31">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8"/>
  </w:num>
  <w:num w:numId="34">
    <w:abstractNumId w:val="19"/>
  </w:num>
  <w:num w:numId="35">
    <w:abstractNumId w:val="5"/>
  </w:num>
  <w:num w:numId="36">
    <w:abstractNumId w:val="6"/>
  </w:num>
  <w:num w:numId="37">
    <w:abstractNumId w:val="8"/>
  </w:num>
  <w:num w:numId="38">
    <w:abstractNumId w:val="31"/>
  </w:num>
  <w:num w:numId="39">
    <w:abstractNumId w:val="7"/>
  </w:num>
  <w:num w:numId="40">
    <w:abstractNumId w:val="10"/>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22"/>
  </w:num>
  <w:num w:numId="4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254"/>
    <w:rsid w:val="00001B60"/>
    <w:rsid w:val="00001CD0"/>
    <w:rsid w:val="00001E00"/>
    <w:rsid w:val="00001EBF"/>
    <w:rsid w:val="000020E9"/>
    <w:rsid w:val="000023CE"/>
    <w:rsid w:val="00002575"/>
    <w:rsid w:val="0000301D"/>
    <w:rsid w:val="00003326"/>
    <w:rsid w:val="00003883"/>
    <w:rsid w:val="000042A1"/>
    <w:rsid w:val="00004852"/>
    <w:rsid w:val="00004AD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4E5"/>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1E93"/>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50"/>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4A4F"/>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F18"/>
    <w:rsid w:val="00166BBB"/>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DF4"/>
    <w:rsid w:val="002212FA"/>
    <w:rsid w:val="0022148C"/>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8BF"/>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11D"/>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E92"/>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3A"/>
    <w:rsid w:val="003517BE"/>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05B"/>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8F9"/>
    <w:rsid w:val="003F2DA5"/>
    <w:rsid w:val="003F2E22"/>
    <w:rsid w:val="003F2E56"/>
    <w:rsid w:val="003F309A"/>
    <w:rsid w:val="003F3503"/>
    <w:rsid w:val="003F3C05"/>
    <w:rsid w:val="003F3C5B"/>
    <w:rsid w:val="003F3E8F"/>
    <w:rsid w:val="003F3FBC"/>
    <w:rsid w:val="003F4029"/>
    <w:rsid w:val="003F4036"/>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6B2"/>
    <w:rsid w:val="004759D7"/>
    <w:rsid w:val="00475A12"/>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6FB3"/>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D8C"/>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443B"/>
    <w:rsid w:val="007846E1"/>
    <w:rsid w:val="007846F4"/>
    <w:rsid w:val="007850F8"/>
    <w:rsid w:val="00785429"/>
    <w:rsid w:val="007854B6"/>
    <w:rsid w:val="007855D1"/>
    <w:rsid w:val="0078574E"/>
    <w:rsid w:val="00785B4D"/>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D07"/>
    <w:rsid w:val="007D515A"/>
    <w:rsid w:val="007D5806"/>
    <w:rsid w:val="007D6988"/>
    <w:rsid w:val="007D6CE6"/>
    <w:rsid w:val="007D759E"/>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26B"/>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D00"/>
    <w:rsid w:val="008F2D80"/>
    <w:rsid w:val="008F2E34"/>
    <w:rsid w:val="008F2E41"/>
    <w:rsid w:val="008F30A5"/>
    <w:rsid w:val="008F33AA"/>
    <w:rsid w:val="008F38FD"/>
    <w:rsid w:val="008F3CC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899"/>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EA3"/>
    <w:rsid w:val="0099327E"/>
    <w:rsid w:val="00993E0F"/>
    <w:rsid w:val="009947EA"/>
    <w:rsid w:val="00994B6D"/>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5EB"/>
    <w:rsid w:val="009B46A0"/>
    <w:rsid w:val="009B4B74"/>
    <w:rsid w:val="009B5391"/>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373"/>
    <w:rsid w:val="00A017BC"/>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7BE"/>
    <w:rsid w:val="00A668E1"/>
    <w:rsid w:val="00A66AFB"/>
    <w:rsid w:val="00A66C6A"/>
    <w:rsid w:val="00A66C74"/>
    <w:rsid w:val="00A66EFA"/>
    <w:rsid w:val="00A6706C"/>
    <w:rsid w:val="00A6723E"/>
    <w:rsid w:val="00A6754A"/>
    <w:rsid w:val="00A67790"/>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E13"/>
    <w:rsid w:val="00A82F3F"/>
    <w:rsid w:val="00A83401"/>
    <w:rsid w:val="00A834BF"/>
    <w:rsid w:val="00A83663"/>
    <w:rsid w:val="00A8442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3AC5"/>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B1B"/>
    <w:rsid w:val="00BE4DB0"/>
    <w:rsid w:val="00BE5205"/>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72F"/>
    <w:rsid w:val="00BF39DD"/>
    <w:rsid w:val="00BF3A02"/>
    <w:rsid w:val="00BF3F76"/>
    <w:rsid w:val="00BF40A8"/>
    <w:rsid w:val="00BF4730"/>
    <w:rsid w:val="00BF49E1"/>
    <w:rsid w:val="00BF4AC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48B"/>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A5D"/>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57BE7"/>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40F"/>
    <w:rsid w:val="00C65556"/>
    <w:rsid w:val="00C6560E"/>
    <w:rsid w:val="00C65686"/>
    <w:rsid w:val="00C656AE"/>
    <w:rsid w:val="00C656FA"/>
    <w:rsid w:val="00C65A49"/>
    <w:rsid w:val="00C65CC0"/>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B50"/>
    <w:rsid w:val="00C96481"/>
    <w:rsid w:val="00C96806"/>
    <w:rsid w:val="00C97032"/>
    <w:rsid w:val="00CA082F"/>
    <w:rsid w:val="00CA09C2"/>
    <w:rsid w:val="00CA0AB3"/>
    <w:rsid w:val="00CA181E"/>
    <w:rsid w:val="00CA215A"/>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63"/>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6BB"/>
    <w:rsid w:val="00D14749"/>
    <w:rsid w:val="00D148A1"/>
    <w:rsid w:val="00D1499B"/>
    <w:rsid w:val="00D14C4B"/>
    <w:rsid w:val="00D14CE9"/>
    <w:rsid w:val="00D14D64"/>
    <w:rsid w:val="00D15C91"/>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D51"/>
    <w:rsid w:val="00DB20F7"/>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A3D"/>
    <w:rsid w:val="00E070DE"/>
    <w:rsid w:val="00E07598"/>
    <w:rsid w:val="00E075F2"/>
    <w:rsid w:val="00E07E56"/>
    <w:rsid w:val="00E1019E"/>
    <w:rsid w:val="00E10226"/>
    <w:rsid w:val="00E1023F"/>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05C6"/>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580F"/>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0DA"/>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329071">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9E022479-35EF-47DF-86B8-671783D1F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52</TotalTime>
  <Pages>2</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10</cp:revision>
  <cp:lastPrinted>2017-09-11T16:45:00Z</cp:lastPrinted>
  <dcterms:created xsi:type="dcterms:W3CDTF">2025-05-09T06:57:00Z</dcterms:created>
  <dcterms:modified xsi:type="dcterms:W3CDTF">2025-05-09T12:33:00Z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