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2360F" w14:textId="67C0E2F0" w:rsidR="008039B9" w:rsidRPr="00467A11" w:rsidRDefault="008039B9" w:rsidP="008039B9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91681971"/>
      <w:r w:rsidRPr="00467A11">
        <w:rPr>
          <w:rFonts w:ascii="Arial" w:hAnsi="Arial" w:cs="Arial"/>
          <w:b/>
          <w:noProof/>
          <w:sz w:val="24"/>
          <w:szCs w:val="24"/>
        </w:rPr>
        <w:t>3GPP TSG-RAN WG4 Meeting #114-bis</w:t>
      </w:r>
      <w:r w:rsidRPr="00467A11">
        <w:rPr>
          <w:rFonts w:ascii="Arial" w:hAnsi="Arial" w:cs="Arial"/>
          <w:b/>
          <w:noProof/>
          <w:sz w:val="24"/>
          <w:szCs w:val="24"/>
        </w:rPr>
        <w:tab/>
      </w:r>
      <w:r w:rsidR="00671528" w:rsidRPr="00671528">
        <w:rPr>
          <w:rFonts w:ascii="Arial" w:hAnsi="Arial" w:cs="Arial"/>
          <w:b/>
          <w:noProof/>
          <w:color w:val="000000"/>
          <w:sz w:val="24"/>
          <w:szCs w:val="24"/>
        </w:rPr>
        <w:t>R4-2503103</w:t>
      </w:r>
    </w:p>
    <w:p w14:paraId="78711334" w14:textId="77777777" w:rsidR="008039B9" w:rsidRDefault="008039B9" w:rsidP="008039B9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lang w:eastAsia="zh-CN"/>
        </w:rPr>
      </w:pPr>
      <w:r w:rsidRPr="00467A11">
        <w:rPr>
          <w:rFonts w:ascii="Arial" w:hAnsi="Arial" w:cs="Arial"/>
          <w:b/>
          <w:sz w:val="24"/>
          <w:szCs w:val="24"/>
          <w:lang w:eastAsia="zh-CN"/>
        </w:rPr>
        <w:t>Wuhan, China, 07th – 11th April. 2025</w:t>
      </w:r>
    </w:p>
    <w:p w14:paraId="3CA101BB" w14:textId="77777777" w:rsidR="008039B9" w:rsidRDefault="008039B9" w:rsidP="008039B9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lang w:eastAsia="zh-CN"/>
        </w:rPr>
      </w:pPr>
    </w:p>
    <w:p w14:paraId="7F1182EC" w14:textId="24FA97DF" w:rsidR="00E35C0C" w:rsidRPr="00D545B2" w:rsidRDefault="00E35C0C" w:rsidP="008039B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i/>
          <w:szCs w:val="36"/>
          <w:lang w:val="en-US" w:eastAsia="ja-JP"/>
        </w:rPr>
      </w:pPr>
      <w:r w:rsidRPr="00D545B2">
        <w:rPr>
          <w:rFonts w:ascii="Arial" w:eastAsia="Malgun Gothic" w:hAnsi="Arial" w:cs="Arial"/>
          <w:b/>
          <w:bCs/>
          <w:szCs w:val="36"/>
          <w:lang w:val="en-US"/>
        </w:rPr>
        <w:t>3GPP TSG RAN WG1 #120</w:t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ab/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ab/>
        <w:t xml:space="preserve">                              </w:t>
      </w:r>
      <w:r w:rsidRPr="00D545B2">
        <w:rPr>
          <w:rFonts w:ascii="Arial" w:eastAsia="Malgun Gothic" w:hAnsi="Arial" w:cs="Arial" w:hint="eastAsia"/>
          <w:b/>
          <w:bCs/>
          <w:szCs w:val="36"/>
          <w:lang w:val="en-US"/>
        </w:rPr>
        <w:t xml:space="preserve">  </w:t>
      </w:r>
      <w:r>
        <w:rPr>
          <w:rFonts w:ascii="Arial" w:eastAsia="MS Mincho" w:hAnsi="Arial" w:cs="Arial" w:hint="eastAsia"/>
          <w:b/>
          <w:bCs/>
          <w:szCs w:val="36"/>
          <w:lang w:val="en-US"/>
        </w:rPr>
        <w:t xml:space="preserve">     </w:t>
      </w:r>
      <w:r w:rsidRPr="00D545B2">
        <w:rPr>
          <w:rFonts w:ascii="Arial" w:eastAsia="Malgun Gothic" w:hAnsi="Arial" w:cs="Arial" w:hint="eastAsia"/>
          <w:b/>
          <w:bCs/>
          <w:szCs w:val="36"/>
          <w:lang w:val="en-US"/>
        </w:rPr>
        <w:t xml:space="preserve">   </w:t>
      </w:r>
      <w:r>
        <w:rPr>
          <w:rFonts w:ascii="Arial" w:eastAsia="MS Mincho" w:hAnsi="Arial" w:cs="Arial" w:hint="eastAsia"/>
          <w:b/>
          <w:bCs/>
          <w:szCs w:val="36"/>
          <w:lang w:val="en-US"/>
        </w:rPr>
        <w:t xml:space="preserve">  </w:t>
      </w:r>
      <w:r>
        <w:rPr>
          <w:rFonts w:ascii="Arial" w:eastAsia="MS Mincho" w:hAnsi="Arial" w:cs="Arial" w:hint="eastAsia"/>
          <w:b/>
          <w:bCs/>
          <w:szCs w:val="36"/>
          <w:lang w:val="en-US" w:eastAsia="ja-JP"/>
        </w:rPr>
        <w:t xml:space="preserve">  </w:t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>R1-25</w:t>
      </w:r>
      <w:r w:rsidRPr="00D545B2">
        <w:rPr>
          <w:rFonts w:ascii="Arial" w:eastAsia="Malgun Gothic" w:hAnsi="Arial" w:cs="Arial" w:hint="eastAsia"/>
          <w:b/>
          <w:bCs/>
          <w:szCs w:val="36"/>
          <w:lang w:val="en-US"/>
        </w:rPr>
        <w:t>013</w:t>
      </w:r>
      <w:r>
        <w:rPr>
          <w:rFonts w:ascii="Arial" w:eastAsia="MS Mincho" w:hAnsi="Arial" w:cs="Arial" w:hint="eastAsia"/>
          <w:b/>
          <w:bCs/>
          <w:szCs w:val="36"/>
          <w:lang w:val="en-US" w:eastAsia="ja-JP"/>
        </w:rPr>
        <w:t>9</w:t>
      </w:r>
      <w:r w:rsidR="000415E8">
        <w:rPr>
          <w:rFonts w:ascii="Arial" w:eastAsia="MS Mincho" w:hAnsi="Arial" w:cs="Arial" w:hint="eastAsia"/>
          <w:b/>
          <w:bCs/>
          <w:szCs w:val="36"/>
          <w:lang w:val="en-US" w:eastAsia="ja-JP"/>
        </w:rPr>
        <w:t>0</w:t>
      </w:r>
    </w:p>
    <w:p w14:paraId="5DD89563" w14:textId="77777777" w:rsidR="00E35C0C" w:rsidRPr="00D545B2" w:rsidRDefault="00E35C0C" w:rsidP="00E35C0C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  <w:lang w:val="en-US"/>
        </w:rPr>
      </w:pPr>
      <w:r w:rsidRPr="00D545B2">
        <w:rPr>
          <w:rFonts w:ascii="Arial" w:eastAsia="Malgun Gothic" w:hAnsi="Arial" w:cs="Arial"/>
          <w:b/>
          <w:bCs/>
          <w:szCs w:val="36"/>
          <w:lang w:val="en-US"/>
        </w:rPr>
        <w:t>Athens, Greece, February 17</w:t>
      </w:r>
      <w:r w:rsidRPr="00D545B2">
        <w:rPr>
          <w:rFonts w:ascii="Arial" w:eastAsia="Malgun Gothic" w:hAnsi="Arial" w:cs="Arial" w:hint="eastAsia"/>
          <w:b/>
          <w:bCs/>
          <w:szCs w:val="36"/>
          <w:vertAlign w:val="superscript"/>
          <w:lang w:val="en-US"/>
        </w:rPr>
        <w:t>th</w:t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 xml:space="preserve"> – 21</w:t>
      </w:r>
      <w:r w:rsidRPr="00D545B2">
        <w:rPr>
          <w:rFonts w:ascii="Arial" w:eastAsia="Malgun Gothic" w:hAnsi="Arial" w:cs="Arial"/>
          <w:b/>
          <w:bCs/>
          <w:szCs w:val="36"/>
          <w:vertAlign w:val="superscript"/>
          <w:lang w:val="en-US"/>
        </w:rPr>
        <w:t>st</w:t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 xml:space="preserve">, 2025 </w:t>
      </w:r>
      <w:bookmarkEnd w:id="0"/>
    </w:p>
    <w:p w14:paraId="56A8D5BE" w14:textId="77777777" w:rsidR="002E51C3" w:rsidRPr="00E35C0C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256BB689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</w:t>
      </w:r>
      <w:r w:rsidR="00E35C0C">
        <w:rPr>
          <w:rFonts w:ascii="Arial" w:eastAsia="MS Mincho" w:hAnsi="Arial" w:cs="Arial" w:hint="eastAsia"/>
          <w:bCs/>
          <w:lang w:eastAsia="ja-JP"/>
        </w:rPr>
        <w:t>20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1ABE4D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0415E8">
        <w:rPr>
          <w:rFonts w:ascii="Arial" w:eastAsia="MS Mincho" w:hAnsi="Arial" w:cs="Arial"/>
          <w:bCs/>
          <w:lang w:eastAsia="ja-JP"/>
        </w:rPr>
        <w:t>RAN WG</w:t>
      </w:r>
      <w:r w:rsidR="00290771" w:rsidRPr="000415E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14E3700E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A13E36" w:rsidRPr="00A13E36">
        <w:rPr>
          <w:rFonts w:ascii="Arial" w:hAnsi="Arial" w:cs="Arial"/>
          <w:lang w:val="pt-BR"/>
        </w:rPr>
        <w:t>R1-2</w:t>
      </w:r>
      <w:r w:rsidR="00E35C0C">
        <w:rPr>
          <w:rFonts w:ascii="Arial" w:eastAsiaTheme="minorEastAsia" w:hAnsi="Arial" w:cs="Arial" w:hint="eastAsia"/>
          <w:lang w:val="pt-BR" w:eastAsia="ja-JP"/>
        </w:rPr>
        <w:t>501388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A13E36" w:rsidRPr="00A13E36">
        <w:rPr>
          <w:rFonts w:ascii="Arial" w:hAnsi="Arial" w:cs="Arial"/>
          <w:bCs/>
        </w:rPr>
        <w:t>Updated RAN1 UE features list for Rel-18 NR after RAN1#1</w:t>
      </w:r>
      <w:r w:rsidR="00E35C0C">
        <w:rPr>
          <w:rFonts w:ascii="Arial" w:eastAsiaTheme="minorEastAsia" w:hAnsi="Arial" w:cs="Arial" w:hint="eastAsia"/>
          <w:bCs/>
          <w:lang w:eastAsia="ja-JP"/>
        </w:rPr>
        <w:t>20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18F13578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</w:t>
      </w:r>
      <w:r w:rsidR="000D170A" w:rsidRPr="000D170A">
        <w:rPr>
          <w:rFonts w:ascii="Arial" w:hAnsi="Arial" w:cs="Arial"/>
          <w:lang w:val="pt-BR"/>
        </w:rPr>
        <w:t>2</w:t>
      </w:r>
      <w:r w:rsidR="00E35C0C">
        <w:rPr>
          <w:rFonts w:ascii="Arial" w:eastAsiaTheme="minorEastAsia" w:hAnsi="Arial" w:cs="Arial" w:hint="eastAsia"/>
          <w:lang w:val="pt-BR" w:eastAsia="ja-JP"/>
        </w:rPr>
        <w:t>501388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77491DFE" w14:textId="5F128D02" w:rsidR="00D23903" w:rsidRDefault="00D23903" w:rsidP="00D23903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would like to thank RAN2 for the LS </w:t>
      </w: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in </w:t>
      </w:r>
      <w:r w:rsidRPr="00D23903">
        <w:rPr>
          <w:rFonts w:ascii="Arial" w:eastAsia="Yu Mincho" w:hAnsi="Arial" w:cs="Arial"/>
          <w:bCs/>
          <w:iCs/>
          <w:lang w:val="en-US"/>
        </w:rPr>
        <w:t>R1-2</w:t>
      </w:r>
      <w:r w:rsidR="00E35C0C">
        <w:rPr>
          <w:rFonts w:ascii="Arial" w:eastAsia="Yu Mincho" w:hAnsi="Arial" w:cs="Arial" w:hint="eastAsia"/>
          <w:bCs/>
          <w:iCs/>
          <w:lang w:val="en-US" w:eastAsia="ja-JP"/>
        </w:rPr>
        <w:t>500010</w:t>
      </w:r>
      <w:r w:rsidRPr="000D170A">
        <w:rPr>
          <w:rFonts w:ascii="Arial" w:eastAsia="Yu Mincho" w:hAnsi="Arial" w:cs="Arial"/>
          <w:bCs/>
          <w:iCs/>
          <w:lang w:eastAsia="ja-JP"/>
        </w:rPr>
        <w:t>/</w:t>
      </w:r>
      <w:r w:rsidRPr="00FF130D">
        <w:rPr>
          <w:rFonts w:ascii="Arial" w:eastAsia="Yu Mincho" w:hAnsi="Arial" w:cs="Arial"/>
          <w:bCs/>
          <w:iCs/>
          <w:lang w:eastAsia="ja-JP"/>
        </w:rPr>
        <w:t>R2-24</w:t>
      </w:r>
      <w:r w:rsidR="00E35C0C">
        <w:rPr>
          <w:rFonts w:ascii="Arial" w:eastAsia="Yu Mincho" w:hAnsi="Arial" w:cs="Arial" w:hint="eastAsia"/>
          <w:bCs/>
          <w:iCs/>
          <w:lang w:eastAsia="ja-JP"/>
        </w:rPr>
        <w:t>11219</w:t>
      </w:r>
      <w:r>
        <w:rPr>
          <w:rFonts w:ascii="Arial" w:eastAsia="Yu Mincho" w:hAnsi="Arial" w:cs="Arial"/>
          <w:bCs/>
          <w:iCs/>
          <w:lang w:eastAsia="ja-JP"/>
        </w:rPr>
        <w:t xml:space="preserve">. RAN1 would like to inform RAN2 about the following </w:t>
      </w:r>
      <w:r>
        <w:rPr>
          <w:rFonts w:ascii="Arial" w:eastAsia="Yu Mincho" w:hAnsi="Arial" w:cs="Arial" w:hint="eastAsia"/>
          <w:bCs/>
          <w:iCs/>
          <w:lang w:eastAsia="ja-JP"/>
        </w:rPr>
        <w:t xml:space="preserve">RAN1 </w:t>
      </w:r>
      <w:r w:rsidR="00E35C0C">
        <w:rPr>
          <w:rFonts w:ascii="Arial" w:eastAsia="Yu Mincho" w:hAnsi="Arial" w:cs="Arial" w:hint="eastAsia"/>
          <w:bCs/>
          <w:iCs/>
          <w:lang w:eastAsia="ja-JP"/>
        </w:rPr>
        <w:t>agreement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30679" w14:paraId="00EA8A46" w14:textId="77777777" w:rsidTr="000A61D5">
        <w:tc>
          <w:tcPr>
            <w:tcW w:w="9855" w:type="dxa"/>
          </w:tcPr>
          <w:p w14:paraId="7392A92E" w14:textId="77777777" w:rsidR="00E35C0C" w:rsidRPr="009A394F" w:rsidRDefault="00E35C0C" w:rsidP="00E35C0C">
            <w:pPr>
              <w:rPr>
                <w:rFonts w:ascii="Times" w:eastAsia="Yu Mincho" w:hAnsi="Times"/>
                <w:b/>
                <w:bCs/>
                <w:szCs w:val="24"/>
                <w:highlight w:val="green"/>
                <w:lang w:eastAsia="ja-JP"/>
              </w:rPr>
            </w:pPr>
            <w:r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eastAsia="ja-JP"/>
              </w:rPr>
              <w:t>Agreement:</w:t>
            </w:r>
          </w:p>
          <w:p w14:paraId="5C71450B" w14:textId="77777777" w:rsidR="00E35C0C" w:rsidRPr="009B55FF" w:rsidRDefault="00E35C0C" w:rsidP="00E35C0C">
            <w:pPr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 w:hint="eastAsia"/>
                <w:szCs w:val="24"/>
                <w:lang w:eastAsia="ja-JP"/>
              </w:rPr>
              <w:t>Reply to RAN2 that following per-band capabilities refer to the source band</w:t>
            </w:r>
            <w:r w:rsidRPr="009B55FF">
              <w:rPr>
                <w:rFonts w:ascii="Times" w:eastAsia="Yu Mincho" w:hAnsi="Times"/>
                <w:szCs w:val="24"/>
                <w:lang w:eastAsia="ja-JP"/>
              </w:rPr>
              <w:t>.</w:t>
            </w:r>
          </w:p>
          <w:p w14:paraId="0072903D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/>
                <w:szCs w:val="24"/>
                <w:lang w:eastAsia="ja-JP"/>
              </w:rPr>
              <w:t>ue-TA-Measurement-r18</w:t>
            </w:r>
          </w:p>
          <w:p w14:paraId="46143473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/>
                <w:szCs w:val="24"/>
                <w:lang w:eastAsia="ja-JP"/>
              </w:rPr>
              <w:t>ltm-BeamIndicationJointTCI-r18</w:t>
            </w:r>
          </w:p>
          <w:p w14:paraId="102CF3C7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/>
                <w:szCs w:val="24"/>
                <w:lang w:eastAsia="ja-JP"/>
              </w:rPr>
              <w:t>ltm-BeamIndicationSeparateTCI-r18</w:t>
            </w:r>
          </w:p>
          <w:p w14:paraId="2790C9A0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/>
                <w:szCs w:val="24"/>
                <w:lang w:eastAsia="ja-JP"/>
              </w:rPr>
              <w:t>rach-EarlyTA-Measurement-r18</w:t>
            </w:r>
          </w:p>
          <w:p w14:paraId="7893B8AB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/>
                <w:szCs w:val="24"/>
                <w:lang w:eastAsia="ja-JP"/>
              </w:rPr>
              <w:t>ltm-MAC-CE-JointTCI-r18</w:t>
            </w:r>
          </w:p>
          <w:p w14:paraId="56206524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/>
                <w:szCs w:val="24"/>
                <w:lang w:eastAsia="ja-JP"/>
              </w:rPr>
              <w:t>ltm-MAC-CE-SeparateTCI-r18</w:t>
            </w:r>
          </w:p>
          <w:p w14:paraId="63BA6611" w14:textId="6A959A61" w:rsidR="00B30679" w:rsidRPr="00E35C0C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/>
                <w:szCs w:val="24"/>
                <w:lang w:eastAsia="ja-JP"/>
              </w:rPr>
              <w:t>ta-IndicationCellSwitch-r18</w:t>
            </w:r>
          </w:p>
        </w:tc>
      </w:tr>
    </w:tbl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24B2FE" w14:textId="0DDEF6D7" w:rsidR="00DB1C6F" w:rsidRDefault="00DB1C6F" w:rsidP="00DB1C6F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would </w:t>
      </w: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also </w:t>
      </w:r>
      <w:r w:rsidRPr="003C03E1">
        <w:rPr>
          <w:rFonts w:ascii="Arial" w:eastAsia="Yu Mincho" w:hAnsi="Arial" w:cs="Arial"/>
          <w:bCs/>
          <w:iCs/>
          <w:lang w:val="en-US"/>
        </w:rPr>
        <w:t xml:space="preserve">like to thank RAN2 for the LS </w:t>
      </w: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in </w:t>
      </w:r>
      <w:r w:rsidRPr="00D23903">
        <w:rPr>
          <w:rFonts w:ascii="Arial" w:eastAsia="Yu Mincho" w:hAnsi="Arial" w:cs="Arial"/>
          <w:bCs/>
          <w:iCs/>
          <w:lang w:val="en-US"/>
        </w:rPr>
        <w:t>R1-2</w:t>
      </w:r>
      <w:r>
        <w:rPr>
          <w:rFonts w:ascii="Arial" w:eastAsia="Yu Mincho" w:hAnsi="Arial" w:cs="Arial" w:hint="eastAsia"/>
          <w:bCs/>
          <w:iCs/>
          <w:lang w:val="en-US" w:eastAsia="ja-JP"/>
        </w:rPr>
        <w:t>501569</w:t>
      </w:r>
      <w:r w:rsidRPr="000D170A">
        <w:rPr>
          <w:rFonts w:ascii="Arial" w:eastAsia="Yu Mincho" w:hAnsi="Arial" w:cs="Arial"/>
          <w:bCs/>
          <w:iCs/>
          <w:lang w:eastAsia="ja-JP"/>
        </w:rPr>
        <w:t>/</w:t>
      </w:r>
      <w:r w:rsidRPr="00FF130D">
        <w:rPr>
          <w:rFonts w:ascii="Arial" w:eastAsia="Yu Mincho" w:hAnsi="Arial" w:cs="Arial"/>
          <w:bCs/>
          <w:iCs/>
          <w:lang w:eastAsia="ja-JP"/>
        </w:rPr>
        <w:t>R2-2</w:t>
      </w:r>
      <w:r>
        <w:rPr>
          <w:rFonts w:ascii="Arial" w:eastAsia="Yu Mincho" w:hAnsi="Arial" w:cs="Arial" w:hint="eastAsia"/>
          <w:bCs/>
          <w:iCs/>
          <w:lang w:eastAsia="ja-JP"/>
        </w:rPr>
        <w:t>501516</w:t>
      </w:r>
      <w:r>
        <w:rPr>
          <w:rFonts w:ascii="Arial" w:eastAsia="Yu Mincho" w:hAnsi="Arial" w:cs="Arial"/>
          <w:bCs/>
          <w:iCs/>
          <w:lang w:eastAsia="ja-JP"/>
        </w:rPr>
        <w:t xml:space="preserve">. RAN1 would like to inform RAN2 about the following </w:t>
      </w:r>
      <w:r>
        <w:rPr>
          <w:rFonts w:ascii="Arial" w:eastAsia="Yu Mincho" w:hAnsi="Arial" w:cs="Arial" w:hint="eastAsia"/>
          <w:bCs/>
          <w:iCs/>
          <w:lang w:eastAsia="ja-JP"/>
        </w:rPr>
        <w:t>RAN1 agreement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B1C6F" w14:paraId="0233FFCE" w14:textId="77777777" w:rsidTr="00DB1C6F">
        <w:tc>
          <w:tcPr>
            <w:tcW w:w="9855" w:type="dxa"/>
          </w:tcPr>
          <w:p w14:paraId="6C46FC2B" w14:textId="77777777" w:rsidR="00DB1C6F" w:rsidRPr="00340133" w:rsidRDefault="00DB1C6F" w:rsidP="00DB1C6F">
            <w:pPr>
              <w:rPr>
                <w:rFonts w:ascii="Times" w:eastAsia="Yu Mincho" w:hAnsi="Times"/>
                <w:b/>
                <w:bCs/>
                <w:szCs w:val="24"/>
                <w:highlight w:val="green"/>
                <w:lang w:eastAsia="ja-JP"/>
              </w:rPr>
            </w:pPr>
            <w:r w:rsidRPr="00340133">
              <w:rPr>
                <w:rFonts w:ascii="Times" w:eastAsia="Yu Mincho" w:hAnsi="Times" w:hint="eastAsia"/>
                <w:b/>
                <w:bCs/>
                <w:szCs w:val="24"/>
                <w:highlight w:val="green"/>
                <w:lang w:eastAsia="ja-JP"/>
              </w:rPr>
              <w:t>Agreement:</w:t>
            </w:r>
          </w:p>
          <w:p w14:paraId="7A44F009" w14:textId="77777777" w:rsidR="00DB1C6F" w:rsidRDefault="00DB1C6F" w:rsidP="00DB1C6F">
            <w:pPr>
              <w:rPr>
                <w:rFonts w:ascii="Times" w:eastAsia="Yu Mincho" w:hAnsi="Times"/>
                <w:szCs w:val="24"/>
                <w:lang w:eastAsia="ja-JP"/>
              </w:rPr>
            </w:pPr>
            <w:r w:rsidRPr="009B55FF">
              <w:rPr>
                <w:rFonts w:ascii="Times" w:eastAsia="Yu Mincho" w:hAnsi="Times" w:hint="eastAsia"/>
                <w:szCs w:val="24"/>
                <w:lang w:eastAsia="ja-JP"/>
              </w:rPr>
              <w:t xml:space="preserve">Reply to RAN2 </w:t>
            </w:r>
            <w:r>
              <w:rPr>
                <w:rFonts w:ascii="Times" w:eastAsia="Yu Mincho" w:hAnsi="Times" w:hint="eastAsia"/>
                <w:szCs w:val="24"/>
                <w:lang w:eastAsia="ja-JP"/>
              </w:rPr>
              <w:t>with following RAN1 answers</w:t>
            </w:r>
            <w:r w:rsidRPr="009B55FF">
              <w:rPr>
                <w:rFonts w:ascii="Times" w:eastAsia="Yu Mincho" w:hAnsi="Times"/>
                <w:szCs w:val="24"/>
                <w:lang w:eastAsia="ja-JP"/>
              </w:rPr>
              <w:t>.</w:t>
            </w:r>
          </w:p>
          <w:p w14:paraId="41B97132" w14:textId="77777777" w:rsidR="00DB1C6F" w:rsidRDefault="00DB1C6F" w:rsidP="00DB1C6F">
            <w:pPr>
              <w:numPr>
                <w:ilvl w:val="0"/>
                <w:numId w:val="15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>
              <w:rPr>
                <w:rFonts w:ascii="Times" w:eastAsia="Yu Mincho" w:hAnsi="Times" w:hint="eastAsia"/>
                <w:szCs w:val="24"/>
                <w:lang w:eastAsia="ja-JP"/>
              </w:rPr>
              <w:t xml:space="preserve">Answer to Q1: No, the FGs are only applicable to FR2. RAN1 has not agreed to support </w:t>
            </w:r>
            <w:r w:rsidRPr="005127C0">
              <w:rPr>
                <w:rFonts w:ascii="Times" w:eastAsia="Yu Mincho" w:hAnsi="Times"/>
                <w:szCs w:val="24"/>
                <w:lang w:eastAsia="ja-JP"/>
              </w:rPr>
              <w:t xml:space="preserve">cross-carrier scheduling of </w:t>
            </w:r>
            <w:r>
              <w:rPr>
                <w:rFonts w:ascii="Times" w:eastAsia="Yu Mincho" w:hAnsi="Times" w:hint="eastAsia"/>
                <w:szCs w:val="24"/>
                <w:lang w:eastAsia="ja-JP"/>
              </w:rPr>
              <w:t xml:space="preserve">MDCI based </w:t>
            </w:r>
            <w:r w:rsidRPr="005127C0">
              <w:rPr>
                <w:rFonts w:ascii="Times" w:eastAsia="Yu Mincho" w:hAnsi="Times"/>
                <w:szCs w:val="24"/>
                <w:lang w:eastAsia="ja-JP"/>
              </w:rPr>
              <w:t>STxMP PUSCH</w:t>
            </w:r>
            <w:r>
              <w:rPr>
                <w:rFonts w:ascii="Times" w:eastAsia="Yu Mincho" w:hAnsi="Times" w:hint="eastAsia"/>
                <w:szCs w:val="24"/>
                <w:lang w:eastAsia="ja-JP"/>
              </w:rPr>
              <w:t>.</w:t>
            </w:r>
          </w:p>
          <w:p w14:paraId="0238629C" w14:textId="77777777" w:rsidR="00DB1C6F" w:rsidRPr="001F0FE1" w:rsidRDefault="00DB1C6F" w:rsidP="00DB1C6F">
            <w:pPr>
              <w:numPr>
                <w:ilvl w:val="0"/>
                <w:numId w:val="15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>
              <w:rPr>
                <w:rFonts w:ascii="Times" w:eastAsia="Yu Mincho" w:hAnsi="Times" w:hint="eastAsia"/>
                <w:szCs w:val="24"/>
                <w:lang w:eastAsia="ja-JP"/>
              </w:rPr>
              <w:lastRenderedPageBreak/>
              <w:t xml:space="preserve">Answer to Q2: </w:t>
            </w:r>
            <w:r w:rsidRPr="001F0FE1">
              <w:rPr>
                <w:rFonts w:ascii="Times" w:eastAsia="Yu Mincho" w:hAnsi="Times" w:hint="eastAsia"/>
                <w:szCs w:val="24"/>
                <w:lang w:eastAsia="ja-JP"/>
              </w:rPr>
              <w:t xml:space="preserve">the capability value does not need to be reported for each of FR2 SCS </w:t>
            </w:r>
            <w:proofErr w:type="gramStart"/>
            <w:r w:rsidRPr="001F0FE1">
              <w:rPr>
                <w:rFonts w:ascii="Times" w:eastAsia="Yu Mincho" w:hAnsi="Times" w:hint="eastAsia"/>
                <w:szCs w:val="24"/>
                <w:lang w:eastAsia="ja-JP"/>
              </w:rPr>
              <w:t>in a given</w:t>
            </w:r>
            <w:proofErr w:type="gramEnd"/>
            <w:r w:rsidRPr="001F0FE1">
              <w:rPr>
                <w:rFonts w:ascii="Times" w:eastAsia="Yu Mincho" w:hAnsi="Times" w:hint="eastAsia"/>
                <w:szCs w:val="24"/>
                <w:lang w:eastAsia="ja-JP"/>
              </w:rPr>
              <w:t xml:space="preserve"> CC</w:t>
            </w:r>
            <w:r>
              <w:rPr>
                <w:rFonts w:ascii="Times" w:eastAsia="Yu Mincho" w:hAnsi="Times" w:hint="eastAsia"/>
                <w:szCs w:val="24"/>
                <w:lang w:eastAsia="ja-JP"/>
              </w:rPr>
              <w:t xml:space="preserve">. </w:t>
            </w:r>
            <w:r w:rsidRPr="001F0FE1">
              <w:rPr>
                <w:rFonts w:ascii="Times" w:eastAsia="Yu Mincho" w:hAnsi="Times"/>
                <w:szCs w:val="24"/>
                <w:lang w:eastAsia="ja-JP"/>
              </w:rPr>
              <w:t>UE reports candidate value for the applicable SCS in unit of symbols</w:t>
            </w:r>
            <w:r>
              <w:rPr>
                <w:rFonts w:ascii="Times" w:eastAsia="Yu Mincho" w:hAnsi="Times" w:hint="eastAsia"/>
                <w:szCs w:val="24"/>
                <w:lang w:eastAsia="ja-JP"/>
              </w:rPr>
              <w:t>.</w:t>
            </w:r>
          </w:p>
          <w:p w14:paraId="482BAD2C" w14:textId="77777777" w:rsidR="00DB1C6F" w:rsidRPr="00A758E4" w:rsidRDefault="00DB1C6F" w:rsidP="00DB1C6F">
            <w:pPr>
              <w:numPr>
                <w:ilvl w:val="0"/>
                <w:numId w:val="15"/>
              </w:numPr>
              <w:spacing w:before="60" w:after="120" w:line="256" w:lineRule="auto"/>
              <w:jc w:val="both"/>
              <w:rPr>
                <w:rFonts w:ascii="Times" w:eastAsia="Yu Mincho" w:hAnsi="Times"/>
                <w:szCs w:val="24"/>
                <w:lang w:eastAsia="ja-JP"/>
              </w:rPr>
            </w:pPr>
            <w:r>
              <w:rPr>
                <w:rFonts w:ascii="Times" w:eastAsia="Yu Mincho" w:hAnsi="Times" w:hint="eastAsia"/>
                <w:szCs w:val="24"/>
                <w:lang w:eastAsia="ja-JP"/>
              </w:rPr>
              <w:t>Consequently, the FGs are updated as below.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3"/>
              <w:gridCol w:w="3945"/>
              <w:gridCol w:w="697"/>
              <w:gridCol w:w="627"/>
              <w:gridCol w:w="3747"/>
            </w:tblGrid>
            <w:tr w:rsidR="00DB1C6F" w14:paraId="07C40826" w14:textId="77777777" w:rsidTr="00E5485C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9F5B29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MS Mincho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16"/>
                      <w:szCs w:val="16"/>
                      <w:lang w:eastAsia="en-GB"/>
                    </w:rPr>
                    <w:t>40-6-3a-1</w:t>
                  </w:r>
                </w:p>
              </w:tc>
              <w:tc>
                <w:tcPr>
                  <w:tcW w:w="3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790D22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1. Require additional timeline to process multiple TBs for codebook multi-DCI based STx2P PUSCH+PUSCH for DG+DG</w:t>
                  </w:r>
                </w:p>
                <w:p w14:paraId="08F9B802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Note. This FG can be applied for CG+DG also if UE can support those FG.</w:t>
                  </w:r>
                </w:p>
              </w:tc>
              <w:tc>
                <w:tcPr>
                  <w:tcW w:w="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14D25B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MS Mincho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16"/>
                      <w:szCs w:val="16"/>
                      <w:lang w:eastAsia="en-GB"/>
                    </w:rPr>
                    <w:t>Per FSPC</w:t>
                  </w: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D6DEA7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MS Mincho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16"/>
                      <w:szCs w:val="16"/>
                      <w:lang w:eastAsia="en-GB"/>
                    </w:rPr>
                    <w:t>FR2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286E3B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candidate values: </w:t>
                  </w:r>
                </w:p>
                <w:p w14:paraId="6C19A4C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UE reports candidate value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independently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for </w:t>
                  </w:r>
                  <w:r>
                    <w:rPr>
                      <w:rFonts w:eastAsia="Yu Mincho" w:cs="Arial" w:hint="eastAsia"/>
                      <w:color w:val="FF0000"/>
                      <w:sz w:val="16"/>
                      <w:szCs w:val="16"/>
                      <w:lang w:eastAsia="ja-JP"/>
                    </w:rPr>
                    <w:t xml:space="preserve">the applicable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each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SCS in unit of symbols </w:t>
                  </w:r>
                </w:p>
                <w:p w14:paraId="2ED41E5F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15kHz SCS: {1,2,4}</w:t>
                  </w:r>
                </w:p>
                <w:p w14:paraId="1A9DEA85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30kHz SCS: {1,2,4,8}</w:t>
                  </w:r>
                </w:p>
                <w:p w14:paraId="373AB926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60kHz SCS: {2,4,8,16}</w:t>
                  </w:r>
                </w:p>
                <w:p w14:paraId="62DDAF8F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120kHz SCS: {4,8,16,32}</w:t>
                  </w:r>
                </w:p>
                <w:p w14:paraId="6DA4E919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480kHz SCS: {16,32,64,128}</w:t>
                  </w:r>
                </w:p>
                <w:p w14:paraId="6A8F505A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960kHz SCS: {32,64,128,256}</w:t>
                  </w:r>
                </w:p>
                <w:p w14:paraId="170A78AB" w14:textId="77777777" w:rsidR="00DB1C6F" w:rsidRPr="001F0FE1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Note: SCS above is the minimum between SCS of the scheduling DCI and SCS of the scheduled PUSCH.</w:t>
                  </w:r>
                </w:p>
              </w:tc>
            </w:tr>
            <w:tr w:rsidR="00DB1C6F" w14:paraId="546AEB33" w14:textId="77777777" w:rsidTr="00E5485C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794CF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MS Mincho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16"/>
                      <w:szCs w:val="16"/>
                      <w:lang w:eastAsia="en-GB"/>
                    </w:rPr>
                    <w:t>40-6-3b-2</w:t>
                  </w:r>
                </w:p>
              </w:tc>
              <w:tc>
                <w:tcPr>
                  <w:tcW w:w="3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8B1558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 xml:space="preserve">1. Require additional timeline to process multiple TBs for </w:t>
                  </w:r>
                  <w:r>
                    <w:rPr>
                      <w:rFonts w:eastAsia="Malgun Gothic" w:cs="Arial" w:hint="eastAsia"/>
                      <w:color w:val="000000"/>
                      <w:sz w:val="16"/>
                      <w:szCs w:val="16"/>
                      <w:lang w:eastAsia="ko-KR"/>
                    </w:rPr>
                    <w:t>non-</w:t>
                  </w: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codebook multi-DCI based STx2P PUSCH+PUSCH for DG+DG</w:t>
                  </w:r>
                </w:p>
                <w:p w14:paraId="50BEBAD7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Note. This FG can be applied for CG+DG also if UE can support those FG.</w:t>
                  </w:r>
                </w:p>
              </w:tc>
              <w:tc>
                <w:tcPr>
                  <w:tcW w:w="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12BD45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MS Mincho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16"/>
                      <w:szCs w:val="16"/>
                      <w:lang w:eastAsia="en-GB"/>
                    </w:rPr>
                    <w:t>Per FSPC</w:t>
                  </w: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F3E0E0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MS Mincho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16"/>
                      <w:szCs w:val="16"/>
                      <w:lang w:eastAsia="en-GB"/>
                    </w:rPr>
                    <w:t>FR2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06BEEE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candidate values: </w:t>
                  </w:r>
                </w:p>
                <w:p w14:paraId="79D763D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UE reports candidate value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independently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for </w:t>
                  </w:r>
                  <w:r w:rsidRPr="001F0FE1">
                    <w:rPr>
                      <w:rFonts w:eastAsia="Yu Mincho" w:cs="Arial" w:hint="eastAsia"/>
                      <w:color w:val="FF0000"/>
                      <w:sz w:val="16"/>
                      <w:szCs w:val="16"/>
                      <w:lang w:eastAsia="ja-JP"/>
                    </w:rPr>
                    <w:t xml:space="preserve">the applicable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each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SCS in unit of symbols </w:t>
                  </w:r>
                </w:p>
                <w:p w14:paraId="571EDFFD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15kHz SCS: {1,2,4}</w:t>
                  </w:r>
                </w:p>
                <w:p w14:paraId="5683CA7F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30kHz SCS: {1,2,4,8}</w:t>
                  </w:r>
                </w:p>
                <w:p w14:paraId="18FC3EF5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60kHz SCS: {2,4,8,16}</w:t>
                  </w:r>
                </w:p>
                <w:p w14:paraId="20080829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120kHz SCS: {4,8,16,32}</w:t>
                  </w:r>
                </w:p>
                <w:p w14:paraId="6F2DC77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480kHz SCS: {16,32,64,128}</w:t>
                  </w:r>
                </w:p>
                <w:p w14:paraId="4A4AE1E6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960kHz SCS: {32,64,128,256}</w:t>
                  </w:r>
                </w:p>
                <w:p w14:paraId="35C90627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</w:p>
                <w:p w14:paraId="7BFDD896" w14:textId="77777777" w:rsidR="00DB1C6F" w:rsidRPr="001F0FE1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Note: SCS above is the minimum between SCS of the scheduling DCI and SCS of the scheduled PUSCH.</w:t>
                  </w:r>
                </w:p>
              </w:tc>
            </w:tr>
          </w:tbl>
          <w:p w14:paraId="63E5CE9B" w14:textId="77777777" w:rsidR="00DB1C6F" w:rsidRPr="00DB1C6F" w:rsidRDefault="00DB1C6F" w:rsidP="000D170A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</w:tc>
      </w:tr>
    </w:tbl>
    <w:p w14:paraId="5B80CA8E" w14:textId="77777777" w:rsidR="00DB1C6F" w:rsidRPr="00DB1C6F" w:rsidRDefault="00DB1C6F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CE004CB" w14:textId="77777777" w:rsidR="00DB1C6F" w:rsidRDefault="00DB1C6F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5C7D5B5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8A45384" w14:textId="511EFBDD" w:rsidR="000345B4" w:rsidRDefault="000345B4" w:rsidP="000345B4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20bis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April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7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11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="00E35C0C">
        <w:rPr>
          <w:rFonts w:ascii="Arial" w:eastAsia="MS Mincho" w:hAnsi="Arial" w:cs="Arial" w:hint="eastAsia"/>
          <w:bCs/>
          <w:lang w:eastAsia="ja-JP"/>
        </w:rPr>
        <w:t>TBD</w:t>
      </w:r>
      <w:r>
        <w:rPr>
          <w:rFonts w:ascii="Arial" w:eastAsia="MS Mincho" w:hAnsi="Arial" w:cs="Arial" w:hint="eastAsia"/>
          <w:bCs/>
          <w:lang w:eastAsia="ja-JP"/>
        </w:rPr>
        <w:t>, China</w:t>
      </w:r>
    </w:p>
    <w:p w14:paraId="556F586A" w14:textId="754F9B2C" w:rsidR="00E35C0C" w:rsidRDefault="00E35C0C" w:rsidP="00E35C0C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21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May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9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3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 w:rsidRPr="00E35C0C">
        <w:rPr>
          <w:rFonts w:ascii="Arial" w:eastAsia="MS Mincho" w:hAnsi="Arial" w:cs="Arial"/>
          <w:bCs/>
        </w:rPr>
        <w:t>St Julian, Malta</w:t>
      </w:r>
    </w:p>
    <w:p w14:paraId="1296851C" w14:textId="77777777" w:rsidR="00943D26" w:rsidRPr="00E35C0C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E35C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66F95" w14:textId="77777777" w:rsidR="00672ADA" w:rsidRDefault="00672ADA">
      <w:r>
        <w:separator/>
      </w:r>
    </w:p>
  </w:endnote>
  <w:endnote w:type="continuationSeparator" w:id="0">
    <w:p w14:paraId="0CF9CEB5" w14:textId="77777777" w:rsidR="00672ADA" w:rsidRDefault="0067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6A79D" w14:textId="77777777" w:rsidR="00672ADA" w:rsidRDefault="00672ADA">
      <w:r>
        <w:separator/>
      </w:r>
    </w:p>
  </w:footnote>
  <w:footnote w:type="continuationSeparator" w:id="0">
    <w:p w14:paraId="2AB279CA" w14:textId="77777777" w:rsidR="00672ADA" w:rsidRDefault="0067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077F6"/>
    <w:multiLevelType w:val="hybridMultilevel"/>
    <w:tmpl w:val="D8B8A0A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F5418"/>
    <w:multiLevelType w:val="multilevel"/>
    <w:tmpl w:val="516F5418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3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1"/>
  </w:num>
  <w:num w:numId="2" w16cid:durableId="283849613">
    <w:abstractNumId w:val="7"/>
  </w:num>
  <w:num w:numId="3" w16cid:durableId="1067722107">
    <w:abstractNumId w:val="5"/>
  </w:num>
  <w:num w:numId="4" w16cid:durableId="1931503730">
    <w:abstractNumId w:val="2"/>
  </w:num>
  <w:num w:numId="5" w16cid:durableId="1086997101">
    <w:abstractNumId w:val="3"/>
  </w:num>
  <w:num w:numId="6" w16cid:durableId="1160393160">
    <w:abstractNumId w:val="4"/>
  </w:num>
  <w:num w:numId="7" w16cid:durableId="687103955">
    <w:abstractNumId w:val="8"/>
  </w:num>
  <w:num w:numId="8" w16cid:durableId="1920553953">
    <w:abstractNumId w:val="14"/>
  </w:num>
  <w:num w:numId="9" w16cid:durableId="1642031821">
    <w:abstractNumId w:val="12"/>
  </w:num>
  <w:num w:numId="10" w16cid:durableId="71120909">
    <w:abstractNumId w:val="10"/>
  </w:num>
  <w:num w:numId="11" w16cid:durableId="744841997">
    <w:abstractNumId w:val="6"/>
  </w:num>
  <w:num w:numId="12" w16cid:durableId="1330870979">
    <w:abstractNumId w:val="0"/>
  </w:num>
  <w:num w:numId="13" w16cid:durableId="1276255120">
    <w:abstractNumId w:val="13"/>
  </w:num>
  <w:num w:numId="14" w16cid:durableId="168525097">
    <w:abstractNumId w:val="9"/>
  </w:num>
  <w:num w:numId="15" w16cid:durableId="753556318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5E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21A6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694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1DFB"/>
    <w:rsid w:val="00532055"/>
    <w:rsid w:val="00533F8A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0B22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916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528"/>
    <w:rsid w:val="00671A27"/>
    <w:rsid w:val="00672ADA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39B9"/>
    <w:rsid w:val="0080526F"/>
    <w:rsid w:val="0080559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01BF"/>
    <w:rsid w:val="008A4F91"/>
    <w:rsid w:val="008A56DC"/>
    <w:rsid w:val="008A671E"/>
    <w:rsid w:val="008A7193"/>
    <w:rsid w:val="008A7392"/>
    <w:rsid w:val="008B23F6"/>
    <w:rsid w:val="008B4C7B"/>
    <w:rsid w:val="008B50B6"/>
    <w:rsid w:val="008B72B4"/>
    <w:rsid w:val="008B7D82"/>
    <w:rsid w:val="008C39D9"/>
    <w:rsid w:val="008C3C55"/>
    <w:rsid w:val="008C75FB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55FC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3FEB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1C6F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35C0C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0FC8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1FD3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2025-02-21T11:26:00Z</dcterms:created>
  <dcterms:modified xsi:type="dcterms:W3CDTF">2025-03-24T14:29:00Z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