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780703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B72621" w:rsidRPr="00B72621">
        <w:rPr>
          <w:rFonts w:ascii="Arial" w:hAnsi="Arial" w:cs="Arial"/>
          <w:b/>
          <w:sz w:val="24"/>
          <w:lang w:val="en-US" w:eastAsia="zh-CN"/>
        </w:rPr>
        <w:t>R4-2503906</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7EE4646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E40C1" w:rsidRPr="000E40C1">
        <w:rPr>
          <w:rFonts w:ascii="Arial" w:eastAsia="宋体" w:hAnsi="Arial"/>
          <w:b/>
          <w:sz w:val="24"/>
          <w:lang w:val="en-US" w:eastAsia="zh-CN"/>
        </w:rPr>
        <w:t>Discussion on RRM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7F30785"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72621">
        <w:rPr>
          <w:rFonts w:ascii="Arial" w:eastAsia="宋体" w:hAnsi="Arial"/>
          <w:b/>
          <w:sz w:val="24"/>
          <w:lang w:val="en-US" w:eastAsia="zh-CN"/>
        </w:rPr>
        <w:t>7.11.6</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F6329E4" w14:textId="484DC8C7" w:rsidR="00D140E2" w:rsidRDefault="000B1DE8" w:rsidP="00E441E4">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000E40C1">
        <w:rPr>
          <w:rFonts w:eastAsia="宋体"/>
          <w:lang w:eastAsia="zh-CN"/>
        </w:rPr>
        <w:t>NTN in Ku</w:t>
      </w:r>
      <w:r w:rsidRPr="00C42202">
        <w:rPr>
          <w:rFonts w:eastAsia="宋体"/>
          <w:lang w:eastAsia="zh-CN"/>
        </w:rPr>
        <w:t xml:space="preserve"> </w:t>
      </w:r>
      <w:r w:rsidR="000E40C1">
        <w:rPr>
          <w:rFonts w:eastAsia="宋体"/>
          <w:lang w:eastAsia="zh-CN"/>
        </w:rPr>
        <w:t xml:space="preserve">band are discussed </w:t>
      </w:r>
      <w:r w:rsidRPr="00C42202">
        <w:rPr>
          <w:rFonts w:eastAsia="宋体"/>
          <w:lang w:eastAsia="zh-CN"/>
        </w:rPr>
        <w:t>in RAN4#11</w:t>
      </w:r>
      <w:r>
        <w:rPr>
          <w:rFonts w:eastAsia="宋体"/>
          <w:lang w:eastAsia="zh-CN"/>
        </w:rPr>
        <w:t>4</w:t>
      </w:r>
      <w:r w:rsidRPr="00C42202">
        <w:rPr>
          <w:rFonts w:eastAsia="宋体"/>
          <w:lang w:eastAsia="zh-CN"/>
        </w:rPr>
        <w:t xml:space="preserve">, and </w:t>
      </w:r>
      <w:r w:rsidR="000E40C1">
        <w:rPr>
          <w:rFonts w:eastAsia="宋体"/>
          <w:lang w:eastAsia="zh-CN"/>
        </w:rPr>
        <w:t>the outcomes are captured</w:t>
      </w:r>
      <w:r w:rsidR="00E441E4">
        <w:rPr>
          <w:rFonts w:eastAsia="宋体"/>
          <w:lang w:eastAsia="zh-CN"/>
        </w:rPr>
        <w:t xml:space="preserve"> in </w:t>
      </w:r>
      <w:r w:rsidRPr="00C42202">
        <w:rPr>
          <w:rFonts w:eastAsia="宋体"/>
          <w:lang w:eastAsia="zh-CN"/>
        </w:rPr>
        <w:t xml:space="preserve">[1]. </w:t>
      </w:r>
      <w:r w:rsidR="000E40C1">
        <w:rPr>
          <w:rFonts w:eastAsia="宋体"/>
          <w:lang w:eastAsia="zh-CN"/>
        </w:rPr>
        <w:t>Based on [1] the following issues need to be further discussed.</w:t>
      </w:r>
    </w:p>
    <w:p w14:paraId="66694EDF" w14:textId="77777777" w:rsidR="008223E0" w:rsidRDefault="008223E0" w:rsidP="008223E0">
      <w:pPr>
        <w:pStyle w:val="afe"/>
        <w:numPr>
          <w:ilvl w:val="0"/>
          <w:numId w:val="4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Scope of the RRM work</w:t>
      </w:r>
    </w:p>
    <w:p w14:paraId="7103B154" w14:textId="77777777" w:rsidR="008223E0" w:rsidRPr="008223E0" w:rsidRDefault="008223E0" w:rsidP="008223E0">
      <w:pPr>
        <w:pStyle w:val="afe"/>
        <w:numPr>
          <w:ilvl w:val="0"/>
          <w:numId w:val="45"/>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RM requirements</w:t>
      </w:r>
    </w:p>
    <w:p w14:paraId="02239617" w14:textId="135B4E6F" w:rsidR="000B1DE8" w:rsidRPr="00A97C77" w:rsidRDefault="000B1DE8" w:rsidP="000B1DE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00E441E4" w:rsidRPr="00E441E4">
        <w:rPr>
          <w:rFonts w:eastAsia="宋体"/>
          <w:lang w:eastAsia="zh-CN"/>
        </w:rPr>
        <w:t xml:space="preserve"> </w:t>
      </w:r>
      <w:r w:rsidR="008223E0" w:rsidRPr="00924CFB">
        <w:rPr>
          <w:rFonts w:eastAsia="宋体"/>
          <w:lang w:eastAsia="zh-CN"/>
        </w:rPr>
        <w:t>RRM requirements for NTN in Ku band</w:t>
      </w:r>
      <w:r w:rsidRPr="00C42202">
        <w:rPr>
          <w:rFonts w:eastAsia="宋体"/>
          <w:lang w:eastAsia="zh-CN"/>
        </w:rPr>
        <w:t>.</w:t>
      </w:r>
    </w:p>
    <w:p w14:paraId="0D6E96EF" w14:textId="335B32A2" w:rsidR="004729BE" w:rsidRDefault="004729BE" w:rsidP="004729BE">
      <w:pPr>
        <w:pStyle w:val="1"/>
        <w:jc w:val="both"/>
        <w:rPr>
          <w:lang w:val="en-US"/>
        </w:rPr>
      </w:pPr>
      <w:r>
        <w:rPr>
          <w:lang w:val="en-US"/>
        </w:rPr>
        <w:t>Discussion</w:t>
      </w:r>
    </w:p>
    <w:p w14:paraId="0CB5070F" w14:textId="382A1D49" w:rsidR="008223E0" w:rsidRDefault="008223E0" w:rsidP="008223E0">
      <w:pPr>
        <w:pStyle w:val="2"/>
        <w:rPr>
          <w:lang w:eastAsia="zh-CN"/>
        </w:rPr>
      </w:pPr>
      <w:r>
        <w:rPr>
          <w:lang w:eastAsia="zh-CN"/>
        </w:rPr>
        <w:t>Scope of the RRM work</w:t>
      </w:r>
    </w:p>
    <w:p w14:paraId="42B25711" w14:textId="53F0D51E" w:rsidR="008223E0" w:rsidRDefault="008223E0" w:rsidP="008223E0">
      <w:pPr>
        <w:spacing w:before="120" w:after="120"/>
        <w:rPr>
          <w:rFonts w:eastAsiaTheme="minorEastAsia"/>
          <w:lang w:eastAsia="zh-CN"/>
        </w:rPr>
      </w:pPr>
      <w:r>
        <w:rPr>
          <w:rFonts w:eastAsiaTheme="minorEastAsia"/>
          <w:lang w:eastAsia="zh-CN"/>
        </w:rPr>
        <w:t>In [1] the following is agreed related to the scope of the RRM work.</w:t>
      </w:r>
    </w:p>
    <w:tbl>
      <w:tblPr>
        <w:tblStyle w:val="afa"/>
        <w:tblW w:w="0" w:type="auto"/>
        <w:tblLook w:val="04A0" w:firstRow="1" w:lastRow="0" w:firstColumn="1" w:lastColumn="0" w:noHBand="0" w:noVBand="1"/>
      </w:tblPr>
      <w:tblGrid>
        <w:gridCol w:w="9621"/>
      </w:tblGrid>
      <w:tr w:rsidR="008223E0" w14:paraId="0D8D8336" w14:textId="77777777" w:rsidTr="008223E0">
        <w:tc>
          <w:tcPr>
            <w:tcW w:w="9621" w:type="dxa"/>
          </w:tcPr>
          <w:p w14:paraId="5F2053FD" w14:textId="77777777" w:rsidR="008223E0" w:rsidRPr="008223E0" w:rsidRDefault="008223E0" w:rsidP="008223E0">
            <w:pPr>
              <w:snapToGrid w:val="0"/>
              <w:spacing w:beforeLines="0" w:before="0" w:afterLines="0" w:after="120"/>
              <w:rPr>
                <w:rFonts w:eastAsia="宋体"/>
                <w:b/>
                <w:color w:val="000000"/>
                <w:sz w:val="20"/>
                <w:szCs w:val="21"/>
                <w:u w:val="single"/>
              </w:rPr>
            </w:pPr>
            <w:r w:rsidRPr="008223E0">
              <w:rPr>
                <w:rFonts w:eastAsia="宋体"/>
                <w:b/>
                <w:color w:val="000000"/>
                <w:sz w:val="20"/>
                <w:szCs w:val="21"/>
                <w:u w:val="single"/>
              </w:rPr>
              <w:t>Issue 1-1: RRM scope for NR NTN on Ku bands</w:t>
            </w:r>
          </w:p>
          <w:p w14:paraId="7642EE1E" w14:textId="77777777" w:rsidR="008223E0" w:rsidRPr="008223E0" w:rsidRDefault="008223E0" w:rsidP="008223E0">
            <w:pPr>
              <w:snapToGrid w:val="0"/>
              <w:spacing w:beforeLines="0" w:before="0" w:afterLines="0" w:after="120"/>
              <w:rPr>
                <w:rFonts w:eastAsia="宋体"/>
                <w:color w:val="000000"/>
                <w:sz w:val="20"/>
                <w:szCs w:val="21"/>
              </w:rPr>
            </w:pPr>
            <w:r w:rsidRPr="008223E0">
              <w:rPr>
                <w:rFonts w:eastAsia="宋体" w:hint="eastAsia"/>
                <w:color w:val="000000"/>
                <w:sz w:val="20"/>
                <w:szCs w:val="21"/>
                <w:highlight w:val="green"/>
              </w:rPr>
              <w:t>Agre</w:t>
            </w:r>
            <w:r w:rsidRPr="008223E0">
              <w:rPr>
                <w:rFonts w:eastAsia="宋体"/>
                <w:color w:val="000000"/>
                <w:sz w:val="20"/>
                <w:szCs w:val="21"/>
                <w:highlight w:val="green"/>
              </w:rPr>
              <w:t>ement:</w:t>
            </w:r>
          </w:p>
          <w:p w14:paraId="00B5F39B" w14:textId="77777777" w:rsidR="008223E0" w:rsidRPr="008223E0" w:rsidRDefault="008223E0" w:rsidP="008223E0">
            <w:pPr>
              <w:numPr>
                <w:ilvl w:val="0"/>
                <w:numId w:val="46"/>
              </w:numPr>
              <w:overflowPunct w:val="0"/>
              <w:autoSpaceDE w:val="0"/>
              <w:autoSpaceDN w:val="0"/>
              <w:adjustRightInd w:val="0"/>
              <w:snapToGrid w:val="0"/>
              <w:spacing w:beforeLines="0" w:before="0" w:afterLines="0" w:after="120"/>
              <w:textAlignment w:val="baseline"/>
              <w:rPr>
                <w:rFonts w:eastAsia="宋体"/>
                <w:sz w:val="20"/>
                <w:szCs w:val="21"/>
              </w:rPr>
            </w:pPr>
            <w:r w:rsidRPr="008223E0">
              <w:rPr>
                <w:rFonts w:eastAsia="宋体"/>
                <w:color w:val="000000"/>
                <w:sz w:val="20"/>
                <w:szCs w:val="21"/>
              </w:rPr>
              <w:t>For</w:t>
            </w:r>
            <w:r w:rsidRPr="008223E0">
              <w:rPr>
                <w:rFonts w:eastAsia="宋体"/>
                <w:sz w:val="20"/>
                <w:szCs w:val="21"/>
              </w:rPr>
              <w:t xml:space="preserve"> SCS, consider SCS=30kHz in FR1-NTN numerology and 120kHz in FR2-NTN numerology, </w:t>
            </w:r>
            <w:r w:rsidRPr="008223E0">
              <w:rPr>
                <w:rFonts w:eastAsia="宋体"/>
                <w:sz w:val="20"/>
                <w:szCs w:val="21"/>
                <w:u w:val="single"/>
              </w:rPr>
              <w:t>f</w:t>
            </w:r>
            <w:r w:rsidRPr="008223E0">
              <w:rPr>
                <w:rFonts w:eastAsia="宋体"/>
                <w:sz w:val="20"/>
                <w:szCs w:val="21"/>
              </w:rPr>
              <w:t xml:space="preserve">ollowing the discussion in </w:t>
            </w:r>
            <w:proofErr w:type="spellStart"/>
            <w:r w:rsidRPr="008223E0">
              <w:rPr>
                <w:rFonts w:eastAsia="宋体"/>
                <w:sz w:val="20"/>
                <w:szCs w:val="21"/>
              </w:rPr>
              <w:t>BDaT</w:t>
            </w:r>
            <w:proofErr w:type="spellEnd"/>
            <w:r w:rsidRPr="008223E0">
              <w:rPr>
                <w:rFonts w:eastAsia="宋体"/>
                <w:sz w:val="20"/>
                <w:szCs w:val="21"/>
              </w:rPr>
              <w:t xml:space="preserve"> session.</w:t>
            </w:r>
          </w:p>
          <w:p w14:paraId="5F4F3AC7" w14:textId="77777777" w:rsidR="008223E0" w:rsidRPr="008223E0" w:rsidRDefault="008223E0" w:rsidP="008223E0">
            <w:pPr>
              <w:numPr>
                <w:ilvl w:val="0"/>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8223E0">
              <w:rPr>
                <w:rFonts w:eastAsia="宋体"/>
                <w:color w:val="000000"/>
                <w:sz w:val="20"/>
                <w:szCs w:val="21"/>
              </w:rPr>
              <w:t>Mobile VSAT UE shall be considered from RAN4 RRM requirement perspective. There are four cases shall be considered for mobile VSAT UE:</w:t>
            </w:r>
          </w:p>
          <w:p w14:paraId="7D8ECA58" w14:textId="77777777" w:rsidR="008223E0" w:rsidRPr="008223E0" w:rsidRDefault="008223E0" w:rsidP="008223E0">
            <w:pPr>
              <w:numPr>
                <w:ilvl w:val="1"/>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8223E0">
              <w:rPr>
                <w:rFonts w:eastAsia="宋体"/>
                <w:color w:val="000000"/>
                <w:sz w:val="20"/>
                <w:szCs w:val="21"/>
              </w:rPr>
              <w:t xml:space="preserve">Case 1: mobile VSAT UE served by GSO in FR1-NTN </w:t>
            </w:r>
            <w:r w:rsidRPr="008223E0">
              <w:rPr>
                <w:rFonts w:eastAsia="宋体"/>
                <w:sz w:val="20"/>
                <w:szCs w:val="21"/>
              </w:rPr>
              <w:t>numerology</w:t>
            </w:r>
          </w:p>
          <w:p w14:paraId="69F58668" w14:textId="77777777" w:rsidR="008223E0" w:rsidRPr="008223E0" w:rsidRDefault="008223E0" w:rsidP="008223E0">
            <w:pPr>
              <w:numPr>
                <w:ilvl w:val="1"/>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8223E0">
              <w:rPr>
                <w:rFonts w:eastAsia="宋体"/>
                <w:color w:val="000000"/>
                <w:sz w:val="20"/>
                <w:szCs w:val="21"/>
              </w:rPr>
              <w:t xml:space="preserve">Case 2: mobile VSAT UE served by NGSO in FR1-NTN </w:t>
            </w:r>
            <w:r w:rsidRPr="008223E0">
              <w:rPr>
                <w:rFonts w:eastAsia="宋体"/>
                <w:sz w:val="20"/>
                <w:szCs w:val="21"/>
              </w:rPr>
              <w:t>numerology</w:t>
            </w:r>
          </w:p>
          <w:p w14:paraId="0B32281D" w14:textId="77777777" w:rsidR="008223E0" w:rsidRPr="008223E0" w:rsidRDefault="008223E0" w:rsidP="008223E0">
            <w:pPr>
              <w:numPr>
                <w:ilvl w:val="1"/>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8223E0">
              <w:rPr>
                <w:rFonts w:eastAsia="宋体"/>
                <w:color w:val="000000"/>
                <w:sz w:val="20"/>
                <w:szCs w:val="21"/>
              </w:rPr>
              <w:t xml:space="preserve">Case 3: mobile VSAT UE served by GSO in FR2-NTN </w:t>
            </w:r>
            <w:r w:rsidRPr="008223E0">
              <w:rPr>
                <w:rFonts w:eastAsia="宋体"/>
                <w:sz w:val="20"/>
                <w:szCs w:val="21"/>
              </w:rPr>
              <w:t>numerology</w:t>
            </w:r>
          </w:p>
          <w:p w14:paraId="3940FF43" w14:textId="0F48FD6E" w:rsidR="008223E0" w:rsidRPr="008223E0" w:rsidRDefault="008223E0" w:rsidP="008223E0">
            <w:pPr>
              <w:numPr>
                <w:ilvl w:val="1"/>
                <w:numId w:val="46"/>
              </w:numPr>
              <w:overflowPunct w:val="0"/>
              <w:autoSpaceDE w:val="0"/>
              <w:autoSpaceDN w:val="0"/>
              <w:adjustRightInd w:val="0"/>
              <w:snapToGrid w:val="0"/>
              <w:spacing w:beforeLines="0" w:before="0" w:afterLines="0" w:after="120"/>
              <w:textAlignment w:val="baseline"/>
              <w:rPr>
                <w:rFonts w:eastAsia="宋体"/>
                <w:color w:val="000000"/>
                <w:sz w:val="20"/>
                <w:lang w:val="en-US"/>
              </w:rPr>
            </w:pPr>
            <w:r w:rsidRPr="008223E0">
              <w:rPr>
                <w:rFonts w:eastAsia="宋体"/>
                <w:color w:val="000000"/>
                <w:sz w:val="20"/>
                <w:szCs w:val="21"/>
              </w:rPr>
              <w:t>Case 4: mobile VSAT UE served by NGSO in FR2-NTN numerology</w:t>
            </w:r>
          </w:p>
        </w:tc>
      </w:tr>
    </w:tbl>
    <w:p w14:paraId="592CB1CB" w14:textId="747F98DF" w:rsidR="008223E0" w:rsidRDefault="008223E0" w:rsidP="008223E0">
      <w:pPr>
        <w:spacing w:before="120" w:after="120"/>
        <w:rPr>
          <w:rFonts w:eastAsiaTheme="minorEastAsia"/>
          <w:lang w:eastAsia="zh-CN"/>
        </w:rPr>
      </w:pPr>
      <w:r>
        <w:rPr>
          <w:rFonts w:eastAsiaTheme="minorEastAsia"/>
          <w:lang w:eastAsia="zh-CN"/>
        </w:rPr>
        <w:t xml:space="preserve">One issue discussed in RAN4#114 without conclusion is whether fixed VSAT is in the scope of RRM work for Ku band. Some companies mentioned that fixed VSAT is a special case or subset of mobile VSAT, so it is naturally in the scope. However, </w:t>
      </w:r>
      <w:r w:rsidR="006A4C8D">
        <w:rPr>
          <w:rFonts w:eastAsiaTheme="minorEastAsia"/>
          <w:lang w:eastAsia="zh-CN"/>
        </w:rPr>
        <w:t>based on R18 feature list, a VSAT is either fixed or mobile but cannot be both, so it is not reasonable to consider fixed VSAT is a special case or subset of mobile VSAT.</w:t>
      </w:r>
    </w:p>
    <w:tbl>
      <w:tblPr>
        <w:tblStyle w:val="afa"/>
        <w:tblW w:w="0" w:type="auto"/>
        <w:tblLook w:val="04A0" w:firstRow="1" w:lastRow="0" w:firstColumn="1" w:lastColumn="0" w:noHBand="0" w:noVBand="1"/>
      </w:tblPr>
      <w:tblGrid>
        <w:gridCol w:w="9621"/>
      </w:tblGrid>
      <w:tr w:rsidR="006A4C8D" w14:paraId="6BC45695" w14:textId="77777777" w:rsidTr="006A4C8D">
        <w:tc>
          <w:tcPr>
            <w:tcW w:w="9621" w:type="dxa"/>
          </w:tcPr>
          <w:p w14:paraId="5A464635" w14:textId="77777777" w:rsidR="006A4C8D" w:rsidRPr="006A4C8D" w:rsidRDefault="006A4C8D" w:rsidP="006A4C8D">
            <w:pPr>
              <w:keepNext/>
              <w:keepLines/>
              <w:overflowPunct w:val="0"/>
              <w:autoSpaceDE w:val="0"/>
              <w:autoSpaceDN w:val="0"/>
              <w:adjustRightInd w:val="0"/>
              <w:spacing w:beforeLines="0" w:before="0" w:afterLines="0" w:after="0"/>
              <w:textAlignment w:val="baseline"/>
              <w:rPr>
                <w:rFonts w:ascii="Arial" w:eastAsia="Times New Roman" w:hAnsi="Arial"/>
                <w:b/>
                <w:i/>
                <w:sz w:val="18"/>
                <w:lang w:eastAsia="ja-JP"/>
              </w:rPr>
            </w:pPr>
            <w:r w:rsidRPr="006A4C8D">
              <w:rPr>
                <w:rFonts w:ascii="Arial" w:eastAsia="Times New Roman" w:hAnsi="Arial"/>
                <w:b/>
                <w:i/>
                <w:sz w:val="18"/>
                <w:lang w:eastAsia="ja-JP"/>
              </w:rPr>
              <w:t>ntn-VSAT-MobilityType-r18</w:t>
            </w:r>
          </w:p>
          <w:p w14:paraId="1543F96C" w14:textId="55004D9F" w:rsidR="006A4C8D" w:rsidRDefault="006A4C8D" w:rsidP="006A4C8D">
            <w:pPr>
              <w:spacing w:before="120" w:after="120"/>
              <w:rPr>
                <w:rFonts w:eastAsiaTheme="minorEastAsia"/>
                <w:lang w:eastAsia="zh-CN"/>
              </w:rPr>
            </w:pPr>
            <w:r w:rsidRPr="006A4C8D">
              <w:rPr>
                <w:rFonts w:eastAsia="Times New Roman"/>
                <w:kern w:val="2"/>
                <w:sz w:val="20"/>
                <w:szCs w:val="18"/>
                <w:lang w:eastAsia="zh-CN"/>
              </w:rPr>
              <w:t xml:space="preserve">Indicates </w:t>
            </w:r>
            <w:r w:rsidRPr="006A4C8D">
              <w:rPr>
                <w:rFonts w:eastAsia="宋体" w:cs="Arial"/>
                <w:kern w:val="2"/>
                <w:sz w:val="20"/>
                <w:szCs w:val="18"/>
                <w:lang w:eastAsia="zh-CN"/>
              </w:rPr>
              <w:t>whether</w:t>
            </w:r>
            <w:r w:rsidRPr="006A4C8D">
              <w:rPr>
                <w:rFonts w:eastAsia="Times New Roman"/>
                <w:kern w:val="2"/>
                <w:sz w:val="20"/>
                <w:szCs w:val="18"/>
                <w:lang w:eastAsia="zh-CN"/>
              </w:rPr>
              <w:t xml:space="preserve"> </w:t>
            </w:r>
            <w:r w:rsidRPr="006A4C8D">
              <w:rPr>
                <w:rFonts w:eastAsia="宋体" w:cs="Arial"/>
                <w:kern w:val="2"/>
                <w:sz w:val="20"/>
                <w:szCs w:val="18"/>
                <w:lang w:eastAsia="zh-CN"/>
              </w:rPr>
              <w:t>a VSAT</w:t>
            </w:r>
            <w:r w:rsidRPr="006A4C8D">
              <w:rPr>
                <w:rFonts w:eastAsia="Times New Roman"/>
                <w:kern w:val="2"/>
                <w:sz w:val="20"/>
                <w:szCs w:val="18"/>
                <w:lang w:eastAsia="zh-CN"/>
              </w:rPr>
              <w:t xml:space="preserve"> UE</w:t>
            </w:r>
            <w:r w:rsidRPr="006A4C8D">
              <w:rPr>
                <w:rFonts w:eastAsia="宋体" w:cs="Arial"/>
                <w:kern w:val="2"/>
                <w:sz w:val="20"/>
                <w:szCs w:val="18"/>
                <w:lang w:eastAsia="zh-CN"/>
              </w:rPr>
              <w:t xml:space="preserve"> is a mobile or fixed VSAT. A UE supporting this feature shall also indicate the support of </w:t>
            </w:r>
            <w:r w:rsidRPr="006A4C8D">
              <w:rPr>
                <w:rFonts w:eastAsia="宋体" w:cs="Arial"/>
                <w:i/>
                <w:iCs/>
                <w:kern w:val="2"/>
                <w:sz w:val="20"/>
                <w:szCs w:val="18"/>
                <w:lang w:eastAsia="zh-CN"/>
              </w:rPr>
              <w:t>nonTerrestrialNetwork-r17</w:t>
            </w:r>
            <w:r w:rsidRPr="006A4C8D">
              <w:rPr>
                <w:rFonts w:eastAsia="宋体" w:cs="Arial"/>
                <w:kern w:val="2"/>
                <w:sz w:val="20"/>
                <w:szCs w:val="18"/>
                <w:lang w:eastAsia="zh-CN"/>
              </w:rPr>
              <w:t>.</w:t>
            </w:r>
          </w:p>
        </w:tc>
      </w:tr>
    </w:tbl>
    <w:p w14:paraId="37B05AB8" w14:textId="49CEE55B" w:rsidR="006A4C8D" w:rsidRDefault="006A4C8D" w:rsidP="008223E0">
      <w:pPr>
        <w:spacing w:before="120" w:after="120"/>
        <w:rPr>
          <w:rFonts w:eastAsiaTheme="minorEastAsia"/>
          <w:lang w:eastAsia="zh-CN"/>
        </w:rPr>
      </w:pPr>
      <w:r>
        <w:rPr>
          <w:rFonts w:eastAsiaTheme="minorEastAsia"/>
          <w:lang w:eastAsia="zh-CN"/>
        </w:rPr>
        <w:t>We suggest RAN4 to clarify whether fixed VSAT is in the scope of RRM work for Ku band. This will impact at least the UL timing requirements which are currently specified separately for fixed and mobile VSAT, so it is a question whether requirements for fixed VSAT is applicable in Ku band or not.</w:t>
      </w:r>
    </w:p>
    <w:p w14:paraId="2141B7A5" w14:textId="69BAD037" w:rsidR="006A4C8D" w:rsidRPr="006A4C8D" w:rsidRDefault="006A4C8D" w:rsidP="008223E0">
      <w:pPr>
        <w:spacing w:before="120" w:after="120"/>
        <w:rPr>
          <w:rFonts w:eastAsiaTheme="minorEastAsia"/>
          <w:b/>
          <w:lang w:eastAsia="zh-CN"/>
        </w:rPr>
      </w:pPr>
      <w:r w:rsidRPr="006A4C8D">
        <w:rPr>
          <w:rFonts w:eastAsiaTheme="minorEastAsia" w:hint="eastAsia"/>
          <w:b/>
          <w:lang w:eastAsia="zh-CN"/>
        </w:rPr>
        <w:t>P</w:t>
      </w:r>
      <w:r w:rsidRPr="006A4C8D">
        <w:rPr>
          <w:rFonts w:eastAsiaTheme="minorEastAsia"/>
          <w:b/>
          <w:lang w:eastAsia="zh-CN"/>
        </w:rPr>
        <w:t>roposal 1: RAN4 to clarify whether fixed VSAT is in the scope of RRM work for Ku band.</w:t>
      </w:r>
    </w:p>
    <w:p w14:paraId="2BA5D5A2" w14:textId="0D7FB659" w:rsidR="008223E0" w:rsidRDefault="006A4C8D" w:rsidP="008223E0">
      <w:pPr>
        <w:spacing w:before="120" w:after="120"/>
        <w:rPr>
          <w:rFonts w:eastAsiaTheme="minorEastAsia"/>
          <w:lang w:eastAsia="zh-CN"/>
        </w:rPr>
      </w:pPr>
      <w:r>
        <w:rPr>
          <w:rFonts w:eastAsiaTheme="minorEastAsia"/>
          <w:lang w:eastAsia="zh-CN"/>
        </w:rPr>
        <w:t>Another issue is the support of 15kHz SCS. In the revised WID [2] from RAN#107, we have the following updates related to 15kHz SCS.</w:t>
      </w:r>
    </w:p>
    <w:tbl>
      <w:tblPr>
        <w:tblStyle w:val="afa"/>
        <w:tblW w:w="0" w:type="auto"/>
        <w:tblLook w:val="04A0" w:firstRow="1" w:lastRow="0" w:firstColumn="1" w:lastColumn="0" w:noHBand="0" w:noVBand="1"/>
      </w:tblPr>
      <w:tblGrid>
        <w:gridCol w:w="9621"/>
      </w:tblGrid>
      <w:tr w:rsidR="006A4C8D" w14:paraId="6F879308" w14:textId="77777777" w:rsidTr="006A4C8D">
        <w:tc>
          <w:tcPr>
            <w:tcW w:w="9621" w:type="dxa"/>
          </w:tcPr>
          <w:p w14:paraId="73A2E95F" w14:textId="77777777" w:rsidR="006A4C8D" w:rsidRPr="006A4C8D" w:rsidRDefault="006A4C8D" w:rsidP="006A4C8D">
            <w:pPr>
              <w:numPr>
                <w:ilvl w:val="0"/>
                <w:numId w:val="47"/>
              </w:numPr>
              <w:overflowPunct w:val="0"/>
              <w:autoSpaceDE w:val="0"/>
              <w:autoSpaceDN w:val="0"/>
              <w:adjustRightInd w:val="0"/>
              <w:spacing w:beforeLines="0" w:before="0" w:afterLines="0" w:after="160" w:line="259" w:lineRule="auto"/>
              <w:contextualSpacing/>
              <w:jc w:val="both"/>
              <w:textAlignment w:val="baseline"/>
              <w:rPr>
                <w:rFonts w:eastAsia="PMingLiU"/>
                <w:sz w:val="20"/>
                <w:lang w:val="en-US" w:eastAsia="en-GB"/>
              </w:rPr>
            </w:pPr>
            <w:r w:rsidRPr="006A4C8D">
              <w:rPr>
                <w:rFonts w:eastAsia="PMingLiU"/>
                <w:sz w:val="20"/>
                <w:lang w:val="en-US" w:eastAsia="en-GB"/>
              </w:rPr>
              <w:lastRenderedPageBreak/>
              <w:t>Priority 1: for all ITU regions, define Ku band #1a and #1b for the downlink block and uplink block B. D</w:t>
            </w:r>
            <w:r w:rsidRPr="006A4C8D">
              <w:rPr>
                <w:rFonts w:eastAsia="PMingLiU" w:hint="eastAsia"/>
                <w:sz w:val="20"/>
                <w:lang w:val="en-US" w:eastAsia="zh-TW"/>
              </w:rPr>
              <w:t>efine two sets of bands, one for FR1 numerology and the other for FR2 numerology, including the support of the following:</w:t>
            </w:r>
          </w:p>
          <w:p w14:paraId="4BDFCC49" w14:textId="77777777" w:rsidR="006A4C8D" w:rsidRPr="006A4C8D" w:rsidRDefault="006A4C8D" w:rsidP="006A4C8D">
            <w:pPr>
              <w:numPr>
                <w:ilvl w:val="1"/>
                <w:numId w:val="47"/>
              </w:numPr>
              <w:overflowPunct w:val="0"/>
              <w:autoSpaceDE w:val="0"/>
              <w:autoSpaceDN w:val="0"/>
              <w:adjustRightInd w:val="0"/>
              <w:spacing w:beforeLines="0" w:before="0" w:afterLines="0" w:after="160" w:line="259" w:lineRule="auto"/>
              <w:contextualSpacing/>
              <w:jc w:val="both"/>
              <w:textAlignment w:val="baseline"/>
              <w:rPr>
                <w:rFonts w:eastAsia="PMingLiU"/>
                <w:sz w:val="20"/>
                <w:highlight w:val="yellow"/>
                <w:lang w:val="en-US" w:eastAsia="en-GB"/>
              </w:rPr>
            </w:pPr>
            <w:r w:rsidRPr="006A4C8D">
              <w:rPr>
                <w:rFonts w:eastAsia="PMingLiU"/>
                <w:sz w:val="20"/>
                <w:lang w:val="en-US" w:eastAsia="en-GB"/>
              </w:rPr>
              <w:t>Ku band #1a and #1b as FR1-NTN supporting</w:t>
            </w:r>
            <w:r w:rsidRPr="006A4C8D">
              <w:rPr>
                <w:rFonts w:eastAsia="PMingLiU" w:hint="eastAsia"/>
                <w:sz w:val="20"/>
                <w:lang w:val="en-US" w:eastAsia="zh-TW"/>
              </w:rPr>
              <w:t xml:space="preserve"> </w:t>
            </w:r>
            <w:r w:rsidRPr="006A4C8D">
              <w:rPr>
                <w:rFonts w:eastAsia="PMingLiU"/>
                <w:sz w:val="20"/>
                <w:lang w:val="en-US" w:eastAsia="en-GB"/>
              </w:rPr>
              <w:t>10 MHz</w:t>
            </w:r>
            <w:r w:rsidRPr="006A4C8D">
              <w:rPr>
                <w:rFonts w:eastAsia="PMingLiU" w:hint="eastAsia"/>
                <w:sz w:val="20"/>
                <w:lang w:val="en-US" w:eastAsia="zh-TW"/>
              </w:rPr>
              <w:t>,</w:t>
            </w:r>
            <w:r w:rsidRPr="006A4C8D">
              <w:rPr>
                <w:rFonts w:eastAsia="PMingLiU"/>
                <w:sz w:val="20"/>
                <w:lang w:val="en-US" w:eastAsia="en-GB"/>
              </w:rPr>
              <w:t xml:space="preserve"> 20 MHz, 25 MHz, 35 MHz, 50 MHz, 70 MHz and 100 MHz channel bandwidths with 30 kHz subcarrier spacing, </w:t>
            </w:r>
            <w:r w:rsidRPr="006A4C8D">
              <w:rPr>
                <w:rFonts w:eastAsia="PMingLiU"/>
                <w:sz w:val="20"/>
                <w:highlight w:val="yellow"/>
                <w:lang w:val="en-US" w:eastAsia="en-GB"/>
              </w:rPr>
              <w:t xml:space="preserve">and 10MHz, 15MHz, 25MHz, 35MHz and 50MHz channel bandwidths with 15 kHz subcarrier spacing. </w:t>
            </w:r>
          </w:p>
          <w:p w14:paraId="63ACE036" w14:textId="77777777" w:rsidR="006A4C8D" w:rsidRPr="006A4C8D" w:rsidRDefault="006A4C8D" w:rsidP="006A4C8D">
            <w:pPr>
              <w:numPr>
                <w:ilvl w:val="2"/>
                <w:numId w:val="47"/>
              </w:numPr>
              <w:overflowPunct w:val="0"/>
              <w:autoSpaceDE w:val="0"/>
              <w:autoSpaceDN w:val="0"/>
              <w:adjustRightInd w:val="0"/>
              <w:spacing w:beforeLines="0" w:before="0" w:afterLines="0" w:after="160" w:line="259" w:lineRule="auto"/>
              <w:contextualSpacing/>
              <w:jc w:val="both"/>
              <w:textAlignment w:val="baseline"/>
              <w:rPr>
                <w:rFonts w:eastAsia="PMingLiU"/>
                <w:sz w:val="20"/>
                <w:lang w:val="en-US" w:eastAsia="en-GB"/>
              </w:rPr>
            </w:pPr>
            <w:r w:rsidRPr="006A4C8D">
              <w:rPr>
                <w:rFonts w:eastAsia="PMingLiU"/>
                <w:sz w:val="20"/>
                <w:highlight w:val="yellow"/>
                <w:lang w:val="en-US" w:eastAsia="en-GB"/>
              </w:rPr>
              <w:t>Note: Same subcarrier spacing is assumed for SSB and data channels</w:t>
            </w:r>
          </w:p>
          <w:p w14:paraId="7A2273B2" w14:textId="77777777" w:rsidR="006A4C8D" w:rsidRPr="006A4C8D" w:rsidRDefault="006A4C8D" w:rsidP="006A4C8D">
            <w:pPr>
              <w:numPr>
                <w:ilvl w:val="1"/>
                <w:numId w:val="47"/>
              </w:numPr>
              <w:overflowPunct w:val="0"/>
              <w:autoSpaceDE w:val="0"/>
              <w:autoSpaceDN w:val="0"/>
              <w:adjustRightInd w:val="0"/>
              <w:spacing w:beforeLines="0" w:before="0" w:afterLines="0" w:after="160" w:line="259" w:lineRule="auto"/>
              <w:contextualSpacing/>
              <w:jc w:val="both"/>
              <w:textAlignment w:val="baseline"/>
              <w:rPr>
                <w:rFonts w:eastAsia="PMingLiU"/>
                <w:sz w:val="20"/>
                <w:lang w:val="en-US" w:eastAsia="en-GB"/>
              </w:rPr>
            </w:pPr>
            <w:r w:rsidRPr="006A4C8D">
              <w:rPr>
                <w:rFonts w:eastAsia="PMingLiU"/>
                <w:sz w:val="20"/>
                <w:lang w:val="en-US" w:eastAsia="en-GB"/>
              </w:rPr>
              <w:t>Ku band #1a and #1b as FR2-NTN supporting 50 MHz, 100 MHz, 200 MHz, 400 MHz (120kHz SCS only) channel bandwidths with 120 kHz subcarrier spacing</w:t>
            </w:r>
            <w:r w:rsidRPr="006A4C8D">
              <w:rPr>
                <w:rFonts w:eastAsia="PMingLiU"/>
                <w:sz w:val="20"/>
                <w:lang w:val="en-US" w:eastAsia="zh-TW"/>
              </w:rPr>
              <w:t>.</w:t>
            </w:r>
          </w:p>
          <w:p w14:paraId="61490A11" w14:textId="5CE2FA6F" w:rsidR="006A4C8D" w:rsidRPr="006A4C8D" w:rsidRDefault="006A4C8D" w:rsidP="006A4C8D">
            <w:pPr>
              <w:numPr>
                <w:ilvl w:val="1"/>
                <w:numId w:val="47"/>
              </w:numPr>
              <w:overflowPunct w:val="0"/>
              <w:autoSpaceDE w:val="0"/>
              <w:autoSpaceDN w:val="0"/>
              <w:adjustRightInd w:val="0"/>
              <w:spacing w:beforeLines="0" w:before="0" w:afterLines="0" w:after="160" w:line="259" w:lineRule="auto"/>
              <w:contextualSpacing/>
              <w:jc w:val="both"/>
              <w:textAlignment w:val="baseline"/>
              <w:rPr>
                <w:rFonts w:eastAsia="PMingLiU"/>
                <w:sz w:val="20"/>
                <w:highlight w:val="yellow"/>
                <w:lang w:val="en-US" w:eastAsia="en-GB"/>
              </w:rPr>
            </w:pPr>
            <w:r w:rsidRPr="006A4C8D">
              <w:rPr>
                <w:rFonts w:eastAsia="PMingLiU"/>
                <w:sz w:val="20"/>
                <w:highlight w:val="yellow"/>
                <w:lang w:val="en-US" w:eastAsia="zh-TW"/>
              </w:rPr>
              <w:t>Note: Simultaneous operation of FR1-NTN and FR2-NTN numerology is not supported in the UE</w:t>
            </w:r>
          </w:p>
          <w:p w14:paraId="4A140E29" w14:textId="77777777" w:rsidR="006A4C8D" w:rsidRPr="006A4C8D" w:rsidRDefault="006A4C8D" w:rsidP="006A4C8D">
            <w:pPr>
              <w:overflowPunct w:val="0"/>
              <w:autoSpaceDE w:val="0"/>
              <w:autoSpaceDN w:val="0"/>
              <w:adjustRightInd w:val="0"/>
              <w:spacing w:beforeLines="0" w:before="0" w:afterLines="0" w:after="0"/>
              <w:textAlignment w:val="baseline"/>
              <w:rPr>
                <w:rFonts w:eastAsia="PMingLiU"/>
                <w:iCs/>
                <w:sz w:val="20"/>
                <w:lang w:eastAsia="en-GB"/>
              </w:rPr>
            </w:pPr>
            <w:r w:rsidRPr="006A4C8D">
              <w:rPr>
                <w:rFonts w:eastAsia="PMingLiU"/>
                <w:iCs/>
                <w:sz w:val="20"/>
                <w:lang w:eastAsia="en-GB"/>
              </w:rPr>
              <w:t>The objective of the performance part is to update as appropriate for Ku band:</w:t>
            </w:r>
            <w:bookmarkStart w:id="1" w:name="_Hlk86238162"/>
          </w:p>
          <w:p w14:paraId="7E700884" w14:textId="77777777" w:rsidR="006A4C8D" w:rsidRPr="006A4C8D" w:rsidRDefault="006A4C8D" w:rsidP="006A4C8D">
            <w:pPr>
              <w:numPr>
                <w:ilvl w:val="0"/>
                <w:numId w:val="48"/>
              </w:numPr>
              <w:overflowPunct w:val="0"/>
              <w:autoSpaceDE w:val="0"/>
              <w:autoSpaceDN w:val="0"/>
              <w:adjustRightInd w:val="0"/>
              <w:spacing w:beforeLines="0" w:before="0" w:afterLines="0" w:after="0"/>
              <w:jc w:val="both"/>
              <w:textAlignment w:val="baseline"/>
              <w:rPr>
                <w:rFonts w:eastAsia="Calibri"/>
                <w:sz w:val="20"/>
                <w:lang w:eastAsia="ko-KR"/>
              </w:rPr>
            </w:pPr>
            <w:r w:rsidRPr="006A4C8D">
              <w:rPr>
                <w:rFonts w:eastAsia="Calibri"/>
                <w:sz w:val="20"/>
                <w:lang w:eastAsia="ko-KR"/>
              </w:rPr>
              <w:t>RRM performance requirements and test cases</w:t>
            </w:r>
          </w:p>
          <w:p w14:paraId="2B03B70D" w14:textId="77777777" w:rsidR="006A4C8D" w:rsidRPr="006A4C8D" w:rsidRDefault="006A4C8D" w:rsidP="006A4C8D">
            <w:pPr>
              <w:numPr>
                <w:ilvl w:val="0"/>
                <w:numId w:val="48"/>
              </w:numPr>
              <w:overflowPunct w:val="0"/>
              <w:autoSpaceDE w:val="0"/>
              <w:autoSpaceDN w:val="0"/>
              <w:adjustRightInd w:val="0"/>
              <w:spacing w:beforeLines="0" w:before="0" w:afterLines="0" w:after="0"/>
              <w:jc w:val="both"/>
              <w:textAlignment w:val="baseline"/>
              <w:rPr>
                <w:rFonts w:eastAsia="Calibri"/>
                <w:sz w:val="20"/>
                <w:lang w:eastAsia="ko-KR"/>
              </w:rPr>
            </w:pPr>
            <w:r w:rsidRPr="006A4C8D">
              <w:rPr>
                <w:rFonts w:eastAsia="Calibri"/>
                <w:sz w:val="20"/>
                <w:lang w:eastAsia="ko-KR"/>
              </w:rPr>
              <w:t>UE demodulation and CSI reporting requirements</w:t>
            </w:r>
          </w:p>
          <w:p w14:paraId="48923461" w14:textId="77777777" w:rsidR="006A4C8D" w:rsidRPr="006A4C8D" w:rsidRDefault="006A4C8D" w:rsidP="006A4C8D">
            <w:pPr>
              <w:numPr>
                <w:ilvl w:val="1"/>
                <w:numId w:val="48"/>
              </w:numPr>
              <w:overflowPunct w:val="0"/>
              <w:autoSpaceDE w:val="0"/>
              <w:autoSpaceDN w:val="0"/>
              <w:adjustRightInd w:val="0"/>
              <w:spacing w:beforeLines="0" w:before="0" w:afterLines="0" w:after="0"/>
              <w:jc w:val="both"/>
              <w:textAlignment w:val="baseline"/>
              <w:rPr>
                <w:rFonts w:eastAsia="Calibri"/>
                <w:sz w:val="20"/>
                <w:highlight w:val="yellow"/>
                <w:lang w:eastAsia="ko-KR"/>
              </w:rPr>
            </w:pPr>
            <w:r w:rsidRPr="006A4C8D">
              <w:rPr>
                <w:rFonts w:eastAsia="Calibri"/>
                <w:sz w:val="20"/>
                <w:highlight w:val="yellow"/>
                <w:lang w:eastAsia="ko-KR"/>
              </w:rPr>
              <w:t>For 15 kHz subcarrier spacing, the requirements are only applicable for GSO and low mobility scenarios.</w:t>
            </w:r>
          </w:p>
          <w:p w14:paraId="2BF05218" w14:textId="77777777" w:rsidR="006A4C8D" w:rsidRPr="006A4C8D" w:rsidRDefault="006A4C8D" w:rsidP="006A4C8D">
            <w:pPr>
              <w:numPr>
                <w:ilvl w:val="0"/>
                <w:numId w:val="48"/>
              </w:numPr>
              <w:overflowPunct w:val="0"/>
              <w:autoSpaceDE w:val="0"/>
              <w:autoSpaceDN w:val="0"/>
              <w:adjustRightInd w:val="0"/>
              <w:spacing w:beforeLines="0" w:before="0" w:afterLines="0" w:after="0"/>
              <w:jc w:val="both"/>
              <w:textAlignment w:val="baseline"/>
              <w:rPr>
                <w:rFonts w:eastAsia="Calibri"/>
                <w:sz w:val="20"/>
                <w:lang w:eastAsia="ko-KR"/>
              </w:rPr>
            </w:pPr>
            <w:r w:rsidRPr="006A4C8D">
              <w:rPr>
                <w:rFonts w:eastAsia="Calibri"/>
                <w:sz w:val="20"/>
                <w:lang w:eastAsia="ko-KR"/>
              </w:rPr>
              <w:t>Satellite access node demodulation requirements</w:t>
            </w:r>
          </w:p>
          <w:p w14:paraId="542D78FE" w14:textId="4765AF22" w:rsidR="006A4C8D" w:rsidRPr="006A4C8D" w:rsidRDefault="006A4C8D" w:rsidP="006A4C8D">
            <w:pPr>
              <w:numPr>
                <w:ilvl w:val="0"/>
                <w:numId w:val="48"/>
              </w:numPr>
              <w:overflowPunct w:val="0"/>
              <w:autoSpaceDE w:val="0"/>
              <w:autoSpaceDN w:val="0"/>
              <w:adjustRightInd w:val="0"/>
              <w:spacing w:beforeLines="0" w:before="0" w:afterLines="0" w:after="0"/>
              <w:jc w:val="both"/>
              <w:textAlignment w:val="baseline"/>
              <w:rPr>
                <w:rFonts w:eastAsia="Calibri"/>
                <w:sz w:val="20"/>
                <w:lang w:eastAsia="ko-KR"/>
              </w:rPr>
            </w:pPr>
            <w:r w:rsidRPr="006A4C8D">
              <w:rPr>
                <w:rFonts w:eastAsia="Calibri"/>
                <w:sz w:val="20"/>
                <w:lang w:eastAsia="ko-KR"/>
              </w:rPr>
              <w:t>Satellite access node conformance tests</w:t>
            </w:r>
            <w:bookmarkEnd w:id="1"/>
          </w:p>
        </w:tc>
      </w:tr>
    </w:tbl>
    <w:p w14:paraId="778322EF" w14:textId="1F76D002" w:rsidR="006A4C8D" w:rsidRDefault="006A4C8D" w:rsidP="008223E0">
      <w:pPr>
        <w:spacing w:before="120" w:after="120"/>
        <w:rPr>
          <w:rFonts w:eastAsiaTheme="minorEastAsia"/>
          <w:lang w:eastAsia="zh-CN"/>
        </w:rPr>
      </w:pPr>
      <w:r>
        <w:rPr>
          <w:rFonts w:eastAsiaTheme="minorEastAsia"/>
          <w:lang w:eastAsia="zh-CN"/>
        </w:rPr>
        <w:t xml:space="preserve">It is clear that RRM work should include 15kHz SCS. The main impact in our view is the applicability of </w:t>
      </w:r>
      <w:r w:rsidRPr="006A4C8D">
        <w:rPr>
          <w:rFonts w:eastAsiaTheme="minorEastAsia"/>
          <w:lang w:eastAsia="zh-CN"/>
        </w:rPr>
        <w:t>Table 7.1C.2-1 of 38.133</w:t>
      </w:r>
      <w:r>
        <w:rPr>
          <w:rFonts w:eastAsiaTheme="minorEastAsia"/>
          <w:lang w:eastAsia="zh-CN"/>
        </w:rPr>
        <w:t xml:space="preserve">. Requirements for both 15kHz and 30kHz should be applicable, and for 15kHz the requirements are only applicable for </w:t>
      </w:r>
      <w:r w:rsidRPr="006A4C8D">
        <w:rPr>
          <w:rFonts w:eastAsiaTheme="minorEastAsia"/>
          <w:lang w:eastAsia="zh-CN"/>
        </w:rPr>
        <w:t>mobile VSAT UE served by GSO</w:t>
      </w:r>
      <w:r>
        <w:rPr>
          <w:rFonts w:eastAsiaTheme="minorEastAsia"/>
          <w:lang w:eastAsia="zh-CN"/>
        </w:rPr>
        <w:t>.</w:t>
      </w:r>
    </w:p>
    <w:p w14:paraId="16B42DAD" w14:textId="5CC87E8D" w:rsidR="008223E0" w:rsidRPr="00C62B5D" w:rsidRDefault="006A4C8D" w:rsidP="008223E0">
      <w:pPr>
        <w:spacing w:before="120" w:after="120"/>
        <w:rPr>
          <w:rFonts w:eastAsiaTheme="minorEastAsia"/>
          <w:b/>
          <w:lang w:eastAsia="zh-CN"/>
        </w:rPr>
      </w:pPr>
      <w:r w:rsidRPr="006A4C8D">
        <w:rPr>
          <w:rFonts w:eastAsiaTheme="minorEastAsia" w:hint="eastAsia"/>
          <w:b/>
          <w:lang w:eastAsia="zh-CN"/>
        </w:rPr>
        <w:t>P</w:t>
      </w:r>
      <w:r w:rsidRPr="006A4C8D">
        <w:rPr>
          <w:rFonts w:eastAsiaTheme="minorEastAsia"/>
          <w:b/>
          <w:lang w:eastAsia="zh-CN"/>
        </w:rPr>
        <w:t xml:space="preserve">roposal </w:t>
      </w:r>
      <w:r>
        <w:rPr>
          <w:rFonts w:eastAsiaTheme="minorEastAsia"/>
          <w:b/>
          <w:lang w:eastAsia="zh-CN"/>
        </w:rPr>
        <w:t>2</w:t>
      </w:r>
      <w:r w:rsidRPr="006A4C8D">
        <w:rPr>
          <w:rFonts w:eastAsiaTheme="minorEastAsia"/>
          <w:b/>
          <w:lang w:eastAsia="zh-CN"/>
        </w:rPr>
        <w:t xml:space="preserve">: RAN4 to </w:t>
      </w:r>
      <w:r>
        <w:rPr>
          <w:rFonts w:eastAsiaTheme="minorEastAsia"/>
          <w:b/>
          <w:lang w:eastAsia="zh-CN"/>
        </w:rPr>
        <w:t>confirm 15kHz SCS</w:t>
      </w:r>
      <w:r w:rsidRPr="006A4C8D">
        <w:rPr>
          <w:rFonts w:eastAsiaTheme="minorEastAsia"/>
          <w:b/>
          <w:lang w:eastAsia="zh-CN"/>
        </w:rPr>
        <w:t xml:space="preserve"> is in the scope of RRM work for Ku band.</w:t>
      </w:r>
    </w:p>
    <w:p w14:paraId="17DC7F6D" w14:textId="19490CBC" w:rsidR="008223E0" w:rsidRDefault="008223E0" w:rsidP="008223E0">
      <w:pPr>
        <w:pStyle w:val="2"/>
        <w:rPr>
          <w:lang w:eastAsia="zh-CN"/>
        </w:rPr>
      </w:pPr>
      <w:r>
        <w:rPr>
          <w:rFonts w:hint="eastAsia"/>
          <w:lang w:eastAsia="zh-CN"/>
        </w:rPr>
        <w:t>R</w:t>
      </w:r>
      <w:r>
        <w:rPr>
          <w:lang w:eastAsia="zh-CN"/>
        </w:rPr>
        <w:t>RM requirements</w:t>
      </w:r>
    </w:p>
    <w:p w14:paraId="25ED7DF1" w14:textId="77777777" w:rsidR="00C62B5D" w:rsidRDefault="00C62B5D" w:rsidP="008223E0">
      <w:pPr>
        <w:spacing w:before="120" w:after="120"/>
        <w:rPr>
          <w:rFonts w:eastAsiaTheme="minorEastAsia"/>
          <w:lang w:eastAsia="zh-CN"/>
        </w:rPr>
      </w:pPr>
      <w:r>
        <w:rPr>
          <w:rFonts w:eastAsiaTheme="minorEastAsia"/>
          <w:lang w:eastAsia="zh-CN"/>
        </w:rPr>
        <w:t>One issue raised up by companies in RAN4#114 is which RRM requirements defined in R18 for Ka band can be re-used and which need to be updated for Ku band, and whether new requirements are needed. In our view, e</w:t>
      </w:r>
      <w:r w:rsidRPr="00C62B5D">
        <w:rPr>
          <w:rFonts w:eastAsiaTheme="minorEastAsia"/>
          <w:lang w:eastAsia="zh-CN"/>
        </w:rPr>
        <w:t>xcept for UL timing</w:t>
      </w:r>
      <w:r>
        <w:rPr>
          <w:rFonts w:eastAsiaTheme="minorEastAsia"/>
          <w:lang w:eastAsia="zh-CN"/>
        </w:rPr>
        <w:t xml:space="preserve"> requirements</w:t>
      </w:r>
      <w:r w:rsidRPr="00C62B5D">
        <w:rPr>
          <w:rFonts w:eastAsiaTheme="minorEastAsia"/>
          <w:lang w:eastAsia="zh-CN"/>
        </w:rPr>
        <w:t xml:space="preserve">, </w:t>
      </w:r>
      <w:r>
        <w:rPr>
          <w:rFonts w:eastAsiaTheme="minorEastAsia"/>
          <w:lang w:eastAsia="zh-CN"/>
        </w:rPr>
        <w:t xml:space="preserve">all </w:t>
      </w:r>
      <w:r w:rsidRPr="00C62B5D">
        <w:rPr>
          <w:rFonts w:eastAsiaTheme="minorEastAsia"/>
          <w:lang w:eastAsia="zh-CN"/>
        </w:rPr>
        <w:t xml:space="preserve">R18 requirements defined for Ka band </w:t>
      </w:r>
      <w:r>
        <w:rPr>
          <w:rFonts w:eastAsiaTheme="minorEastAsia"/>
          <w:lang w:eastAsia="zh-CN"/>
        </w:rPr>
        <w:t>can be</w:t>
      </w:r>
      <w:r w:rsidRPr="00C62B5D">
        <w:rPr>
          <w:rFonts w:eastAsiaTheme="minorEastAsia"/>
          <w:lang w:eastAsia="zh-CN"/>
        </w:rPr>
        <w:t xml:space="preserve"> re-used for Ku band</w:t>
      </w:r>
      <w:r>
        <w:rPr>
          <w:rFonts w:eastAsiaTheme="minorEastAsia"/>
          <w:lang w:eastAsia="zh-CN"/>
        </w:rPr>
        <w:t xml:space="preserve"> as baseline. The reason is that </w:t>
      </w:r>
    </w:p>
    <w:p w14:paraId="227A3555" w14:textId="4C20AEE6" w:rsidR="008223E0" w:rsidRDefault="00C62B5D" w:rsidP="00C62B5D">
      <w:pPr>
        <w:pStyle w:val="afe"/>
        <w:numPr>
          <w:ilvl w:val="0"/>
          <w:numId w:val="46"/>
        </w:numPr>
        <w:spacing w:before="120" w:after="120"/>
        <w:rPr>
          <w:rFonts w:eastAsiaTheme="minorEastAsia"/>
          <w:lang w:eastAsia="zh-CN"/>
        </w:rPr>
      </w:pPr>
      <w:r>
        <w:rPr>
          <w:rFonts w:eastAsiaTheme="minorEastAsia"/>
          <w:lang w:eastAsia="zh-CN"/>
        </w:rPr>
        <w:t xml:space="preserve">The mobility and measurement requirements are </w:t>
      </w:r>
      <w:r w:rsidRPr="00C62B5D">
        <w:rPr>
          <w:rFonts w:eastAsiaTheme="minorEastAsia"/>
          <w:lang w:eastAsia="zh-CN"/>
        </w:rPr>
        <w:t>agnostic to SCS</w:t>
      </w:r>
      <w:r>
        <w:rPr>
          <w:rFonts w:eastAsiaTheme="minorEastAsia"/>
          <w:lang w:eastAsia="zh-CN"/>
        </w:rPr>
        <w:t>, so consideration of FR1 SCS does not require updates to these requirements.</w:t>
      </w:r>
    </w:p>
    <w:p w14:paraId="1CE28333" w14:textId="253A4BAD" w:rsidR="00C62B5D" w:rsidRDefault="00C62B5D" w:rsidP="00C62B5D">
      <w:pPr>
        <w:pStyle w:val="afe"/>
        <w:numPr>
          <w:ilvl w:val="0"/>
          <w:numId w:val="46"/>
        </w:numPr>
        <w:spacing w:before="120" w:after="120"/>
        <w:rPr>
          <w:rFonts w:eastAsiaTheme="minorEastAsia"/>
          <w:lang w:eastAsia="zh-CN"/>
        </w:rPr>
      </w:pPr>
      <w:r>
        <w:rPr>
          <w:rFonts w:eastAsiaTheme="minorEastAsia"/>
          <w:lang w:eastAsia="zh-CN"/>
        </w:rPr>
        <w:t>The mobility and measurement requirements have already accounted for fixed VSAT served by NGSO, and they can be re-used for mobile VSAT served by NGSO considering the dynamic nature of NGSO.</w:t>
      </w:r>
    </w:p>
    <w:p w14:paraId="6A7110A0" w14:textId="573B74FA" w:rsidR="00C62B5D" w:rsidRPr="00C62B5D" w:rsidRDefault="00C62B5D" w:rsidP="00C62B5D">
      <w:pPr>
        <w:spacing w:before="120" w:after="120"/>
        <w:rPr>
          <w:rFonts w:eastAsiaTheme="minorEastAsia"/>
          <w:lang w:eastAsia="zh-CN"/>
        </w:rPr>
      </w:pPr>
      <w:r>
        <w:rPr>
          <w:rFonts w:eastAsiaTheme="minorEastAsia"/>
          <w:lang w:eastAsia="zh-CN"/>
        </w:rPr>
        <w:t>Of course, we are open to discuss if any update is needed based on the difference between VSAT for Ku and Ka band. For example, some companies mentioned that the Rx beam steering time for inter-satellite HO may be different for Ka and Ku band</w:t>
      </w:r>
      <w:r w:rsidR="000967EA">
        <w:rPr>
          <w:rFonts w:eastAsiaTheme="minorEastAsia"/>
          <w:lang w:eastAsia="zh-CN"/>
        </w:rPr>
        <w:t>s</w:t>
      </w:r>
      <w:r>
        <w:rPr>
          <w:rFonts w:eastAsiaTheme="minorEastAsia"/>
          <w:lang w:eastAsia="zh-CN"/>
        </w:rPr>
        <w:t xml:space="preserve">. We are open to </w:t>
      </w:r>
      <w:r w:rsidR="000967EA">
        <w:rPr>
          <w:rFonts w:eastAsiaTheme="minorEastAsia"/>
          <w:lang w:eastAsia="zh-CN"/>
        </w:rPr>
        <w:t>further discussion if such updates are justified by RF.</w:t>
      </w:r>
    </w:p>
    <w:p w14:paraId="7D61C094" w14:textId="25581489" w:rsidR="000967EA" w:rsidRPr="000967EA" w:rsidRDefault="000967EA" w:rsidP="000967EA">
      <w:pPr>
        <w:spacing w:before="120" w:after="120"/>
        <w:rPr>
          <w:rFonts w:eastAsiaTheme="minorEastAsia"/>
          <w:b/>
          <w:lang w:val="en-US" w:eastAsia="zh-CN"/>
        </w:rPr>
      </w:pPr>
      <w:r w:rsidRPr="006A4C8D">
        <w:rPr>
          <w:rFonts w:eastAsiaTheme="minorEastAsia" w:hint="eastAsia"/>
          <w:b/>
          <w:lang w:eastAsia="zh-CN"/>
        </w:rPr>
        <w:t>P</w:t>
      </w:r>
      <w:r w:rsidRPr="006A4C8D">
        <w:rPr>
          <w:rFonts w:eastAsiaTheme="minorEastAsia"/>
          <w:b/>
          <w:lang w:eastAsia="zh-CN"/>
        </w:rPr>
        <w:t xml:space="preserve">roposal </w:t>
      </w:r>
      <w:r>
        <w:rPr>
          <w:rFonts w:eastAsiaTheme="minorEastAsia"/>
          <w:b/>
          <w:lang w:eastAsia="zh-CN"/>
        </w:rPr>
        <w:t>3</w:t>
      </w:r>
      <w:r w:rsidRPr="006A4C8D">
        <w:rPr>
          <w:rFonts w:eastAsiaTheme="minorEastAsia"/>
          <w:b/>
          <w:lang w:eastAsia="zh-CN"/>
        </w:rPr>
        <w:t xml:space="preserve">: </w:t>
      </w:r>
      <w:r w:rsidRPr="000967EA">
        <w:rPr>
          <w:rFonts w:eastAsiaTheme="minorEastAsia"/>
          <w:b/>
          <w:lang w:eastAsia="zh-CN"/>
        </w:rPr>
        <w:t xml:space="preserve">Except for UL timing, R18 requirements for Ka band are re-used for Ku band as </w:t>
      </w:r>
      <w:r>
        <w:rPr>
          <w:rFonts w:eastAsiaTheme="minorEastAsia"/>
          <w:b/>
          <w:lang w:eastAsia="zh-CN"/>
        </w:rPr>
        <w:t>baseline.</w:t>
      </w:r>
    </w:p>
    <w:p w14:paraId="17BA1FC1" w14:textId="79F3D598" w:rsidR="008223E0" w:rsidRDefault="000967EA" w:rsidP="000967EA">
      <w:pPr>
        <w:spacing w:before="120" w:after="120"/>
        <w:rPr>
          <w:rFonts w:eastAsiaTheme="minorEastAsia"/>
          <w:lang w:val="en-US" w:eastAsia="zh-CN"/>
        </w:rPr>
      </w:pPr>
      <w:r>
        <w:rPr>
          <w:rFonts w:eastAsiaTheme="minorEastAsia"/>
          <w:lang w:val="en-US" w:eastAsia="zh-CN"/>
        </w:rPr>
        <w:t xml:space="preserve">For </w:t>
      </w:r>
      <w:r w:rsidR="008223E0">
        <w:rPr>
          <w:rFonts w:eastAsiaTheme="minorEastAsia" w:hint="eastAsia"/>
          <w:lang w:val="en-US" w:eastAsia="zh-CN"/>
        </w:rPr>
        <w:t>U</w:t>
      </w:r>
      <w:r w:rsidR="008223E0">
        <w:rPr>
          <w:rFonts w:eastAsiaTheme="minorEastAsia"/>
          <w:lang w:val="en-US" w:eastAsia="zh-CN"/>
        </w:rPr>
        <w:t>L timing</w:t>
      </w:r>
      <w:r>
        <w:rPr>
          <w:rFonts w:eastAsiaTheme="minorEastAsia"/>
          <w:lang w:val="en-US" w:eastAsia="zh-CN"/>
        </w:rPr>
        <w:t xml:space="preserve"> requirements, following is agreed in [1].</w:t>
      </w:r>
    </w:p>
    <w:tbl>
      <w:tblPr>
        <w:tblStyle w:val="afa"/>
        <w:tblW w:w="0" w:type="auto"/>
        <w:tblLook w:val="04A0" w:firstRow="1" w:lastRow="0" w:firstColumn="1" w:lastColumn="0" w:noHBand="0" w:noVBand="1"/>
      </w:tblPr>
      <w:tblGrid>
        <w:gridCol w:w="9621"/>
      </w:tblGrid>
      <w:tr w:rsidR="000967EA" w14:paraId="7F2BABF5" w14:textId="77777777" w:rsidTr="000967EA">
        <w:tc>
          <w:tcPr>
            <w:tcW w:w="9621" w:type="dxa"/>
          </w:tcPr>
          <w:p w14:paraId="352E4452" w14:textId="77777777" w:rsidR="000967EA" w:rsidRPr="000967EA" w:rsidRDefault="000967EA" w:rsidP="000967EA">
            <w:pPr>
              <w:snapToGrid w:val="0"/>
              <w:spacing w:beforeLines="0" w:before="0" w:afterLines="0" w:after="120"/>
              <w:rPr>
                <w:rFonts w:eastAsia="宋体"/>
                <w:b/>
                <w:color w:val="000000"/>
                <w:sz w:val="20"/>
                <w:szCs w:val="21"/>
                <w:u w:val="single"/>
              </w:rPr>
            </w:pPr>
            <w:r w:rsidRPr="000967EA">
              <w:rPr>
                <w:rFonts w:eastAsia="宋体"/>
                <w:b/>
                <w:color w:val="000000"/>
                <w:sz w:val="20"/>
                <w:szCs w:val="21"/>
                <w:u w:val="single"/>
              </w:rPr>
              <w:t>Issue 1-3: UL transmit timing requirement</w:t>
            </w:r>
          </w:p>
          <w:p w14:paraId="4AFFC0D9" w14:textId="77777777" w:rsidR="000967EA" w:rsidRPr="000967EA" w:rsidRDefault="000967EA" w:rsidP="000967EA">
            <w:pPr>
              <w:spacing w:beforeLines="0" w:before="0" w:afterLines="0" w:after="120"/>
              <w:rPr>
                <w:rFonts w:eastAsia="宋体"/>
                <w:color w:val="000000"/>
                <w:sz w:val="20"/>
              </w:rPr>
            </w:pPr>
            <w:r w:rsidRPr="000967EA">
              <w:rPr>
                <w:rFonts w:eastAsia="宋体"/>
                <w:color w:val="000000"/>
                <w:sz w:val="20"/>
                <w:highlight w:val="green"/>
              </w:rPr>
              <w:t>Agreement:</w:t>
            </w:r>
          </w:p>
          <w:p w14:paraId="50963479" w14:textId="77777777" w:rsidR="000967EA" w:rsidRPr="000967EA" w:rsidRDefault="000967EA" w:rsidP="000967EA">
            <w:pPr>
              <w:numPr>
                <w:ilvl w:val="1"/>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RAN4 to define timing accuracy requirements for case 1, 2:</w:t>
            </w:r>
          </w:p>
          <w:p w14:paraId="2D67F886" w14:textId="77777777" w:rsidR="000967EA" w:rsidRPr="000967EA" w:rsidRDefault="000967EA" w:rsidP="000967EA">
            <w:pPr>
              <w:numPr>
                <w:ilvl w:val="2"/>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 xml:space="preserve">For FR1-NTN numerology, existing requirements in Table 7.1C.2-1 of 38.133 (FR1-NTN) are re-used. </w:t>
            </w:r>
          </w:p>
          <w:p w14:paraId="08B5FC1B" w14:textId="77777777" w:rsidR="000967EA" w:rsidRPr="000967EA" w:rsidRDefault="000967EA" w:rsidP="000967EA">
            <w:pPr>
              <w:numPr>
                <w:ilvl w:val="3"/>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 xml:space="preserve">For the applicable SCS, follow the agreement in </w:t>
            </w:r>
            <w:proofErr w:type="spellStart"/>
            <w:r w:rsidRPr="000967EA">
              <w:rPr>
                <w:rFonts w:eastAsia="宋体"/>
                <w:color w:val="000000"/>
                <w:sz w:val="20"/>
                <w:szCs w:val="21"/>
              </w:rPr>
              <w:t>BDaT</w:t>
            </w:r>
            <w:proofErr w:type="spellEnd"/>
            <w:r w:rsidRPr="000967EA">
              <w:rPr>
                <w:rFonts w:eastAsia="宋体"/>
                <w:color w:val="000000"/>
                <w:sz w:val="20"/>
                <w:szCs w:val="21"/>
              </w:rPr>
              <w:t xml:space="preserve"> session.</w:t>
            </w:r>
          </w:p>
          <w:p w14:paraId="48955FF7" w14:textId="77777777" w:rsidR="000967EA" w:rsidRPr="000967EA" w:rsidRDefault="000967EA" w:rsidP="000967EA">
            <w:pPr>
              <w:numPr>
                <w:ilvl w:val="1"/>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RAN4 to define timing accuracy requirements for case 3:</w:t>
            </w:r>
          </w:p>
          <w:p w14:paraId="258F5D80" w14:textId="77777777" w:rsidR="000967EA" w:rsidRPr="000967EA" w:rsidRDefault="000967EA" w:rsidP="000967EA">
            <w:pPr>
              <w:numPr>
                <w:ilvl w:val="2"/>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For FR2-NTN numerology, existing requirements</w:t>
            </w:r>
            <w:r w:rsidRPr="000967EA">
              <w:rPr>
                <w:rFonts w:eastAsia="宋体"/>
                <w:color w:val="FF0000"/>
                <w:sz w:val="20"/>
                <w:szCs w:val="21"/>
              </w:rPr>
              <w:t xml:space="preserve"> </w:t>
            </w:r>
            <w:r w:rsidRPr="000967EA">
              <w:rPr>
                <w:rFonts w:eastAsia="宋体"/>
                <w:color w:val="000000"/>
                <w:sz w:val="20"/>
                <w:szCs w:val="21"/>
              </w:rPr>
              <w:t xml:space="preserve">in Table 7.1C.2-3 of 38.133 (FR2-NTN mobile VSAT served by GSO) are re-used. </w:t>
            </w:r>
          </w:p>
          <w:p w14:paraId="0802B804" w14:textId="77777777" w:rsidR="000967EA" w:rsidRPr="000967EA" w:rsidRDefault="000967EA" w:rsidP="000967EA">
            <w:pPr>
              <w:numPr>
                <w:ilvl w:val="3"/>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 xml:space="preserve">For the applicable SCS, follow the agreement in </w:t>
            </w:r>
            <w:proofErr w:type="spellStart"/>
            <w:r w:rsidRPr="000967EA">
              <w:rPr>
                <w:rFonts w:eastAsia="宋体"/>
                <w:color w:val="000000"/>
                <w:sz w:val="20"/>
                <w:szCs w:val="21"/>
              </w:rPr>
              <w:t>BDaT</w:t>
            </w:r>
            <w:proofErr w:type="spellEnd"/>
            <w:r w:rsidRPr="000967EA">
              <w:rPr>
                <w:rFonts w:eastAsia="宋体"/>
                <w:color w:val="000000"/>
                <w:sz w:val="20"/>
                <w:szCs w:val="21"/>
              </w:rPr>
              <w:t xml:space="preserve"> session.</w:t>
            </w:r>
          </w:p>
          <w:p w14:paraId="6B5A33FD" w14:textId="77777777" w:rsidR="000967EA" w:rsidRPr="000967EA" w:rsidRDefault="000967EA" w:rsidP="000967EA">
            <w:pPr>
              <w:numPr>
                <w:ilvl w:val="3"/>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The endorsed CR with 7.5 Ts under the same side conditions as Rel-18 are considered.</w:t>
            </w:r>
          </w:p>
          <w:p w14:paraId="7E895623" w14:textId="77777777" w:rsidR="000967EA" w:rsidRPr="000967EA" w:rsidRDefault="000967EA" w:rsidP="000967EA">
            <w:pPr>
              <w:numPr>
                <w:ilvl w:val="1"/>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RAN4 to define timing accuracy requirements for case 4:</w:t>
            </w:r>
          </w:p>
          <w:p w14:paraId="75BA65D6" w14:textId="77777777" w:rsidR="000967EA" w:rsidRPr="000967EA" w:rsidRDefault="000967EA" w:rsidP="000967EA">
            <w:pPr>
              <w:numPr>
                <w:ilvl w:val="2"/>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lastRenderedPageBreak/>
              <w:t>For FR2-NTN numerology, FFS existing requirements</w:t>
            </w:r>
            <w:r w:rsidRPr="000967EA">
              <w:rPr>
                <w:rFonts w:eastAsia="宋体"/>
                <w:color w:val="FF0000"/>
                <w:sz w:val="20"/>
                <w:szCs w:val="21"/>
              </w:rPr>
              <w:t xml:space="preserve"> </w:t>
            </w:r>
            <w:r w:rsidRPr="000967EA">
              <w:rPr>
                <w:rFonts w:eastAsia="宋体"/>
                <w:color w:val="000000"/>
                <w:sz w:val="20"/>
                <w:szCs w:val="21"/>
              </w:rPr>
              <w:t xml:space="preserve">in Table 7.1C.2-3 of 38.133 (FR2-NTN mobile VSAT served by GSO) are re-used. </w:t>
            </w:r>
          </w:p>
          <w:p w14:paraId="0AE1BCF4" w14:textId="77777777" w:rsidR="000967EA" w:rsidRPr="000967EA" w:rsidRDefault="000967EA" w:rsidP="000967EA">
            <w:pPr>
              <w:numPr>
                <w:ilvl w:val="3"/>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 xml:space="preserve">For the applicable SCS, follow the agreement in </w:t>
            </w:r>
            <w:proofErr w:type="spellStart"/>
            <w:r w:rsidRPr="000967EA">
              <w:rPr>
                <w:rFonts w:eastAsia="宋体"/>
                <w:color w:val="000000"/>
                <w:sz w:val="20"/>
                <w:szCs w:val="21"/>
              </w:rPr>
              <w:t>BDaT</w:t>
            </w:r>
            <w:proofErr w:type="spellEnd"/>
            <w:r w:rsidRPr="000967EA">
              <w:rPr>
                <w:rFonts w:eastAsia="宋体"/>
                <w:color w:val="000000"/>
                <w:sz w:val="20"/>
                <w:szCs w:val="21"/>
              </w:rPr>
              <w:t xml:space="preserve"> session.</w:t>
            </w:r>
          </w:p>
          <w:p w14:paraId="6F00723E" w14:textId="2ACC8F91" w:rsidR="000967EA" w:rsidRPr="000967EA" w:rsidRDefault="000967EA" w:rsidP="000967EA">
            <w:pPr>
              <w:numPr>
                <w:ilvl w:val="3"/>
                <w:numId w:val="46"/>
              </w:numPr>
              <w:overflowPunct w:val="0"/>
              <w:autoSpaceDE w:val="0"/>
              <w:autoSpaceDN w:val="0"/>
              <w:adjustRightInd w:val="0"/>
              <w:snapToGrid w:val="0"/>
              <w:spacing w:beforeLines="0" w:before="0" w:afterLines="0" w:after="120"/>
              <w:textAlignment w:val="baseline"/>
              <w:rPr>
                <w:rFonts w:eastAsia="宋体"/>
                <w:color w:val="000000"/>
                <w:sz w:val="20"/>
                <w:szCs w:val="21"/>
              </w:rPr>
            </w:pPr>
            <w:r w:rsidRPr="000967EA">
              <w:rPr>
                <w:rFonts w:eastAsia="宋体"/>
                <w:color w:val="000000"/>
                <w:sz w:val="20"/>
                <w:szCs w:val="21"/>
              </w:rPr>
              <w:t>The endorsed CR with 7.5 Ts is considered. FFS whether the same or different side condition from Rel-18 can be used.</w:t>
            </w:r>
          </w:p>
        </w:tc>
      </w:tr>
    </w:tbl>
    <w:p w14:paraId="3CE1AE18" w14:textId="41BDCA11" w:rsidR="00AF1C3C" w:rsidRPr="00AF1C3C" w:rsidRDefault="000967EA" w:rsidP="00AF1C3C">
      <w:pPr>
        <w:spacing w:before="120" w:after="120"/>
        <w:rPr>
          <w:rFonts w:eastAsiaTheme="minorEastAsia"/>
          <w:lang w:val="en-US" w:eastAsia="zh-CN"/>
        </w:rPr>
      </w:pPr>
      <w:r>
        <w:rPr>
          <w:rFonts w:eastAsiaTheme="minorEastAsia"/>
          <w:lang w:val="en-US" w:eastAsia="zh-CN"/>
        </w:rPr>
        <w:lastRenderedPageBreak/>
        <w:t>The open issue is for case 4 (</w:t>
      </w:r>
      <w:r w:rsidRPr="000967EA">
        <w:rPr>
          <w:rFonts w:eastAsiaTheme="minorEastAsia"/>
          <w:lang w:val="en-US" w:eastAsia="zh-CN"/>
        </w:rPr>
        <w:t>mobile VSAT UE served by NGSO in FR2-NTN numerology</w:t>
      </w:r>
      <w:r>
        <w:rPr>
          <w:rFonts w:eastAsiaTheme="minorEastAsia"/>
          <w:lang w:val="en-US" w:eastAsia="zh-CN"/>
        </w:rPr>
        <w:t>)</w:t>
      </w:r>
      <w:r w:rsidR="00AF1C3C">
        <w:rPr>
          <w:rFonts w:eastAsiaTheme="minorEastAsia"/>
          <w:lang w:val="en-US" w:eastAsia="zh-CN"/>
        </w:rPr>
        <w:t xml:space="preserve">. In our view, </w:t>
      </w:r>
      <w:r w:rsidR="00AF1C3C" w:rsidRPr="00AF1C3C">
        <w:rPr>
          <w:rFonts w:eastAsiaTheme="minorEastAsia"/>
          <w:lang w:val="en-US" w:eastAsia="zh-CN"/>
        </w:rPr>
        <w:t>existing requirements in Table 7.1C.2-3</w:t>
      </w:r>
      <w:r w:rsidR="00AF1C3C">
        <w:rPr>
          <w:rFonts w:eastAsiaTheme="minorEastAsia"/>
          <w:lang w:val="en-US" w:eastAsia="zh-CN"/>
        </w:rPr>
        <w:t xml:space="preserve"> can be re-used for case 4. </w:t>
      </w:r>
      <w:r w:rsidR="00AF1C3C">
        <w:rPr>
          <w:rFonts w:eastAsiaTheme="minorEastAsia"/>
          <w:lang w:eastAsia="zh-CN"/>
        </w:rPr>
        <w:t xml:space="preserve">To define the timing requirements for </w:t>
      </w:r>
      <w:r w:rsidR="00AF1C3C" w:rsidRPr="009C4788">
        <w:rPr>
          <w:rFonts w:eastAsiaTheme="minorEastAsia"/>
          <w:lang w:eastAsia="zh-CN"/>
        </w:rPr>
        <w:t>mobile VSAT served by NGSO</w:t>
      </w:r>
      <w:r w:rsidR="00AF1C3C">
        <w:rPr>
          <w:rFonts w:eastAsiaTheme="minorEastAsia"/>
          <w:lang w:eastAsia="zh-CN"/>
        </w:rPr>
        <w:t xml:space="preserve">, we need to determine the assumed GNSS error and satellite location error. </w:t>
      </w:r>
    </w:p>
    <w:p w14:paraId="38E09B12" w14:textId="64223CD8" w:rsidR="00AF1C3C" w:rsidRPr="00F9057A" w:rsidRDefault="00AF1C3C" w:rsidP="00AF1C3C">
      <w:pPr>
        <w:pStyle w:val="afe"/>
        <w:numPr>
          <w:ilvl w:val="0"/>
          <w:numId w:val="49"/>
        </w:numPr>
        <w:spacing w:before="120" w:after="120"/>
        <w:rPr>
          <w:rFonts w:eastAsiaTheme="minorEastAsia"/>
          <w:lang w:val="en-GB" w:eastAsia="zh-CN"/>
        </w:rPr>
      </w:pPr>
      <w:r w:rsidRPr="00F9057A">
        <w:rPr>
          <w:rFonts w:eastAsiaTheme="minorEastAsia"/>
          <w:lang w:eastAsia="zh-CN"/>
        </w:rPr>
        <w:t xml:space="preserve">Based on the latest agreement </w:t>
      </w:r>
      <w:r>
        <w:rPr>
          <w:rFonts w:eastAsiaTheme="minorEastAsia"/>
          <w:lang w:eastAsia="zh-CN"/>
        </w:rPr>
        <w:t xml:space="preserve">for R18 NTN </w:t>
      </w:r>
      <w:r w:rsidRPr="00F9057A">
        <w:rPr>
          <w:rFonts w:eastAsiaTheme="minorEastAsia"/>
          <w:lang w:eastAsia="zh-CN"/>
        </w:rPr>
        <w:t xml:space="preserve">from </w:t>
      </w:r>
      <w:r>
        <w:rPr>
          <w:rFonts w:eastAsiaTheme="minorEastAsia"/>
          <w:lang w:eastAsia="zh-CN"/>
        </w:rPr>
        <w:t>RAN4#114</w:t>
      </w:r>
      <w:r w:rsidRPr="00F9057A">
        <w:rPr>
          <w:rFonts w:eastAsiaTheme="minorEastAsia"/>
          <w:lang w:eastAsia="zh-CN"/>
        </w:rPr>
        <w:t xml:space="preserve">, </w:t>
      </w:r>
      <w:r w:rsidRPr="00F9057A">
        <w:rPr>
          <w:rFonts w:eastAsiaTheme="minorEastAsia" w:hint="eastAsia"/>
          <w:lang w:eastAsia="zh-CN"/>
        </w:rPr>
        <w:t>GNSS</w:t>
      </w:r>
      <w:r w:rsidRPr="00F9057A">
        <w:rPr>
          <w:rFonts w:eastAsiaTheme="minorEastAsia"/>
          <w:lang w:eastAsia="zh-CN"/>
        </w:rPr>
        <w:t xml:space="preserve"> </w:t>
      </w:r>
      <w:r w:rsidRPr="00F9057A">
        <w:rPr>
          <w:rFonts w:eastAsiaTheme="minorEastAsia" w:hint="eastAsia"/>
          <w:lang w:eastAsia="zh-CN"/>
        </w:rPr>
        <w:t>error</w:t>
      </w:r>
      <w:r w:rsidRPr="00F9057A">
        <w:rPr>
          <w:rFonts w:eastAsiaTheme="minorEastAsia"/>
          <w:lang w:eastAsia="zh-CN"/>
        </w:rPr>
        <w:t xml:space="preserve"> is assumed to be same for fixed and mobile UEs, but there would be </w:t>
      </w:r>
      <w:r>
        <w:rPr>
          <w:rFonts w:eastAsiaTheme="minorEastAsia"/>
          <w:lang w:eastAsia="zh-CN"/>
        </w:rPr>
        <w:t>additional</w:t>
      </w:r>
      <w:r w:rsidRPr="00F9057A">
        <w:rPr>
          <w:rFonts w:eastAsiaTheme="minorEastAsia"/>
          <w:lang w:eastAsia="zh-CN"/>
        </w:rPr>
        <w:t xml:space="preserve"> side conditions </w:t>
      </w:r>
      <w:r>
        <w:rPr>
          <w:rFonts w:eastAsiaTheme="minorEastAsia"/>
          <w:lang w:eastAsia="zh-CN"/>
        </w:rPr>
        <w:t xml:space="preserve">related to GNSS </w:t>
      </w:r>
      <w:r w:rsidRPr="00F9057A">
        <w:rPr>
          <w:rFonts w:eastAsiaTheme="minorEastAsia"/>
          <w:lang w:eastAsia="zh-CN"/>
        </w:rPr>
        <w:t>for the mobile UE to achieve this accuracy.</w:t>
      </w:r>
      <w:r>
        <w:rPr>
          <w:rFonts w:eastAsiaTheme="minorEastAsia"/>
          <w:lang w:eastAsia="zh-CN"/>
        </w:rPr>
        <w:t xml:space="preserve"> </w:t>
      </w:r>
    </w:p>
    <w:p w14:paraId="070326C4" w14:textId="77777777" w:rsidR="00AF1C3C" w:rsidRDefault="00AF1C3C" w:rsidP="00AF1C3C">
      <w:pPr>
        <w:pStyle w:val="afe"/>
        <w:numPr>
          <w:ilvl w:val="0"/>
          <w:numId w:val="49"/>
        </w:num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atellite location error may be different for GSO and NGSO. In our understanding, satellite location error should be same as that for GSO, provided that the ephemeris information from the satellite control system is accurate and timely updated (which has also been the assumption so far). </w:t>
      </w:r>
    </w:p>
    <w:p w14:paraId="3A528589" w14:textId="4C08C1E4" w:rsidR="00AF1C3C" w:rsidRPr="00AF1C3C" w:rsidRDefault="00AF1C3C" w:rsidP="00AF1C3C">
      <w:pPr>
        <w:spacing w:before="120" w:after="120"/>
        <w:rPr>
          <w:rFonts w:eastAsiaTheme="minorEastAsia"/>
          <w:lang w:eastAsia="zh-CN"/>
        </w:rPr>
      </w:pPr>
      <w:r w:rsidRPr="00AF1C3C">
        <w:rPr>
          <w:rFonts w:eastAsiaTheme="minorEastAsia"/>
          <w:lang w:eastAsia="zh-CN"/>
        </w:rPr>
        <w:t xml:space="preserve">Some companies mentioned that additional side condition related to the availability and accuracy of the ephemeris info may be needed. This has in fact been discussed in R18, and it was concluded no additional side condition is needed because the ephemeris info needs to be updated at most every 10.24s. </w:t>
      </w:r>
    </w:p>
    <w:p w14:paraId="5ED903D5" w14:textId="77777777" w:rsidR="00AF1C3C" w:rsidRDefault="00AF1C3C" w:rsidP="00AF1C3C">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above analysis, we suggest to re-use the timing requirements of </w:t>
      </w:r>
      <w:r w:rsidRPr="00BE76B5">
        <w:rPr>
          <w:rFonts w:eastAsiaTheme="minorEastAsia"/>
          <w:lang w:eastAsia="zh-CN"/>
        </w:rPr>
        <w:t>mobile VSAT is served by GSO</w:t>
      </w:r>
      <w:r>
        <w:rPr>
          <w:rFonts w:eastAsiaTheme="minorEastAsia"/>
          <w:lang w:eastAsia="zh-CN"/>
        </w:rPr>
        <w:t xml:space="preserve"> for </w:t>
      </w:r>
      <w:r w:rsidRPr="009C4788">
        <w:rPr>
          <w:rFonts w:eastAsiaTheme="minorEastAsia"/>
          <w:lang w:eastAsia="zh-CN"/>
        </w:rPr>
        <w:t>mobile VSAT served by NGSO</w:t>
      </w:r>
      <w:r>
        <w:rPr>
          <w:rFonts w:eastAsiaTheme="minorEastAsia"/>
          <w:lang w:eastAsia="zh-CN"/>
        </w:rPr>
        <w:t>.</w:t>
      </w:r>
    </w:p>
    <w:p w14:paraId="0D4563F3" w14:textId="452F2E19" w:rsidR="00AF1C3C" w:rsidRDefault="00AF1C3C" w:rsidP="00AF1C3C">
      <w:pPr>
        <w:spacing w:before="120" w:after="120"/>
        <w:rPr>
          <w:rFonts w:eastAsiaTheme="minorEastAsia"/>
          <w:b/>
          <w:lang w:eastAsia="zh-CN"/>
        </w:rPr>
      </w:pPr>
      <w:r w:rsidRPr="006A4C8D">
        <w:rPr>
          <w:rFonts w:eastAsiaTheme="minorEastAsia" w:hint="eastAsia"/>
          <w:b/>
          <w:lang w:eastAsia="zh-CN"/>
        </w:rPr>
        <w:t>P</w:t>
      </w:r>
      <w:r w:rsidRPr="006A4C8D">
        <w:rPr>
          <w:rFonts w:eastAsiaTheme="minorEastAsia"/>
          <w:b/>
          <w:lang w:eastAsia="zh-CN"/>
        </w:rPr>
        <w:t xml:space="preserve">roposal </w:t>
      </w:r>
      <w:r>
        <w:rPr>
          <w:rFonts w:eastAsiaTheme="minorEastAsia"/>
          <w:b/>
          <w:lang w:eastAsia="zh-CN"/>
        </w:rPr>
        <w:t>4</w:t>
      </w:r>
      <w:r w:rsidRPr="006A4C8D">
        <w:rPr>
          <w:rFonts w:eastAsiaTheme="minorEastAsia"/>
          <w:b/>
          <w:lang w:eastAsia="zh-CN"/>
        </w:rPr>
        <w:t>:</w:t>
      </w:r>
      <w:r>
        <w:rPr>
          <w:rFonts w:eastAsiaTheme="minorEastAsia"/>
          <w:b/>
          <w:lang w:eastAsia="zh-CN"/>
        </w:rPr>
        <w:t xml:space="preserve"> </w:t>
      </w:r>
      <w:r>
        <w:rPr>
          <w:rFonts w:eastAsiaTheme="minorEastAsia" w:hint="eastAsia"/>
          <w:b/>
          <w:lang w:eastAsia="zh-CN"/>
        </w:rPr>
        <w:t>F</w:t>
      </w:r>
      <w:r w:rsidRPr="000967EA">
        <w:rPr>
          <w:rFonts w:eastAsiaTheme="minorEastAsia"/>
          <w:b/>
          <w:lang w:eastAsia="zh-CN"/>
        </w:rPr>
        <w:t xml:space="preserve">or UL timing, </w:t>
      </w:r>
      <w:r w:rsidRPr="00AF1C3C">
        <w:rPr>
          <w:rFonts w:eastAsiaTheme="minorEastAsia"/>
          <w:b/>
          <w:lang w:eastAsia="zh-CN"/>
        </w:rPr>
        <w:t xml:space="preserve">existing requirements in Table 7.1C.2-3 </w:t>
      </w:r>
      <w:r>
        <w:rPr>
          <w:rFonts w:eastAsiaTheme="minorEastAsia"/>
          <w:b/>
          <w:lang w:eastAsia="zh-CN"/>
        </w:rPr>
        <w:t>are</w:t>
      </w:r>
      <w:r w:rsidRPr="00AF1C3C">
        <w:rPr>
          <w:rFonts w:eastAsiaTheme="minorEastAsia"/>
          <w:b/>
          <w:lang w:eastAsia="zh-CN"/>
        </w:rPr>
        <w:t xml:space="preserve"> re-used for case 4</w:t>
      </w:r>
      <w:r>
        <w:rPr>
          <w:rFonts w:eastAsiaTheme="minorEastAsia"/>
          <w:b/>
          <w:lang w:eastAsia="zh-CN"/>
        </w:rPr>
        <w:t>.</w:t>
      </w:r>
    </w:p>
    <w:p w14:paraId="5F6F696A" w14:textId="77777777" w:rsidR="00E95380" w:rsidRDefault="00E95380" w:rsidP="00E9538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the requirements for </w:t>
      </w:r>
      <w:r w:rsidRPr="00117194">
        <w:rPr>
          <w:rFonts w:eastAsiaTheme="minorEastAsia"/>
          <w:lang w:eastAsia="zh-CN"/>
        </w:rPr>
        <w:t xml:space="preserve">mobile VSAT served by NGSO </w:t>
      </w:r>
      <w:r>
        <w:rPr>
          <w:rFonts w:eastAsiaTheme="minorEastAsia"/>
          <w:lang w:eastAsia="zh-CN"/>
        </w:rPr>
        <w:t>are introduced as part of Ku bands WI, they should apply to Ku bands only. Besides, there is note in the WID that “</w:t>
      </w:r>
      <w:r w:rsidRPr="00117194">
        <w:rPr>
          <w:rFonts w:eastAsiaTheme="minorEastAsia"/>
          <w:lang w:eastAsia="zh-CN"/>
        </w:rPr>
        <w:t>RRM requirements are defined for VSAT supporting FR1-NTN operation only, or for FR2-NTN operation only</w:t>
      </w:r>
      <w:r>
        <w:rPr>
          <w:rFonts w:eastAsiaTheme="minorEastAsia"/>
          <w:lang w:eastAsia="zh-CN"/>
        </w:rPr>
        <w:t xml:space="preserve">”. We understand it means a UE is only required to meet one of the requirements for </w:t>
      </w:r>
      <w:r w:rsidRPr="00117194">
        <w:rPr>
          <w:rFonts w:eastAsiaTheme="minorEastAsia"/>
          <w:lang w:eastAsia="zh-CN"/>
        </w:rPr>
        <w:t xml:space="preserve">FR1 </w:t>
      </w:r>
      <w:r>
        <w:rPr>
          <w:rFonts w:eastAsiaTheme="minorEastAsia"/>
          <w:lang w:eastAsia="zh-CN"/>
        </w:rPr>
        <w:t xml:space="preserve">and FR2 </w:t>
      </w:r>
      <w:r w:rsidRPr="00117194">
        <w:rPr>
          <w:rFonts w:eastAsiaTheme="minorEastAsia"/>
          <w:lang w:eastAsia="zh-CN"/>
        </w:rPr>
        <w:t>numerology</w:t>
      </w:r>
      <w:r>
        <w:rPr>
          <w:rFonts w:eastAsiaTheme="minorEastAsia"/>
          <w:lang w:eastAsia="zh-CN"/>
        </w:rPr>
        <w:t xml:space="preserve">. Which requirement UE should meet depends on which of the FR1-NTN operation and FR2-NTN operation UE is supporting. </w:t>
      </w:r>
    </w:p>
    <w:p w14:paraId="502BED8F" w14:textId="42E39CEE" w:rsidR="00E95380" w:rsidRDefault="00E95380" w:rsidP="00E95380">
      <w:pPr>
        <w:spacing w:before="120" w:after="120"/>
        <w:rPr>
          <w:rFonts w:eastAsiaTheme="minorEastAsia"/>
          <w:b/>
          <w:lang w:eastAsia="zh-CN"/>
        </w:rPr>
      </w:pPr>
      <w:r w:rsidRPr="007538F9">
        <w:rPr>
          <w:rFonts w:eastAsiaTheme="minorEastAsia" w:hint="eastAsia"/>
          <w:b/>
          <w:lang w:eastAsia="zh-CN"/>
        </w:rPr>
        <w:t>P</w:t>
      </w:r>
      <w:r w:rsidRPr="007538F9">
        <w:rPr>
          <w:rFonts w:eastAsiaTheme="minorEastAsia"/>
          <w:b/>
          <w:lang w:eastAsia="zh-CN"/>
        </w:rPr>
        <w:t xml:space="preserve">roposal </w:t>
      </w:r>
      <w:r>
        <w:rPr>
          <w:rFonts w:eastAsiaTheme="minorEastAsia"/>
          <w:b/>
          <w:lang w:eastAsia="zh-CN"/>
        </w:rPr>
        <w:t>5</w:t>
      </w:r>
      <w:r w:rsidRPr="007538F9">
        <w:rPr>
          <w:rFonts w:eastAsiaTheme="minorEastAsia"/>
          <w:b/>
          <w:lang w:eastAsia="zh-CN"/>
        </w:rPr>
        <w:t xml:space="preserve">: </w:t>
      </w:r>
      <w:r>
        <w:rPr>
          <w:rFonts w:eastAsiaTheme="minorEastAsia"/>
          <w:b/>
          <w:lang w:eastAsia="zh-CN"/>
        </w:rPr>
        <w:t xml:space="preserve">The </w:t>
      </w:r>
      <w:r w:rsidRPr="007538F9">
        <w:rPr>
          <w:rFonts w:eastAsiaTheme="minorEastAsia"/>
          <w:b/>
          <w:lang w:eastAsia="zh-CN"/>
        </w:rPr>
        <w:t>timing accuracy require</w:t>
      </w:r>
      <w:r>
        <w:rPr>
          <w:rFonts w:eastAsiaTheme="minorEastAsia"/>
          <w:b/>
          <w:lang w:eastAsia="zh-CN"/>
        </w:rPr>
        <w:t xml:space="preserve">ments </w:t>
      </w:r>
      <w:r w:rsidRPr="007538F9">
        <w:rPr>
          <w:rFonts w:eastAsiaTheme="minorEastAsia"/>
          <w:b/>
          <w:lang w:eastAsia="zh-CN"/>
        </w:rPr>
        <w:t>for mobile VSAT served by NGSO</w:t>
      </w:r>
      <w:r>
        <w:rPr>
          <w:rFonts w:eastAsiaTheme="minorEastAsia"/>
          <w:b/>
          <w:lang w:eastAsia="zh-CN"/>
        </w:rPr>
        <w:t xml:space="preserve"> are applicable for operation on Ku bands only. </w:t>
      </w:r>
      <w:r w:rsidRPr="00A0269F">
        <w:rPr>
          <w:rFonts w:eastAsiaTheme="minorEastAsia"/>
          <w:b/>
          <w:lang w:eastAsia="zh-CN"/>
        </w:rPr>
        <w:t>A UE is required to meet requirements for FR1-NTN operation only, or for FR2-NTN operation only.</w:t>
      </w:r>
    </w:p>
    <w:p w14:paraId="3268F873" w14:textId="77777777" w:rsidR="004729BE" w:rsidRDefault="004729BE" w:rsidP="004729BE">
      <w:pPr>
        <w:pStyle w:val="1"/>
        <w:jc w:val="both"/>
        <w:rPr>
          <w:lang w:val="en-US"/>
        </w:rPr>
      </w:pPr>
      <w:r>
        <w:rPr>
          <w:lang w:val="en-US"/>
        </w:rPr>
        <w:t>Conclusions</w:t>
      </w:r>
    </w:p>
    <w:p w14:paraId="00102B00" w14:textId="1C05712A" w:rsidR="004729BE" w:rsidRDefault="004729BE" w:rsidP="004729BE">
      <w:pPr>
        <w:spacing w:before="120" w:after="120"/>
        <w:rPr>
          <w:rFonts w:eastAsia="宋体"/>
          <w:lang w:eastAsia="zh-CN"/>
        </w:rPr>
      </w:pPr>
      <w:r>
        <w:rPr>
          <w:rFonts w:eastAsia="宋体"/>
          <w:lang w:eastAsia="zh-CN"/>
        </w:rPr>
        <w:t xml:space="preserve">In this paper we provided </w:t>
      </w:r>
      <w:r w:rsidR="0087558C" w:rsidRPr="00C42202">
        <w:rPr>
          <w:rFonts w:eastAsia="宋体"/>
          <w:lang w:eastAsia="zh-CN"/>
        </w:rPr>
        <w:t xml:space="preserve">our views on </w:t>
      </w:r>
      <w:r w:rsidR="008223E0" w:rsidRPr="00924CFB">
        <w:rPr>
          <w:rFonts w:eastAsia="宋体"/>
          <w:lang w:eastAsia="zh-CN"/>
        </w:rPr>
        <w:t>RRM requirements for NTN in Ku band</w:t>
      </w:r>
      <w:r w:rsidR="00DA4132">
        <w:rPr>
          <w:rFonts w:eastAsia="宋体"/>
          <w:lang w:eastAsia="zh-CN"/>
        </w:rPr>
        <w:t>.</w:t>
      </w:r>
    </w:p>
    <w:p w14:paraId="09717B1D" w14:textId="77777777" w:rsidR="002E2CE8" w:rsidRPr="006A4C8D" w:rsidRDefault="002E2CE8" w:rsidP="002E2CE8">
      <w:pPr>
        <w:spacing w:before="120" w:after="120"/>
        <w:rPr>
          <w:rFonts w:eastAsiaTheme="minorEastAsia"/>
          <w:b/>
          <w:lang w:eastAsia="zh-CN"/>
        </w:rPr>
      </w:pPr>
      <w:r w:rsidRPr="006A4C8D">
        <w:rPr>
          <w:rFonts w:eastAsiaTheme="minorEastAsia" w:hint="eastAsia"/>
          <w:b/>
          <w:lang w:eastAsia="zh-CN"/>
        </w:rPr>
        <w:t>P</w:t>
      </w:r>
      <w:r w:rsidRPr="006A4C8D">
        <w:rPr>
          <w:rFonts w:eastAsiaTheme="minorEastAsia"/>
          <w:b/>
          <w:lang w:eastAsia="zh-CN"/>
        </w:rPr>
        <w:t>roposal 1: RAN4 to clarify whether fixed VSAT is in the scope of RRM work for Ku band.</w:t>
      </w:r>
    </w:p>
    <w:p w14:paraId="618CB012" w14:textId="77777777" w:rsidR="002E2CE8" w:rsidRPr="00C62B5D" w:rsidRDefault="002E2CE8" w:rsidP="002E2CE8">
      <w:pPr>
        <w:spacing w:before="120" w:after="120"/>
        <w:rPr>
          <w:rFonts w:eastAsiaTheme="minorEastAsia"/>
          <w:b/>
          <w:lang w:eastAsia="zh-CN"/>
        </w:rPr>
      </w:pPr>
      <w:r w:rsidRPr="006A4C8D">
        <w:rPr>
          <w:rFonts w:eastAsiaTheme="minorEastAsia" w:hint="eastAsia"/>
          <w:b/>
          <w:lang w:eastAsia="zh-CN"/>
        </w:rPr>
        <w:t>P</w:t>
      </w:r>
      <w:r w:rsidRPr="006A4C8D">
        <w:rPr>
          <w:rFonts w:eastAsiaTheme="minorEastAsia"/>
          <w:b/>
          <w:lang w:eastAsia="zh-CN"/>
        </w:rPr>
        <w:t xml:space="preserve">roposal </w:t>
      </w:r>
      <w:r>
        <w:rPr>
          <w:rFonts w:eastAsiaTheme="minorEastAsia"/>
          <w:b/>
          <w:lang w:eastAsia="zh-CN"/>
        </w:rPr>
        <w:t>2</w:t>
      </w:r>
      <w:r w:rsidRPr="006A4C8D">
        <w:rPr>
          <w:rFonts w:eastAsiaTheme="minorEastAsia"/>
          <w:b/>
          <w:lang w:eastAsia="zh-CN"/>
        </w:rPr>
        <w:t xml:space="preserve">: RAN4 to </w:t>
      </w:r>
      <w:r>
        <w:rPr>
          <w:rFonts w:eastAsiaTheme="minorEastAsia"/>
          <w:b/>
          <w:lang w:eastAsia="zh-CN"/>
        </w:rPr>
        <w:t>confirm 15kHz SCS</w:t>
      </w:r>
      <w:r w:rsidRPr="006A4C8D">
        <w:rPr>
          <w:rFonts w:eastAsiaTheme="minorEastAsia"/>
          <w:b/>
          <w:lang w:eastAsia="zh-CN"/>
        </w:rPr>
        <w:t xml:space="preserve"> is in the scope of RRM work for Ku band.</w:t>
      </w:r>
    </w:p>
    <w:p w14:paraId="6D4B86A4" w14:textId="77777777" w:rsidR="002E2CE8" w:rsidRPr="000967EA" w:rsidRDefault="002E2CE8" w:rsidP="002E2CE8">
      <w:pPr>
        <w:spacing w:before="120" w:after="120"/>
        <w:rPr>
          <w:rFonts w:eastAsiaTheme="minorEastAsia"/>
          <w:b/>
          <w:lang w:val="en-US" w:eastAsia="zh-CN"/>
        </w:rPr>
      </w:pPr>
      <w:r w:rsidRPr="006A4C8D">
        <w:rPr>
          <w:rFonts w:eastAsiaTheme="minorEastAsia" w:hint="eastAsia"/>
          <w:b/>
          <w:lang w:eastAsia="zh-CN"/>
        </w:rPr>
        <w:t>P</w:t>
      </w:r>
      <w:r w:rsidRPr="006A4C8D">
        <w:rPr>
          <w:rFonts w:eastAsiaTheme="minorEastAsia"/>
          <w:b/>
          <w:lang w:eastAsia="zh-CN"/>
        </w:rPr>
        <w:t xml:space="preserve">roposal </w:t>
      </w:r>
      <w:r>
        <w:rPr>
          <w:rFonts w:eastAsiaTheme="minorEastAsia"/>
          <w:b/>
          <w:lang w:eastAsia="zh-CN"/>
        </w:rPr>
        <w:t>3</w:t>
      </w:r>
      <w:r w:rsidRPr="006A4C8D">
        <w:rPr>
          <w:rFonts w:eastAsiaTheme="minorEastAsia"/>
          <w:b/>
          <w:lang w:eastAsia="zh-CN"/>
        </w:rPr>
        <w:t xml:space="preserve">: </w:t>
      </w:r>
      <w:r w:rsidRPr="000967EA">
        <w:rPr>
          <w:rFonts w:eastAsiaTheme="minorEastAsia"/>
          <w:b/>
          <w:lang w:eastAsia="zh-CN"/>
        </w:rPr>
        <w:t xml:space="preserve">Except for UL timing, R18 requirements for Ka band are re-used for Ku band as </w:t>
      </w:r>
      <w:r>
        <w:rPr>
          <w:rFonts w:eastAsiaTheme="minorEastAsia"/>
          <w:b/>
          <w:lang w:eastAsia="zh-CN"/>
        </w:rPr>
        <w:t>baseline.</w:t>
      </w:r>
    </w:p>
    <w:p w14:paraId="3B2E1229" w14:textId="23DB3882" w:rsidR="00800927" w:rsidRDefault="002E2CE8" w:rsidP="002E2CE8">
      <w:pPr>
        <w:spacing w:before="120" w:after="120"/>
        <w:rPr>
          <w:rFonts w:eastAsiaTheme="minorEastAsia"/>
          <w:b/>
          <w:lang w:eastAsia="zh-CN"/>
        </w:rPr>
      </w:pPr>
      <w:r w:rsidRPr="006A4C8D">
        <w:rPr>
          <w:rFonts w:eastAsiaTheme="minorEastAsia" w:hint="eastAsia"/>
          <w:b/>
          <w:lang w:eastAsia="zh-CN"/>
        </w:rPr>
        <w:t>P</w:t>
      </w:r>
      <w:r w:rsidRPr="006A4C8D">
        <w:rPr>
          <w:rFonts w:eastAsiaTheme="minorEastAsia"/>
          <w:b/>
          <w:lang w:eastAsia="zh-CN"/>
        </w:rPr>
        <w:t xml:space="preserve">roposal </w:t>
      </w:r>
      <w:r>
        <w:rPr>
          <w:rFonts w:eastAsiaTheme="minorEastAsia"/>
          <w:b/>
          <w:lang w:eastAsia="zh-CN"/>
        </w:rPr>
        <w:t>4</w:t>
      </w:r>
      <w:r w:rsidRPr="006A4C8D">
        <w:rPr>
          <w:rFonts w:eastAsiaTheme="minorEastAsia"/>
          <w:b/>
          <w:lang w:eastAsia="zh-CN"/>
        </w:rPr>
        <w:t>:</w:t>
      </w:r>
      <w:r>
        <w:rPr>
          <w:rFonts w:eastAsiaTheme="minorEastAsia"/>
          <w:b/>
          <w:lang w:eastAsia="zh-CN"/>
        </w:rPr>
        <w:t xml:space="preserve"> </w:t>
      </w:r>
      <w:r>
        <w:rPr>
          <w:rFonts w:eastAsiaTheme="minorEastAsia" w:hint="eastAsia"/>
          <w:b/>
          <w:lang w:eastAsia="zh-CN"/>
        </w:rPr>
        <w:t>F</w:t>
      </w:r>
      <w:r w:rsidRPr="000967EA">
        <w:rPr>
          <w:rFonts w:eastAsiaTheme="minorEastAsia"/>
          <w:b/>
          <w:lang w:eastAsia="zh-CN"/>
        </w:rPr>
        <w:t xml:space="preserve">or UL timing, </w:t>
      </w:r>
      <w:r w:rsidRPr="00AF1C3C">
        <w:rPr>
          <w:rFonts w:eastAsiaTheme="minorEastAsia"/>
          <w:b/>
          <w:lang w:eastAsia="zh-CN"/>
        </w:rPr>
        <w:t xml:space="preserve">existing requirements in Table 7.1C.2-3 </w:t>
      </w:r>
      <w:r>
        <w:rPr>
          <w:rFonts w:eastAsiaTheme="minorEastAsia"/>
          <w:b/>
          <w:lang w:eastAsia="zh-CN"/>
        </w:rPr>
        <w:t>are</w:t>
      </w:r>
      <w:r w:rsidRPr="00AF1C3C">
        <w:rPr>
          <w:rFonts w:eastAsiaTheme="minorEastAsia"/>
          <w:b/>
          <w:lang w:eastAsia="zh-CN"/>
        </w:rPr>
        <w:t xml:space="preserve"> re-used for case 4</w:t>
      </w:r>
      <w:r>
        <w:rPr>
          <w:rFonts w:eastAsiaTheme="minorEastAsia"/>
          <w:b/>
          <w:lang w:eastAsia="zh-CN"/>
        </w:rPr>
        <w:t>.</w:t>
      </w:r>
    </w:p>
    <w:p w14:paraId="04A7B31E" w14:textId="77777777" w:rsidR="00E95380" w:rsidRDefault="00E95380" w:rsidP="00E95380">
      <w:pPr>
        <w:spacing w:before="120" w:after="120"/>
        <w:rPr>
          <w:rFonts w:eastAsiaTheme="minorEastAsia"/>
          <w:b/>
          <w:lang w:eastAsia="zh-CN"/>
        </w:rPr>
      </w:pPr>
      <w:r w:rsidRPr="007538F9">
        <w:rPr>
          <w:rFonts w:eastAsiaTheme="minorEastAsia" w:hint="eastAsia"/>
          <w:b/>
          <w:lang w:eastAsia="zh-CN"/>
        </w:rPr>
        <w:t>P</w:t>
      </w:r>
      <w:r w:rsidRPr="007538F9">
        <w:rPr>
          <w:rFonts w:eastAsiaTheme="minorEastAsia"/>
          <w:b/>
          <w:lang w:eastAsia="zh-CN"/>
        </w:rPr>
        <w:t xml:space="preserve">roposal </w:t>
      </w:r>
      <w:r>
        <w:rPr>
          <w:rFonts w:eastAsiaTheme="minorEastAsia"/>
          <w:b/>
          <w:lang w:eastAsia="zh-CN"/>
        </w:rPr>
        <w:t>5</w:t>
      </w:r>
      <w:r w:rsidRPr="007538F9">
        <w:rPr>
          <w:rFonts w:eastAsiaTheme="minorEastAsia"/>
          <w:b/>
          <w:lang w:eastAsia="zh-CN"/>
        </w:rPr>
        <w:t xml:space="preserve">: </w:t>
      </w:r>
      <w:r>
        <w:rPr>
          <w:rFonts w:eastAsiaTheme="minorEastAsia"/>
          <w:b/>
          <w:lang w:eastAsia="zh-CN"/>
        </w:rPr>
        <w:t xml:space="preserve">The </w:t>
      </w:r>
      <w:r w:rsidRPr="007538F9">
        <w:rPr>
          <w:rFonts w:eastAsiaTheme="minorEastAsia"/>
          <w:b/>
          <w:lang w:eastAsia="zh-CN"/>
        </w:rPr>
        <w:t>timing accuracy require</w:t>
      </w:r>
      <w:r>
        <w:rPr>
          <w:rFonts w:eastAsiaTheme="minorEastAsia"/>
          <w:b/>
          <w:lang w:eastAsia="zh-CN"/>
        </w:rPr>
        <w:t xml:space="preserve">ments </w:t>
      </w:r>
      <w:r w:rsidRPr="007538F9">
        <w:rPr>
          <w:rFonts w:eastAsiaTheme="minorEastAsia"/>
          <w:b/>
          <w:lang w:eastAsia="zh-CN"/>
        </w:rPr>
        <w:t>for mobile VSAT served by NGSO</w:t>
      </w:r>
      <w:r>
        <w:rPr>
          <w:rFonts w:eastAsiaTheme="minorEastAsia"/>
          <w:b/>
          <w:lang w:eastAsia="zh-CN"/>
        </w:rPr>
        <w:t xml:space="preserve"> are applicable for operation on Ku bands only. </w:t>
      </w:r>
      <w:r w:rsidRPr="00A0269F">
        <w:rPr>
          <w:rFonts w:eastAsiaTheme="minorEastAsia"/>
          <w:b/>
          <w:lang w:eastAsia="zh-CN"/>
        </w:rPr>
        <w:t>A UE is required to meet requirements for FR1-NTN operation only, or for FR2-NTN operation only.</w:t>
      </w:r>
    </w:p>
    <w:p w14:paraId="2ED084EA" w14:textId="77777777" w:rsidR="00FA0C0C" w:rsidRDefault="00FA0C0C" w:rsidP="00FA0C0C">
      <w:pPr>
        <w:pStyle w:val="1"/>
        <w:jc w:val="both"/>
        <w:rPr>
          <w:lang w:val="en-US"/>
        </w:rPr>
      </w:pPr>
      <w:r w:rsidRPr="00C0754F">
        <w:rPr>
          <w:lang w:val="en-US"/>
        </w:rPr>
        <w:t>Reference</w:t>
      </w:r>
    </w:p>
    <w:p w14:paraId="1A305209" w14:textId="70CF968F" w:rsidR="008223E0" w:rsidRPr="008223E0" w:rsidRDefault="008223E0" w:rsidP="008223E0">
      <w:pPr>
        <w:numPr>
          <w:ilvl w:val="0"/>
          <w:numId w:val="5"/>
        </w:numPr>
        <w:spacing w:before="120" w:after="120"/>
        <w:rPr>
          <w:rFonts w:eastAsia="宋体"/>
          <w:lang w:val="en-US" w:eastAsia="zh-CN"/>
        </w:rPr>
      </w:pPr>
      <w:r w:rsidRPr="008223E0">
        <w:rPr>
          <w:rFonts w:eastAsia="宋体"/>
          <w:lang w:val="en-US" w:eastAsia="zh-CN"/>
        </w:rPr>
        <w:t>R4-2502590</w:t>
      </w:r>
      <w:r w:rsidR="00DA4132">
        <w:rPr>
          <w:rFonts w:eastAsia="宋体"/>
          <w:lang w:val="en-US" w:eastAsia="zh-CN"/>
        </w:rPr>
        <w:t xml:space="preserve">, </w:t>
      </w:r>
      <w:r w:rsidRPr="008223E0">
        <w:rPr>
          <w:rFonts w:eastAsia="宋体"/>
          <w:lang w:val="en-US" w:eastAsia="zh-CN"/>
        </w:rPr>
        <w:t xml:space="preserve">WF on RRM requirements for </w:t>
      </w:r>
      <w:proofErr w:type="spellStart"/>
      <w:r w:rsidRPr="008223E0">
        <w:rPr>
          <w:rFonts w:eastAsia="宋体"/>
          <w:lang w:val="en-US" w:eastAsia="zh-CN"/>
        </w:rPr>
        <w:t>NR_NTN_Ku_bands</w:t>
      </w:r>
      <w:proofErr w:type="spellEnd"/>
      <w:r w:rsidR="00DA4132">
        <w:rPr>
          <w:rFonts w:eastAsia="宋体"/>
          <w:lang w:val="en-US" w:eastAsia="zh-CN"/>
        </w:rPr>
        <w:t xml:space="preserve">, </w:t>
      </w:r>
      <w:r>
        <w:rPr>
          <w:rFonts w:eastAsia="宋体"/>
          <w:lang w:val="en-US" w:eastAsia="zh-CN"/>
        </w:rPr>
        <w:t>Apple</w:t>
      </w:r>
    </w:p>
    <w:p w14:paraId="731A2C9B" w14:textId="47289003" w:rsidR="00B3343B" w:rsidRPr="00D140E2" w:rsidRDefault="00B3343B" w:rsidP="00E441E4">
      <w:pPr>
        <w:spacing w:before="120" w:after="120"/>
        <w:rPr>
          <w:rFonts w:eastAsia="宋体"/>
          <w:lang w:val="en-US" w:eastAsia="zh-CN"/>
        </w:rPr>
      </w:pPr>
    </w:p>
    <w:sectPr w:rsidR="00B3343B" w:rsidRPr="00D140E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04E28" w14:textId="77777777" w:rsidR="00F85F97" w:rsidRDefault="00F85F97">
      <w:pPr>
        <w:spacing w:before="120" w:after="120"/>
      </w:pPr>
      <w:r>
        <w:separator/>
      </w:r>
    </w:p>
  </w:endnote>
  <w:endnote w:type="continuationSeparator" w:id="0">
    <w:p w14:paraId="0B5B65D0" w14:textId="77777777" w:rsidR="00F85F97" w:rsidRDefault="00F85F9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90265D" w:rsidRDefault="009026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90265D" w:rsidRDefault="009026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8EE00" w14:textId="77777777" w:rsidR="00F85F97" w:rsidRDefault="00F85F97">
      <w:pPr>
        <w:spacing w:before="120" w:after="120"/>
      </w:pPr>
      <w:r>
        <w:separator/>
      </w:r>
    </w:p>
  </w:footnote>
  <w:footnote w:type="continuationSeparator" w:id="0">
    <w:p w14:paraId="37C7B589" w14:textId="77777777" w:rsidR="00F85F97" w:rsidRDefault="00F85F9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3275E7"/>
    <w:multiLevelType w:val="hybridMultilevel"/>
    <w:tmpl w:val="DD86F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0"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EA226D"/>
    <w:multiLevelType w:val="hybridMultilevel"/>
    <w:tmpl w:val="E504472C"/>
    <w:lvl w:ilvl="0" w:tplc="619641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7"/>
  </w:num>
  <w:num w:numId="3">
    <w:abstractNumId w:val="45"/>
  </w:num>
  <w:num w:numId="4">
    <w:abstractNumId w:val="9"/>
  </w:num>
  <w:num w:numId="5">
    <w:abstractNumId w:val="16"/>
  </w:num>
  <w:num w:numId="6">
    <w:abstractNumId w:val="34"/>
  </w:num>
  <w:num w:numId="7">
    <w:abstractNumId w:val="24"/>
  </w:num>
  <w:num w:numId="8">
    <w:abstractNumId w:val="46"/>
    <w:lvlOverride w:ilvl="0">
      <w:startOverride w:val="1"/>
    </w:lvlOverride>
  </w:num>
  <w:num w:numId="9">
    <w:abstractNumId w:val="30"/>
  </w:num>
  <w:num w:numId="10">
    <w:abstractNumId w:val="42"/>
  </w:num>
  <w:num w:numId="11">
    <w:abstractNumId w:val="38"/>
  </w:num>
  <w:num w:numId="12">
    <w:abstractNumId w:val="27"/>
  </w:num>
  <w:num w:numId="13">
    <w:abstractNumId w:val="36"/>
  </w:num>
  <w:num w:numId="14">
    <w:abstractNumId w:val="32"/>
  </w:num>
  <w:num w:numId="15">
    <w:abstractNumId w:val="8"/>
  </w:num>
  <w:num w:numId="16">
    <w:abstractNumId w:val="22"/>
  </w:num>
  <w:num w:numId="17">
    <w:abstractNumId w:val="3"/>
  </w:num>
  <w:num w:numId="18">
    <w:abstractNumId w:val="35"/>
  </w:num>
  <w:num w:numId="19">
    <w:abstractNumId w:val="13"/>
  </w:num>
  <w:num w:numId="20">
    <w:abstractNumId w:val="1"/>
  </w:num>
  <w:num w:numId="21">
    <w:abstractNumId w:val="12"/>
  </w:num>
  <w:num w:numId="22">
    <w:abstractNumId w:val="44"/>
  </w:num>
  <w:num w:numId="23">
    <w:abstractNumId w:val="18"/>
  </w:num>
  <w:num w:numId="24">
    <w:abstractNumId w:val="17"/>
  </w:num>
  <w:num w:numId="25">
    <w:abstractNumId w:val="28"/>
  </w:num>
  <w:num w:numId="26">
    <w:abstractNumId w:val="40"/>
  </w:num>
  <w:num w:numId="27">
    <w:abstractNumId w:val="29"/>
  </w:num>
  <w:num w:numId="28">
    <w:abstractNumId w:val="19"/>
  </w:num>
  <w:num w:numId="29">
    <w:abstractNumId w:val="10"/>
  </w:num>
  <w:num w:numId="30">
    <w:abstractNumId w:val="14"/>
  </w:num>
  <w:num w:numId="31">
    <w:abstractNumId w:val="6"/>
  </w:num>
  <w:num w:numId="32">
    <w:abstractNumId w:val="11"/>
  </w:num>
  <w:num w:numId="33">
    <w:abstractNumId w:val="21"/>
  </w:num>
  <w:num w:numId="34">
    <w:abstractNumId w:val="23"/>
  </w:num>
  <w:num w:numId="35">
    <w:abstractNumId w:val="4"/>
  </w:num>
  <w:num w:numId="36">
    <w:abstractNumId w:val="0"/>
  </w:num>
  <w:num w:numId="37">
    <w:abstractNumId w:val="31"/>
  </w:num>
  <w:num w:numId="38">
    <w:abstractNumId w:val="7"/>
  </w:num>
  <w:num w:numId="39">
    <w:abstractNumId w:val="39"/>
  </w:num>
  <w:num w:numId="40">
    <w:abstractNumId w:val="43"/>
  </w:num>
  <w:num w:numId="41">
    <w:abstractNumId w:val="33"/>
  </w:num>
  <w:num w:numId="42">
    <w:abstractNumId w:val="20"/>
  </w:num>
  <w:num w:numId="43">
    <w:abstractNumId w:val="15"/>
  </w:num>
  <w:num w:numId="44">
    <w:abstractNumId w:val="2"/>
  </w:num>
  <w:num w:numId="45">
    <w:abstractNumId w:val="26"/>
  </w:num>
  <w:num w:numId="46">
    <w:abstractNumId w:val="41"/>
  </w:num>
  <w:num w:numId="47">
    <w:abstractNumId w:val="5"/>
  </w:num>
  <w:num w:numId="48">
    <w:abstractNumId w:val="25"/>
  </w:num>
  <w:num w:numId="49">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CF5"/>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003"/>
    <w:rsid w:val="000132AD"/>
    <w:rsid w:val="00013333"/>
    <w:rsid w:val="000138F3"/>
    <w:rsid w:val="000139BA"/>
    <w:rsid w:val="000139F7"/>
    <w:rsid w:val="00013A12"/>
    <w:rsid w:val="00013DD7"/>
    <w:rsid w:val="00013E66"/>
    <w:rsid w:val="00013ED9"/>
    <w:rsid w:val="00013FF5"/>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4FF"/>
    <w:rsid w:val="00017A58"/>
    <w:rsid w:val="000204A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57DF2"/>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5DD"/>
    <w:rsid w:val="000668FB"/>
    <w:rsid w:val="00066A6E"/>
    <w:rsid w:val="00066A6F"/>
    <w:rsid w:val="00066D8F"/>
    <w:rsid w:val="00066F27"/>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17E"/>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7EA"/>
    <w:rsid w:val="000969FD"/>
    <w:rsid w:val="000972E8"/>
    <w:rsid w:val="00097968"/>
    <w:rsid w:val="00097D02"/>
    <w:rsid w:val="000A0208"/>
    <w:rsid w:val="000A0ADD"/>
    <w:rsid w:val="000A0B23"/>
    <w:rsid w:val="000A1238"/>
    <w:rsid w:val="000A1276"/>
    <w:rsid w:val="000A1326"/>
    <w:rsid w:val="000A1400"/>
    <w:rsid w:val="000A1653"/>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DE8"/>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0C1"/>
    <w:rsid w:val="000E419D"/>
    <w:rsid w:val="000E4385"/>
    <w:rsid w:val="000E4622"/>
    <w:rsid w:val="000E4D93"/>
    <w:rsid w:val="000E5368"/>
    <w:rsid w:val="000E552B"/>
    <w:rsid w:val="000E57C2"/>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92B"/>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4A3"/>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1D"/>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05A"/>
    <w:rsid w:val="001415CD"/>
    <w:rsid w:val="00141652"/>
    <w:rsid w:val="001417C8"/>
    <w:rsid w:val="00141BB8"/>
    <w:rsid w:val="00141BC1"/>
    <w:rsid w:val="00141DD2"/>
    <w:rsid w:val="00141EFA"/>
    <w:rsid w:val="00141F06"/>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464"/>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C06"/>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101"/>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D12"/>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4E2"/>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DE0"/>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4F3"/>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4E7"/>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881"/>
    <w:rsid w:val="001E5958"/>
    <w:rsid w:val="001E5BD7"/>
    <w:rsid w:val="001E5C6E"/>
    <w:rsid w:val="001E5D7A"/>
    <w:rsid w:val="001E601F"/>
    <w:rsid w:val="001E6605"/>
    <w:rsid w:val="001E6DBA"/>
    <w:rsid w:val="001E6F22"/>
    <w:rsid w:val="001E72D2"/>
    <w:rsid w:val="001E73F9"/>
    <w:rsid w:val="001E7803"/>
    <w:rsid w:val="001E7870"/>
    <w:rsid w:val="001E7B63"/>
    <w:rsid w:val="001E7CA6"/>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0DA"/>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C4"/>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A92"/>
    <w:rsid w:val="00222C40"/>
    <w:rsid w:val="00222D1D"/>
    <w:rsid w:val="002230A2"/>
    <w:rsid w:val="00223392"/>
    <w:rsid w:val="00223A26"/>
    <w:rsid w:val="00223D1D"/>
    <w:rsid w:val="00223D2D"/>
    <w:rsid w:val="0022417A"/>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4E"/>
    <w:rsid w:val="00232F73"/>
    <w:rsid w:val="00232FDD"/>
    <w:rsid w:val="00233007"/>
    <w:rsid w:val="00233355"/>
    <w:rsid w:val="0023379E"/>
    <w:rsid w:val="00233A2D"/>
    <w:rsid w:val="00233C7C"/>
    <w:rsid w:val="00233EC2"/>
    <w:rsid w:val="0023451E"/>
    <w:rsid w:val="0023458E"/>
    <w:rsid w:val="0023468F"/>
    <w:rsid w:val="00234758"/>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8E2"/>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20A"/>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57E"/>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2E8"/>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2EC"/>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988"/>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8F3"/>
    <w:rsid w:val="002D5AB4"/>
    <w:rsid w:val="002D5B48"/>
    <w:rsid w:val="002D5DDD"/>
    <w:rsid w:val="002D67D5"/>
    <w:rsid w:val="002D7484"/>
    <w:rsid w:val="002D7487"/>
    <w:rsid w:val="002D74E0"/>
    <w:rsid w:val="002D75FB"/>
    <w:rsid w:val="002D773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CE8"/>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D2E"/>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841"/>
    <w:rsid w:val="002F5AF2"/>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4F41"/>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394"/>
    <w:rsid w:val="00322EBD"/>
    <w:rsid w:val="0032351E"/>
    <w:rsid w:val="00323C51"/>
    <w:rsid w:val="00323F04"/>
    <w:rsid w:val="003242BC"/>
    <w:rsid w:val="003245F2"/>
    <w:rsid w:val="003246EB"/>
    <w:rsid w:val="00324937"/>
    <w:rsid w:val="00324F75"/>
    <w:rsid w:val="00325971"/>
    <w:rsid w:val="003259D4"/>
    <w:rsid w:val="00325BE8"/>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3CE"/>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EA6"/>
    <w:rsid w:val="00336F9E"/>
    <w:rsid w:val="00337033"/>
    <w:rsid w:val="00337613"/>
    <w:rsid w:val="00337A5E"/>
    <w:rsid w:val="003403F7"/>
    <w:rsid w:val="00340426"/>
    <w:rsid w:val="0034071C"/>
    <w:rsid w:val="00340A4D"/>
    <w:rsid w:val="0034102D"/>
    <w:rsid w:val="00341113"/>
    <w:rsid w:val="0034157C"/>
    <w:rsid w:val="00341852"/>
    <w:rsid w:val="0034192F"/>
    <w:rsid w:val="0034193D"/>
    <w:rsid w:val="00342403"/>
    <w:rsid w:val="00342618"/>
    <w:rsid w:val="003427F4"/>
    <w:rsid w:val="00342B55"/>
    <w:rsid w:val="00342E6A"/>
    <w:rsid w:val="003431E9"/>
    <w:rsid w:val="00343681"/>
    <w:rsid w:val="00343C1E"/>
    <w:rsid w:val="00343DF8"/>
    <w:rsid w:val="00344136"/>
    <w:rsid w:val="003443B7"/>
    <w:rsid w:val="00344EE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7A"/>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A2D"/>
    <w:rsid w:val="00370B37"/>
    <w:rsid w:val="00370CDE"/>
    <w:rsid w:val="0037138E"/>
    <w:rsid w:val="003718E6"/>
    <w:rsid w:val="00371D2B"/>
    <w:rsid w:val="00371F2A"/>
    <w:rsid w:val="003720AD"/>
    <w:rsid w:val="0037238B"/>
    <w:rsid w:val="003723B0"/>
    <w:rsid w:val="003725DD"/>
    <w:rsid w:val="00372755"/>
    <w:rsid w:val="00372793"/>
    <w:rsid w:val="00372888"/>
    <w:rsid w:val="003729CA"/>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5F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5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E6"/>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23"/>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28"/>
    <w:rsid w:val="003D4F62"/>
    <w:rsid w:val="003D5120"/>
    <w:rsid w:val="003D53C0"/>
    <w:rsid w:val="003D551D"/>
    <w:rsid w:val="003D57C4"/>
    <w:rsid w:val="003D58DE"/>
    <w:rsid w:val="003D5ACD"/>
    <w:rsid w:val="003D5BCF"/>
    <w:rsid w:val="003D5FB8"/>
    <w:rsid w:val="003D67B6"/>
    <w:rsid w:val="003D68F7"/>
    <w:rsid w:val="003D6C47"/>
    <w:rsid w:val="003D6CF7"/>
    <w:rsid w:val="003D6E2C"/>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58B"/>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81A"/>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2A"/>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1FA"/>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CDC"/>
    <w:rsid w:val="00405EE7"/>
    <w:rsid w:val="00405F8D"/>
    <w:rsid w:val="004061B0"/>
    <w:rsid w:val="004063A7"/>
    <w:rsid w:val="0040699C"/>
    <w:rsid w:val="00406F89"/>
    <w:rsid w:val="00407094"/>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31B"/>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3"/>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190"/>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40"/>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2D57"/>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B9"/>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EF9"/>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4F6B"/>
    <w:rsid w:val="00475475"/>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18B"/>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CF7"/>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3EB4"/>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668"/>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1C"/>
    <w:rsid w:val="004E782E"/>
    <w:rsid w:val="004E78C8"/>
    <w:rsid w:val="004E7BB7"/>
    <w:rsid w:val="004F0299"/>
    <w:rsid w:val="004F05EC"/>
    <w:rsid w:val="004F0733"/>
    <w:rsid w:val="004F0829"/>
    <w:rsid w:val="004F09EB"/>
    <w:rsid w:val="004F0A6E"/>
    <w:rsid w:val="004F0EDA"/>
    <w:rsid w:val="004F1674"/>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34F"/>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A5D"/>
    <w:rsid w:val="00510BF5"/>
    <w:rsid w:val="00511476"/>
    <w:rsid w:val="005114E7"/>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347"/>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026"/>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7B1"/>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057"/>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AF"/>
    <w:rsid w:val="005711FF"/>
    <w:rsid w:val="00571231"/>
    <w:rsid w:val="00571365"/>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43B"/>
    <w:rsid w:val="00575579"/>
    <w:rsid w:val="00575E63"/>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E78"/>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5A9"/>
    <w:rsid w:val="005B08BA"/>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01B"/>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29C1"/>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1BD"/>
    <w:rsid w:val="0060152F"/>
    <w:rsid w:val="00601E48"/>
    <w:rsid w:val="00601FF2"/>
    <w:rsid w:val="00602EFC"/>
    <w:rsid w:val="00603617"/>
    <w:rsid w:val="00603D2B"/>
    <w:rsid w:val="00603F89"/>
    <w:rsid w:val="00604099"/>
    <w:rsid w:val="006041A7"/>
    <w:rsid w:val="006043F8"/>
    <w:rsid w:val="006046B6"/>
    <w:rsid w:val="00604C2C"/>
    <w:rsid w:val="00604D89"/>
    <w:rsid w:val="00604DA3"/>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4F"/>
    <w:rsid w:val="006162EC"/>
    <w:rsid w:val="006167D4"/>
    <w:rsid w:val="0061685D"/>
    <w:rsid w:val="0061700B"/>
    <w:rsid w:val="006173AF"/>
    <w:rsid w:val="00617706"/>
    <w:rsid w:val="006178BC"/>
    <w:rsid w:val="00617BB7"/>
    <w:rsid w:val="00617D39"/>
    <w:rsid w:val="00617EC1"/>
    <w:rsid w:val="00617F8F"/>
    <w:rsid w:val="00620232"/>
    <w:rsid w:val="006205C1"/>
    <w:rsid w:val="00620D0A"/>
    <w:rsid w:val="00620E6F"/>
    <w:rsid w:val="00621000"/>
    <w:rsid w:val="00621293"/>
    <w:rsid w:val="00621477"/>
    <w:rsid w:val="0062180E"/>
    <w:rsid w:val="00622D0F"/>
    <w:rsid w:val="006231B0"/>
    <w:rsid w:val="0062340D"/>
    <w:rsid w:val="006235DE"/>
    <w:rsid w:val="0062365C"/>
    <w:rsid w:val="00623C0E"/>
    <w:rsid w:val="00623EFB"/>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1"/>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67EE5"/>
    <w:rsid w:val="0067052F"/>
    <w:rsid w:val="00670DE7"/>
    <w:rsid w:val="0067127C"/>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11E"/>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03E"/>
    <w:rsid w:val="006A219B"/>
    <w:rsid w:val="006A2474"/>
    <w:rsid w:val="006A26A1"/>
    <w:rsid w:val="006A2708"/>
    <w:rsid w:val="006A2793"/>
    <w:rsid w:val="006A28BE"/>
    <w:rsid w:val="006A2CE8"/>
    <w:rsid w:val="006A2E0D"/>
    <w:rsid w:val="006A359A"/>
    <w:rsid w:val="006A40FB"/>
    <w:rsid w:val="006A4801"/>
    <w:rsid w:val="006A4834"/>
    <w:rsid w:val="006A4C8D"/>
    <w:rsid w:val="006A4E2E"/>
    <w:rsid w:val="006A4F28"/>
    <w:rsid w:val="006A4FF4"/>
    <w:rsid w:val="006A52BF"/>
    <w:rsid w:val="006A549A"/>
    <w:rsid w:val="006A5AF2"/>
    <w:rsid w:val="006A5C19"/>
    <w:rsid w:val="006A5DEF"/>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C5E"/>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B42"/>
    <w:rsid w:val="006D3D0F"/>
    <w:rsid w:val="006D3E18"/>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DAD"/>
    <w:rsid w:val="006D6E72"/>
    <w:rsid w:val="006D7134"/>
    <w:rsid w:val="006D7178"/>
    <w:rsid w:val="006D73ED"/>
    <w:rsid w:val="006D73FB"/>
    <w:rsid w:val="006D7740"/>
    <w:rsid w:val="006D7BDC"/>
    <w:rsid w:val="006D7EAD"/>
    <w:rsid w:val="006D7ECB"/>
    <w:rsid w:val="006E0370"/>
    <w:rsid w:val="006E0E9E"/>
    <w:rsid w:val="006E0F63"/>
    <w:rsid w:val="006E1076"/>
    <w:rsid w:val="006E198F"/>
    <w:rsid w:val="006E1B28"/>
    <w:rsid w:val="006E1C9D"/>
    <w:rsid w:val="006E1D6C"/>
    <w:rsid w:val="006E21FC"/>
    <w:rsid w:val="006E22A8"/>
    <w:rsid w:val="006E249F"/>
    <w:rsid w:val="006E24B4"/>
    <w:rsid w:val="006E2505"/>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0C8"/>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CF0"/>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CBE"/>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E56"/>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B05"/>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B2E"/>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B94"/>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F3C"/>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7C"/>
    <w:rsid w:val="007E0D76"/>
    <w:rsid w:val="007E0D84"/>
    <w:rsid w:val="007E1275"/>
    <w:rsid w:val="007E15E1"/>
    <w:rsid w:val="007E1EF8"/>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E6C"/>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40"/>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0927"/>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15E"/>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90C"/>
    <w:rsid w:val="00821A04"/>
    <w:rsid w:val="00821CC6"/>
    <w:rsid w:val="00821CC7"/>
    <w:rsid w:val="00821CCC"/>
    <w:rsid w:val="00821E69"/>
    <w:rsid w:val="008221DD"/>
    <w:rsid w:val="008223E0"/>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FF"/>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7BF"/>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47B"/>
    <w:rsid w:val="0087439C"/>
    <w:rsid w:val="008745A7"/>
    <w:rsid w:val="008749AF"/>
    <w:rsid w:val="00874A25"/>
    <w:rsid w:val="00874DFD"/>
    <w:rsid w:val="00874E67"/>
    <w:rsid w:val="0087541C"/>
    <w:rsid w:val="00875482"/>
    <w:rsid w:val="0087549F"/>
    <w:rsid w:val="008754A1"/>
    <w:rsid w:val="0087558C"/>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6D6"/>
    <w:rsid w:val="00885A76"/>
    <w:rsid w:val="00885EA8"/>
    <w:rsid w:val="008860F2"/>
    <w:rsid w:val="00886118"/>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2EA"/>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3AE0"/>
    <w:rsid w:val="008B42B2"/>
    <w:rsid w:val="008B45F7"/>
    <w:rsid w:val="008B4769"/>
    <w:rsid w:val="008B48D0"/>
    <w:rsid w:val="008B4C54"/>
    <w:rsid w:val="008B4D27"/>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2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36E"/>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2E3B"/>
    <w:rsid w:val="008E3146"/>
    <w:rsid w:val="008E34FF"/>
    <w:rsid w:val="008E3533"/>
    <w:rsid w:val="008E3AAC"/>
    <w:rsid w:val="008E3C04"/>
    <w:rsid w:val="008E41B8"/>
    <w:rsid w:val="008E4318"/>
    <w:rsid w:val="008E431B"/>
    <w:rsid w:val="008E4558"/>
    <w:rsid w:val="008E4702"/>
    <w:rsid w:val="008E51F3"/>
    <w:rsid w:val="008E5AFD"/>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C69"/>
    <w:rsid w:val="00901F7D"/>
    <w:rsid w:val="00902307"/>
    <w:rsid w:val="0090265D"/>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502"/>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4E67"/>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63"/>
    <w:rsid w:val="009339EC"/>
    <w:rsid w:val="00933B2F"/>
    <w:rsid w:val="00933C47"/>
    <w:rsid w:val="00934019"/>
    <w:rsid w:val="009340B4"/>
    <w:rsid w:val="0093433E"/>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1B0"/>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816"/>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F7"/>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55B"/>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1A1"/>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EE6"/>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858"/>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43"/>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8F"/>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061"/>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22"/>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1A"/>
    <w:rsid w:val="00A479B1"/>
    <w:rsid w:val="00A47C64"/>
    <w:rsid w:val="00A47DEB"/>
    <w:rsid w:val="00A47F10"/>
    <w:rsid w:val="00A503EF"/>
    <w:rsid w:val="00A50607"/>
    <w:rsid w:val="00A506A9"/>
    <w:rsid w:val="00A50783"/>
    <w:rsid w:val="00A50898"/>
    <w:rsid w:val="00A508B0"/>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A89"/>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48A"/>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271"/>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A2F"/>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BD8"/>
    <w:rsid w:val="00AD1E27"/>
    <w:rsid w:val="00AD204D"/>
    <w:rsid w:val="00AD2172"/>
    <w:rsid w:val="00AD2519"/>
    <w:rsid w:val="00AD2599"/>
    <w:rsid w:val="00AD2811"/>
    <w:rsid w:val="00AD292A"/>
    <w:rsid w:val="00AD2C3C"/>
    <w:rsid w:val="00AD2DF4"/>
    <w:rsid w:val="00AD3125"/>
    <w:rsid w:val="00AD35E6"/>
    <w:rsid w:val="00AD35EB"/>
    <w:rsid w:val="00AD3601"/>
    <w:rsid w:val="00AD36DC"/>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C3C"/>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89A"/>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43B"/>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6A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5F5B"/>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6FD"/>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21"/>
    <w:rsid w:val="00B72AB2"/>
    <w:rsid w:val="00B7336F"/>
    <w:rsid w:val="00B734D0"/>
    <w:rsid w:val="00B73779"/>
    <w:rsid w:val="00B73820"/>
    <w:rsid w:val="00B73826"/>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051"/>
    <w:rsid w:val="00B92430"/>
    <w:rsid w:val="00B92513"/>
    <w:rsid w:val="00B92633"/>
    <w:rsid w:val="00B92686"/>
    <w:rsid w:val="00B92BD1"/>
    <w:rsid w:val="00B92F2B"/>
    <w:rsid w:val="00B937C5"/>
    <w:rsid w:val="00B93B36"/>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307"/>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DBB"/>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19B"/>
    <w:rsid w:val="00BB12E8"/>
    <w:rsid w:val="00BB1770"/>
    <w:rsid w:val="00BB1BEA"/>
    <w:rsid w:val="00BB1C65"/>
    <w:rsid w:val="00BB1D7C"/>
    <w:rsid w:val="00BB1E35"/>
    <w:rsid w:val="00BB251B"/>
    <w:rsid w:val="00BB2531"/>
    <w:rsid w:val="00BB267E"/>
    <w:rsid w:val="00BB27D6"/>
    <w:rsid w:val="00BB339F"/>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4CC"/>
    <w:rsid w:val="00BC157B"/>
    <w:rsid w:val="00BC177B"/>
    <w:rsid w:val="00BC1AAD"/>
    <w:rsid w:val="00BC1D39"/>
    <w:rsid w:val="00BC1E6E"/>
    <w:rsid w:val="00BC2054"/>
    <w:rsid w:val="00BC20F0"/>
    <w:rsid w:val="00BC230E"/>
    <w:rsid w:val="00BC2388"/>
    <w:rsid w:val="00BC26F5"/>
    <w:rsid w:val="00BC28BC"/>
    <w:rsid w:val="00BC291F"/>
    <w:rsid w:val="00BC295B"/>
    <w:rsid w:val="00BC2AC5"/>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3AD"/>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B06"/>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61"/>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9D7"/>
    <w:rsid w:val="00BF3B08"/>
    <w:rsid w:val="00BF3DA3"/>
    <w:rsid w:val="00BF3E61"/>
    <w:rsid w:val="00BF40A8"/>
    <w:rsid w:val="00BF40D3"/>
    <w:rsid w:val="00BF44BB"/>
    <w:rsid w:val="00BF4B25"/>
    <w:rsid w:val="00BF4E08"/>
    <w:rsid w:val="00BF50C5"/>
    <w:rsid w:val="00BF54C9"/>
    <w:rsid w:val="00BF54EA"/>
    <w:rsid w:val="00BF5A49"/>
    <w:rsid w:val="00BF5D07"/>
    <w:rsid w:val="00BF5FF3"/>
    <w:rsid w:val="00BF60A0"/>
    <w:rsid w:val="00BF611D"/>
    <w:rsid w:val="00BF61EE"/>
    <w:rsid w:val="00BF61EF"/>
    <w:rsid w:val="00BF66F2"/>
    <w:rsid w:val="00BF69EA"/>
    <w:rsid w:val="00BF6D1B"/>
    <w:rsid w:val="00BF6DCD"/>
    <w:rsid w:val="00BF6DE7"/>
    <w:rsid w:val="00BF70A0"/>
    <w:rsid w:val="00BF713A"/>
    <w:rsid w:val="00BF77DC"/>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281"/>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4D90"/>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814"/>
    <w:rsid w:val="00C24D98"/>
    <w:rsid w:val="00C24DDB"/>
    <w:rsid w:val="00C25247"/>
    <w:rsid w:val="00C25343"/>
    <w:rsid w:val="00C25821"/>
    <w:rsid w:val="00C25B19"/>
    <w:rsid w:val="00C25F1C"/>
    <w:rsid w:val="00C25F63"/>
    <w:rsid w:val="00C26169"/>
    <w:rsid w:val="00C2618B"/>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2ED"/>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9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5B"/>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B5D"/>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049"/>
    <w:rsid w:val="00C76350"/>
    <w:rsid w:val="00C76A00"/>
    <w:rsid w:val="00C76C72"/>
    <w:rsid w:val="00C76EC8"/>
    <w:rsid w:val="00C77496"/>
    <w:rsid w:val="00C77626"/>
    <w:rsid w:val="00C7771B"/>
    <w:rsid w:val="00C777BD"/>
    <w:rsid w:val="00C77942"/>
    <w:rsid w:val="00C77E3A"/>
    <w:rsid w:val="00C802C2"/>
    <w:rsid w:val="00C802E1"/>
    <w:rsid w:val="00C803A0"/>
    <w:rsid w:val="00C80413"/>
    <w:rsid w:val="00C80655"/>
    <w:rsid w:val="00C8088F"/>
    <w:rsid w:val="00C80B09"/>
    <w:rsid w:val="00C80D4F"/>
    <w:rsid w:val="00C80FB1"/>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A4C"/>
    <w:rsid w:val="00C84B64"/>
    <w:rsid w:val="00C84DAB"/>
    <w:rsid w:val="00C8523E"/>
    <w:rsid w:val="00C85670"/>
    <w:rsid w:val="00C86658"/>
    <w:rsid w:val="00C86ACF"/>
    <w:rsid w:val="00C86C60"/>
    <w:rsid w:val="00C86D83"/>
    <w:rsid w:val="00C870D5"/>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589"/>
    <w:rsid w:val="00CA7B33"/>
    <w:rsid w:val="00CA7B6F"/>
    <w:rsid w:val="00CA7F6C"/>
    <w:rsid w:val="00CB005C"/>
    <w:rsid w:val="00CB04C2"/>
    <w:rsid w:val="00CB0E20"/>
    <w:rsid w:val="00CB1049"/>
    <w:rsid w:val="00CB16CC"/>
    <w:rsid w:val="00CB1732"/>
    <w:rsid w:val="00CB1A08"/>
    <w:rsid w:val="00CB1ADD"/>
    <w:rsid w:val="00CB1E40"/>
    <w:rsid w:val="00CB1F6C"/>
    <w:rsid w:val="00CB2153"/>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07A"/>
    <w:rsid w:val="00CF4868"/>
    <w:rsid w:val="00CF49A0"/>
    <w:rsid w:val="00CF4CDA"/>
    <w:rsid w:val="00CF55D5"/>
    <w:rsid w:val="00CF5D75"/>
    <w:rsid w:val="00CF62FC"/>
    <w:rsid w:val="00CF634B"/>
    <w:rsid w:val="00CF6A3E"/>
    <w:rsid w:val="00CF76BF"/>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707"/>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E1F"/>
    <w:rsid w:val="00D13FC2"/>
    <w:rsid w:val="00D140E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61"/>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CB8"/>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676DD"/>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AF4"/>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C83"/>
    <w:rsid w:val="00D83D87"/>
    <w:rsid w:val="00D83DBC"/>
    <w:rsid w:val="00D84097"/>
    <w:rsid w:val="00D84527"/>
    <w:rsid w:val="00D84918"/>
    <w:rsid w:val="00D84B4E"/>
    <w:rsid w:val="00D84CD1"/>
    <w:rsid w:val="00D85040"/>
    <w:rsid w:val="00D8529D"/>
    <w:rsid w:val="00D8543A"/>
    <w:rsid w:val="00D8584A"/>
    <w:rsid w:val="00D85880"/>
    <w:rsid w:val="00D8592E"/>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362"/>
    <w:rsid w:val="00D94405"/>
    <w:rsid w:val="00D9457B"/>
    <w:rsid w:val="00D94723"/>
    <w:rsid w:val="00D9497B"/>
    <w:rsid w:val="00D94A7E"/>
    <w:rsid w:val="00D94A96"/>
    <w:rsid w:val="00D94BE2"/>
    <w:rsid w:val="00D95116"/>
    <w:rsid w:val="00D9526D"/>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93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A1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3F9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A7C"/>
    <w:rsid w:val="00DB7CE3"/>
    <w:rsid w:val="00DC038A"/>
    <w:rsid w:val="00DC03EC"/>
    <w:rsid w:val="00DC09BA"/>
    <w:rsid w:val="00DC0A2D"/>
    <w:rsid w:val="00DC0B0F"/>
    <w:rsid w:val="00DC1519"/>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6DB"/>
    <w:rsid w:val="00DD0A9D"/>
    <w:rsid w:val="00DD0EF1"/>
    <w:rsid w:val="00DD106E"/>
    <w:rsid w:val="00DD10DC"/>
    <w:rsid w:val="00DD10E0"/>
    <w:rsid w:val="00DD116B"/>
    <w:rsid w:val="00DD176C"/>
    <w:rsid w:val="00DD1E60"/>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2F"/>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9BF"/>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0CC"/>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7B2"/>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E4"/>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B8"/>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8EE"/>
    <w:rsid w:val="00E7196F"/>
    <w:rsid w:val="00E71D27"/>
    <w:rsid w:val="00E71F94"/>
    <w:rsid w:val="00E72358"/>
    <w:rsid w:val="00E72531"/>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380"/>
    <w:rsid w:val="00E95430"/>
    <w:rsid w:val="00E9557B"/>
    <w:rsid w:val="00E95A4D"/>
    <w:rsid w:val="00E95CF5"/>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1F1"/>
    <w:rsid w:val="00EA2299"/>
    <w:rsid w:val="00EA22B3"/>
    <w:rsid w:val="00EA2AC7"/>
    <w:rsid w:val="00EA30BD"/>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46"/>
    <w:rsid w:val="00EC2379"/>
    <w:rsid w:val="00EC24E6"/>
    <w:rsid w:val="00EC2969"/>
    <w:rsid w:val="00EC2B10"/>
    <w:rsid w:val="00EC2CA1"/>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7EF"/>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4E80"/>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591"/>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066"/>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0C2"/>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422"/>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3F3C"/>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7D4"/>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3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662"/>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4E37"/>
    <w:rsid w:val="00F75089"/>
    <w:rsid w:val="00F75134"/>
    <w:rsid w:val="00F751D0"/>
    <w:rsid w:val="00F759D4"/>
    <w:rsid w:val="00F75C6D"/>
    <w:rsid w:val="00F75DEB"/>
    <w:rsid w:val="00F75EA0"/>
    <w:rsid w:val="00F75EBE"/>
    <w:rsid w:val="00F75FF6"/>
    <w:rsid w:val="00F762D7"/>
    <w:rsid w:val="00F7689F"/>
    <w:rsid w:val="00F76AE0"/>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5F97"/>
    <w:rsid w:val="00F86263"/>
    <w:rsid w:val="00F867B2"/>
    <w:rsid w:val="00F86ACE"/>
    <w:rsid w:val="00F86CE6"/>
    <w:rsid w:val="00F86D50"/>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566"/>
    <w:rsid w:val="00FA1C4F"/>
    <w:rsid w:val="00FA1F40"/>
    <w:rsid w:val="00FA1FF6"/>
    <w:rsid w:val="00FA29B9"/>
    <w:rsid w:val="00FA2A1F"/>
    <w:rsid w:val="00FA2B7A"/>
    <w:rsid w:val="00FA2BA9"/>
    <w:rsid w:val="00FA2C52"/>
    <w:rsid w:val="00FA2D75"/>
    <w:rsid w:val="00FA2F8E"/>
    <w:rsid w:val="00FA30D6"/>
    <w:rsid w:val="00FA31CF"/>
    <w:rsid w:val="00FA3CCA"/>
    <w:rsid w:val="00FA3CE3"/>
    <w:rsid w:val="00FA3F14"/>
    <w:rsid w:val="00FA3F35"/>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6E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99D"/>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1C"/>
    <w:rsid w:val="00FE69C5"/>
    <w:rsid w:val="00FE6DFD"/>
    <w:rsid w:val="00FE6E2E"/>
    <w:rsid w:val="00FE79E2"/>
    <w:rsid w:val="00FE7CC5"/>
    <w:rsid w:val="00FE7EB7"/>
    <w:rsid w:val="00FF0B52"/>
    <w:rsid w:val="00FF0C6E"/>
    <w:rsid w:val="00FF0DAF"/>
    <w:rsid w:val="00FF1437"/>
    <w:rsid w:val="00FF14AD"/>
    <w:rsid w:val="00FF14B4"/>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54E"/>
    <w:rsid w:val="00FF684C"/>
    <w:rsid w:val="00FF70C4"/>
    <w:rsid w:val="00FF7193"/>
    <w:rsid w:val="00FF7489"/>
    <w:rsid w:val="00FF7568"/>
    <w:rsid w:val="00FF7674"/>
    <w:rsid w:val="00FF77FE"/>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01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TableGrid1">
    <w:name w:val="TableGrid1"/>
    <w:basedOn w:val="a1"/>
    <w:next w:val="afa"/>
    <w:uiPriority w:val="39"/>
    <w:qFormat/>
    <w:rsid w:val="009026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a"/>
    <w:qFormat/>
    <w:rsid w:val="00C0528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1B1D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E441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22A77FA-4078-4ED2-B001-7E8B0000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51705</TotalTime>
  <Pages>1</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425</cp:revision>
  <cp:lastPrinted>2009-04-22T06:01:00Z</cp:lastPrinted>
  <dcterms:created xsi:type="dcterms:W3CDTF">2023-05-06T02:02:00Z</dcterms:created>
  <dcterms:modified xsi:type="dcterms:W3CDTF">2025-03-28T08:22:00Z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