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428F9" w14:textId="0643556C" w:rsidR="00D65D82" w:rsidRPr="006B3CCB" w:rsidRDefault="00E23D31" w:rsidP="009B5529">
      <w:pPr>
        <w:spacing w:after="0"/>
        <w:ind w:left="1985" w:hanging="1985"/>
        <w:jc w:val="both"/>
        <w:rPr>
          <w:rFonts w:ascii="Arial" w:eastAsia="Arial" w:hAnsi="Arial"/>
          <w:b/>
          <w:bCs/>
          <w:sz w:val="22"/>
        </w:rPr>
      </w:pPr>
      <w:r w:rsidRPr="006B3CCB">
        <w:rPr>
          <w:rFonts w:ascii="Arial" w:eastAsiaTheme="minorEastAsia" w:hAnsi="Arial" w:cs="Arial"/>
          <w:b/>
          <w:sz w:val="24"/>
          <w:szCs w:val="24"/>
          <w:lang w:eastAsia="zh-CN"/>
        </w:rPr>
        <w:t>3GPP TSG-RAN WG4 Meeting #11</w:t>
      </w:r>
      <w:r w:rsidR="006815C4" w:rsidRPr="006B3CCB">
        <w:rPr>
          <w:rFonts w:ascii="Arial" w:eastAsiaTheme="minorEastAsia" w:hAnsi="Arial" w:cs="Arial"/>
          <w:b/>
          <w:sz w:val="24"/>
          <w:szCs w:val="24"/>
          <w:lang w:eastAsia="zh-CN"/>
        </w:rPr>
        <w:t>4</w:t>
      </w:r>
      <w:r w:rsidR="006B3BE6" w:rsidRPr="006B3CCB">
        <w:rPr>
          <w:rFonts w:ascii="Arial" w:eastAsiaTheme="minorEastAsia" w:hAnsi="Arial" w:cs="Arial"/>
          <w:b/>
          <w:sz w:val="24"/>
          <w:szCs w:val="24"/>
          <w:lang w:eastAsia="zh-CN"/>
        </w:rPr>
        <w:t xml:space="preserve">       </w:t>
      </w:r>
      <w:r w:rsidR="004D4D72" w:rsidRPr="006B3CCB">
        <w:rPr>
          <w:rFonts w:ascii="Arial" w:eastAsiaTheme="minorEastAsia" w:hAnsi="Arial" w:cs="Arial"/>
          <w:b/>
          <w:sz w:val="24"/>
          <w:szCs w:val="24"/>
          <w:lang w:eastAsia="zh-CN"/>
        </w:rPr>
        <w:tab/>
      </w:r>
      <w:r w:rsidR="004D4D72" w:rsidRPr="006B3CCB">
        <w:rPr>
          <w:rFonts w:ascii="Arial" w:eastAsiaTheme="minorEastAsia" w:hAnsi="Arial" w:cs="Arial"/>
          <w:b/>
          <w:sz w:val="24"/>
          <w:szCs w:val="24"/>
          <w:lang w:eastAsia="zh-CN"/>
        </w:rPr>
        <w:tab/>
      </w:r>
      <w:r w:rsidR="004D4D72" w:rsidRPr="006B3CCB">
        <w:rPr>
          <w:rFonts w:ascii="Arial" w:eastAsiaTheme="minorEastAsia" w:hAnsi="Arial" w:cs="Arial"/>
          <w:b/>
          <w:sz w:val="24"/>
          <w:szCs w:val="24"/>
          <w:lang w:eastAsia="zh-CN"/>
        </w:rPr>
        <w:tab/>
      </w:r>
      <w:r w:rsidR="004D4D72" w:rsidRPr="006B3CCB">
        <w:rPr>
          <w:rFonts w:ascii="Arial" w:eastAsiaTheme="minorEastAsia" w:hAnsi="Arial" w:cs="Arial"/>
          <w:b/>
          <w:sz w:val="24"/>
          <w:szCs w:val="24"/>
          <w:lang w:eastAsia="zh-CN"/>
        </w:rPr>
        <w:tab/>
      </w:r>
      <w:r w:rsidR="004D4D72" w:rsidRPr="006B3CCB">
        <w:rPr>
          <w:rFonts w:ascii="Arial" w:eastAsiaTheme="minorEastAsia" w:hAnsi="Arial" w:cs="Arial"/>
          <w:b/>
          <w:sz w:val="24"/>
          <w:szCs w:val="24"/>
          <w:lang w:eastAsia="zh-CN"/>
        </w:rPr>
        <w:tab/>
      </w:r>
      <w:r w:rsidR="004D4D72" w:rsidRPr="006B3CCB">
        <w:rPr>
          <w:rFonts w:ascii="Arial" w:eastAsiaTheme="minorEastAsia" w:hAnsi="Arial" w:cs="Arial"/>
          <w:b/>
          <w:sz w:val="24"/>
          <w:szCs w:val="24"/>
          <w:lang w:eastAsia="zh-CN"/>
        </w:rPr>
        <w:tab/>
      </w:r>
      <w:r w:rsidR="004D4D72" w:rsidRPr="006B3CCB">
        <w:rPr>
          <w:rFonts w:ascii="Arial" w:eastAsiaTheme="minorEastAsia" w:hAnsi="Arial" w:cs="Arial"/>
          <w:b/>
          <w:sz w:val="24"/>
          <w:szCs w:val="24"/>
          <w:lang w:eastAsia="zh-CN"/>
        </w:rPr>
        <w:tab/>
      </w:r>
      <w:r w:rsidR="004D4D72" w:rsidRPr="006B3CCB">
        <w:rPr>
          <w:rFonts w:ascii="Arial" w:eastAsiaTheme="minorEastAsia" w:hAnsi="Arial" w:cs="Arial"/>
          <w:b/>
          <w:sz w:val="24"/>
          <w:szCs w:val="24"/>
          <w:lang w:eastAsia="zh-CN"/>
        </w:rPr>
        <w:tab/>
      </w:r>
      <w:r w:rsidR="004D4D72" w:rsidRPr="006B3CCB">
        <w:rPr>
          <w:rFonts w:ascii="Arial" w:eastAsiaTheme="minorEastAsia" w:hAnsi="Arial" w:cs="Arial"/>
          <w:b/>
          <w:sz w:val="24"/>
          <w:szCs w:val="24"/>
          <w:lang w:eastAsia="zh-CN"/>
        </w:rPr>
        <w:tab/>
      </w:r>
      <w:r w:rsidR="004D4D72" w:rsidRPr="006B3CCB">
        <w:rPr>
          <w:rFonts w:ascii="Arial" w:eastAsiaTheme="minorEastAsia" w:hAnsi="Arial" w:cs="Arial"/>
          <w:b/>
          <w:sz w:val="24"/>
          <w:szCs w:val="24"/>
          <w:lang w:eastAsia="zh-CN"/>
        </w:rPr>
        <w:tab/>
      </w:r>
      <w:r w:rsidR="004D4D72" w:rsidRPr="006B3CCB">
        <w:rPr>
          <w:rFonts w:ascii="Arial" w:eastAsiaTheme="minorEastAsia" w:hAnsi="Arial" w:cs="Arial"/>
          <w:b/>
          <w:sz w:val="24"/>
          <w:szCs w:val="24"/>
          <w:lang w:eastAsia="zh-CN"/>
        </w:rPr>
        <w:tab/>
      </w:r>
      <w:r w:rsidR="004D4D72" w:rsidRPr="006B3CCB">
        <w:rPr>
          <w:rFonts w:ascii="Arial" w:eastAsiaTheme="minorEastAsia" w:hAnsi="Arial" w:cs="Arial"/>
          <w:b/>
          <w:sz w:val="24"/>
          <w:szCs w:val="24"/>
          <w:lang w:eastAsia="zh-CN"/>
        </w:rPr>
        <w:tab/>
      </w:r>
      <w:r w:rsidR="0037589A" w:rsidRPr="006B3CCB">
        <w:rPr>
          <w:rFonts w:ascii="Arial" w:eastAsiaTheme="minorEastAsia" w:hAnsi="Arial" w:cs="Arial"/>
          <w:b/>
          <w:sz w:val="24"/>
          <w:szCs w:val="24"/>
          <w:lang w:eastAsia="zh-CN"/>
        </w:rPr>
        <w:t xml:space="preserve">         </w:t>
      </w:r>
      <w:r w:rsidR="00D05CA8" w:rsidRPr="00D05CA8">
        <w:rPr>
          <w:rFonts w:ascii="Arial" w:eastAsiaTheme="minorEastAsia" w:hAnsi="Arial" w:cs="Arial"/>
          <w:b/>
          <w:sz w:val="24"/>
          <w:szCs w:val="24"/>
          <w:lang w:eastAsia="zh-CN"/>
        </w:rPr>
        <w:t>R4-2502878</w:t>
      </w:r>
    </w:p>
    <w:p w14:paraId="2E647F6C" w14:textId="1DEEBE05" w:rsidR="00D65D82" w:rsidRPr="006B3CCB" w:rsidRDefault="00E23D31">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6B3CCB">
        <w:rPr>
          <w:rFonts w:ascii="Arial" w:eastAsia="MS Mincho" w:hAnsi="Arial" w:cs="Arial"/>
          <w:b/>
          <w:sz w:val="22"/>
          <w:lang w:val="en-US"/>
        </w:rPr>
        <w:t>Agenda item:</w:t>
      </w:r>
      <w:r w:rsidRPr="006B3CCB">
        <w:rPr>
          <w:rFonts w:ascii="Arial" w:eastAsia="MS Mincho" w:hAnsi="Arial" w:cs="Arial"/>
          <w:b/>
          <w:sz w:val="22"/>
          <w:lang w:val="en-US"/>
        </w:rPr>
        <w:tab/>
      </w:r>
      <w:r w:rsidRPr="006B3CCB">
        <w:rPr>
          <w:rFonts w:ascii="Arial" w:eastAsia="MS Mincho" w:hAnsi="Arial" w:cs="Arial" w:hint="eastAsia"/>
          <w:b/>
          <w:sz w:val="22"/>
          <w:lang w:val="en-US" w:eastAsia="ja-JP"/>
        </w:rPr>
        <w:tab/>
      </w:r>
      <w:r w:rsidRPr="006B3CCB">
        <w:rPr>
          <w:rFonts w:ascii="Arial" w:eastAsia="MS Mincho" w:hAnsi="Arial" w:cs="Arial" w:hint="eastAsia"/>
          <w:b/>
          <w:sz w:val="22"/>
          <w:lang w:val="en-US" w:eastAsia="ja-JP"/>
        </w:rPr>
        <w:tab/>
      </w:r>
      <w:r w:rsidR="005125D4" w:rsidRPr="006B3CCB">
        <w:rPr>
          <w:rFonts w:ascii="Arial" w:eastAsiaTheme="minorEastAsia" w:hAnsi="Arial" w:cs="Arial"/>
          <w:sz w:val="22"/>
          <w:lang w:eastAsia="zh-CN"/>
        </w:rPr>
        <w:t>7</w:t>
      </w:r>
      <w:r w:rsidR="00A65426" w:rsidRPr="006B3CCB">
        <w:rPr>
          <w:rFonts w:ascii="Arial" w:eastAsiaTheme="minorEastAsia" w:hAnsi="Arial" w:cs="Arial"/>
          <w:sz w:val="22"/>
          <w:lang w:eastAsia="zh-CN"/>
        </w:rPr>
        <w:t>.1.3</w:t>
      </w:r>
    </w:p>
    <w:p w14:paraId="60791718" w14:textId="49A010FD" w:rsidR="00D65D82" w:rsidRPr="006B3CCB" w:rsidRDefault="00E23D31">
      <w:pPr>
        <w:spacing w:after="120"/>
        <w:ind w:left="1985" w:hanging="1985"/>
        <w:rPr>
          <w:rFonts w:ascii="Arial" w:hAnsi="Arial" w:cs="Arial"/>
          <w:sz w:val="22"/>
          <w:lang w:eastAsia="zh-CN"/>
        </w:rPr>
      </w:pPr>
      <w:r w:rsidRPr="006B3CCB">
        <w:rPr>
          <w:rFonts w:ascii="Arial" w:eastAsia="MS Mincho" w:hAnsi="Arial" w:cs="Arial"/>
          <w:b/>
          <w:sz w:val="22"/>
        </w:rPr>
        <w:t>Source:</w:t>
      </w:r>
      <w:r w:rsidRPr="006B3CCB">
        <w:rPr>
          <w:rFonts w:ascii="Arial" w:eastAsia="MS Mincho" w:hAnsi="Arial" w:cs="Arial"/>
          <w:b/>
          <w:sz w:val="22"/>
        </w:rPr>
        <w:tab/>
      </w:r>
      <w:r w:rsidRPr="006B3CCB">
        <w:rPr>
          <w:rFonts w:ascii="Arial" w:hAnsi="Arial" w:cs="Arial"/>
          <w:sz w:val="22"/>
          <w:lang w:eastAsia="zh-CN"/>
        </w:rPr>
        <w:t>Huawei, HiSilicon</w:t>
      </w:r>
    </w:p>
    <w:p w14:paraId="2077CACA" w14:textId="06CA5492" w:rsidR="00D65D82" w:rsidRPr="006B3CCB" w:rsidRDefault="00E23D31">
      <w:pPr>
        <w:spacing w:after="120"/>
        <w:ind w:left="1985" w:hanging="1985"/>
        <w:rPr>
          <w:rFonts w:ascii="Arial" w:eastAsiaTheme="minorEastAsia" w:hAnsi="Arial" w:cs="Arial"/>
          <w:sz w:val="22"/>
          <w:lang w:eastAsia="zh-CN"/>
        </w:rPr>
      </w:pPr>
      <w:r w:rsidRPr="006B3CCB">
        <w:rPr>
          <w:rFonts w:ascii="Arial" w:eastAsia="MS Mincho" w:hAnsi="Arial" w:cs="Arial"/>
          <w:b/>
          <w:sz w:val="22"/>
        </w:rPr>
        <w:t>Title:</w:t>
      </w:r>
      <w:r w:rsidRPr="006B3CCB">
        <w:rPr>
          <w:rFonts w:ascii="Arial" w:eastAsia="MS Mincho" w:hAnsi="Arial" w:cs="Arial"/>
          <w:b/>
          <w:sz w:val="22"/>
        </w:rPr>
        <w:tab/>
      </w:r>
      <w:r w:rsidR="009B5529" w:rsidRPr="006B3CCB">
        <w:rPr>
          <w:rFonts w:ascii="Arial" w:hAnsi="Arial" w:cs="Arial"/>
          <w:sz w:val="22"/>
          <w:lang w:eastAsia="zh-CN"/>
        </w:rPr>
        <w:t>WF on Power domain enhancement</w:t>
      </w:r>
    </w:p>
    <w:p w14:paraId="2EAB5D68" w14:textId="5EDCEF31" w:rsidR="00D65D82" w:rsidRPr="006B3CCB" w:rsidRDefault="00E23D31">
      <w:pPr>
        <w:spacing w:after="120"/>
        <w:ind w:left="1985" w:hanging="1985"/>
        <w:rPr>
          <w:rFonts w:ascii="Arial" w:eastAsiaTheme="minorEastAsia" w:hAnsi="Arial" w:cs="Arial"/>
          <w:sz w:val="22"/>
          <w:lang w:eastAsia="zh-CN"/>
        </w:rPr>
      </w:pPr>
      <w:r w:rsidRPr="006B3CCB">
        <w:rPr>
          <w:rFonts w:ascii="Arial" w:eastAsia="MS Mincho" w:hAnsi="Arial" w:cs="Arial"/>
          <w:b/>
          <w:sz w:val="22"/>
        </w:rPr>
        <w:t>Document for:</w:t>
      </w:r>
      <w:r w:rsidRPr="006B3CCB">
        <w:rPr>
          <w:rFonts w:ascii="Arial" w:eastAsia="MS Mincho" w:hAnsi="Arial" w:cs="Arial"/>
          <w:b/>
          <w:sz w:val="22"/>
        </w:rPr>
        <w:tab/>
      </w:r>
      <w:r w:rsidR="000B7A09">
        <w:rPr>
          <w:rFonts w:ascii="Arial" w:eastAsiaTheme="minorEastAsia" w:hAnsi="Arial" w:cs="Arial"/>
          <w:sz w:val="22"/>
          <w:lang w:eastAsia="zh-CN"/>
        </w:rPr>
        <w:t>Approval</w:t>
      </w:r>
    </w:p>
    <w:p w14:paraId="256E0660" w14:textId="77777777" w:rsidR="00365F7D" w:rsidRPr="006B3CCB" w:rsidRDefault="00365F7D" w:rsidP="00A71498">
      <w:pPr>
        <w:pStyle w:val="1"/>
        <w:numPr>
          <w:ilvl w:val="0"/>
          <w:numId w:val="6"/>
        </w:numPr>
        <w:rPr>
          <w:lang w:val="en-US" w:eastAsia="ja-JP"/>
        </w:rPr>
      </w:pPr>
      <w:r w:rsidRPr="006B3CCB">
        <w:rPr>
          <w:lang w:val="en-US" w:eastAsia="ja-JP"/>
        </w:rPr>
        <w:t>Topic #1: Power domain enhancements for single carrier</w:t>
      </w:r>
    </w:p>
    <w:p w14:paraId="41461802" w14:textId="77777777" w:rsidR="006F2A7E" w:rsidRPr="006B3CCB" w:rsidRDefault="006F2A7E" w:rsidP="006F2A7E">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C5F1A8D" w14:textId="77777777" w:rsidR="006F2A7E" w:rsidRPr="006B3CCB" w:rsidRDefault="006F2A7E" w:rsidP="006F2A7E">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0F6BDBE0" w14:textId="3913EC5A" w:rsidR="008026E3" w:rsidRPr="006B3CCB" w:rsidRDefault="008026E3" w:rsidP="006F2A7E">
      <w:pPr>
        <w:pStyle w:val="2"/>
        <w:ind w:left="576"/>
      </w:pPr>
      <w:r w:rsidRPr="006B3CCB">
        <w:t>Sub-topic 1-</w:t>
      </w:r>
      <w:r w:rsidR="006F2A7E" w:rsidRPr="006B3CCB">
        <w:t>1</w:t>
      </w:r>
      <w:r w:rsidRPr="006B3CCB">
        <w:t>: Applicable requirements</w:t>
      </w:r>
    </w:p>
    <w:p w14:paraId="51C708A9" w14:textId="31A38249" w:rsidR="006D70AB" w:rsidRPr="006B3CCB" w:rsidRDefault="006D70AB" w:rsidP="006D70AB">
      <w:pPr>
        <w:rPr>
          <w:i/>
          <w:lang w:eastAsia="zh-CN"/>
        </w:rPr>
      </w:pPr>
    </w:p>
    <w:p w14:paraId="25365BB7" w14:textId="1B8F7209" w:rsidR="0041282B" w:rsidRPr="006B3CCB" w:rsidRDefault="0041282B" w:rsidP="0041282B">
      <w:pPr>
        <w:pStyle w:val="4"/>
        <w:spacing w:before="0" w:after="60"/>
        <w:rPr>
          <w:rFonts w:ascii="Times New Roman" w:hAnsi="Times New Roman"/>
          <w:b/>
          <w:sz w:val="20"/>
          <w:u w:val="single"/>
          <w:lang w:val="en-US" w:eastAsia="ko-KR"/>
        </w:rPr>
      </w:pPr>
      <w:r w:rsidRPr="006B3CCB">
        <w:rPr>
          <w:rFonts w:ascii="Times New Roman" w:hAnsi="Times New Roman"/>
          <w:b/>
          <w:sz w:val="20"/>
          <w:u w:val="single"/>
          <w:lang w:val="en-US" w:eastAsia="ko-KR"/>
        </w:rPr>
        <w:t>Issue 1-1-1: Boundary to apply SE</w:t>
      </w:r>
    </w:p>
    <w:p w14:paraId="316930D5" w14:textId="77777777" w:rsidR="0041282B" w:rsidRPr="006B3CCB" w:rsidRDefault="0041282B" w:rsidP="0041282B">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sidRPr="006B3CCB">
        <w:rPr>
          <w:rFonts w:eastAsia="宋体"/>
          <w:szCs w:val="24"/>
          <w:lang w:eastAsia="zh-CN"/>
        </w:rPr>
        <w:t xml:space="preserve">Options </w:t>
      </w:r>
    </w:p>
    <w:p w14:paraId="2B831B72" w14:textId="77777777" w:rsidR="0041282B" w:rsidRPr="006B3CCB" w:rsidRDefault="0041282B" w:rsidP="0041282B">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Option 1: The SE limits apply for the frequency ranges that are more than UE CBW+5MHz from the edge of the extended UE CBW</w:t>
      </w:r>
    </w:p>
    <w:p w14:paraId="5FC0A381" w14:textId="77777777" w:rsidR="0041282B" w:rsidRPr="006B3CCB" w:rsidRDefault="0041282B" w:rsidP="0041282B">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Option 2: Boundary between NR out of band and general spurious emission domain on power domain enhancements for single carrier context is defined as Extended UE CBW + 5 MHz</w:t>
      </w:r>
    </w:p>
    <w:p w14:paraId="7C4D6373" w14:textId="2D56DA04" w:rsidR="0041282B" w:rsidRPr="005C7B88" w:rsidRDefault="0041282B" w:rsidP="0041282B">
      <w:pPr>
        <w:pStyle w:val="aff7"/>
        <w:numPr>
          <w:ilvl w:val="0"/>
          <w:numId w:val="4"/>
        </w:numPr>
        <w:overflowPunct/>
        <w:autoSpaceDE/>
        <w:autoSpaceDN/>
        <w:adjustRightInd/>
        <w:spacing w:after="120"/>
        <w:ind w:left="720" w:firstLineChars="0"/>
        <w:textAlignment w:val="auto"/>
        <w:rPr>
          <w:rFonts w:eastAsia="宋体"/>
          <w:szCs w:val="24"/>
          <w:highlight w:val="yellow"/>
          <w:lang w:eastAsia="zh-CN"/>
        </w:rPr>
      </w:pPr>
      <w:r w:rsidRPr="005C7B88">
        <w:rPr>
          <w:rFonts w:eastAsia="宋体"/>
          <w:szCs w:val="24"/>
          <w:highlight w:val="yellow"/>
          <w:lang w:eastAsia="zh-CN"/>
        </w:rPr>
        <w:t>WF</w:t>
      </w:r>
    </w:p>
    <w:p w14:paraId="3FED3FF1" w14:textId="22CBB707" w:rsidR="0041282B" w:rsidRPr="004D3035" w:rsidRDefault="0041282B" w:rsidP="0041282B">
      <w:pPr>
        <w:pStyle w:val="aff7"/>
        <w:numPr>
          <w:ilvl w:val="1"/>
          <w:numId w:val="4"/>
        </w:numPr>
        <w:overflowPunct/>
        <w:autoSpaceDE/>
        <w:autoSpaceDN/>
        <w:adjustRightInd/>
        <w:spacing w:after="120"/>
        <w:ind w:left="1440" w:firstLineChars="0"/>
        <w:textAlignment w:val="auto"/>
        <w:rPr>
          <w:rFonts w:eastAsia="宋体"/>
          <w:szCs w:val="24"/>
          <w:highlight w:val="green"/>
          <w:lang w:eastAsia="zh-CN"/>
        </w:rPr>
      </w:pPr>
      <w:r w:rsidRPr="004D3035">
        <w:rPr>
          <w:rFonts w:eastAsia="宋体"/>
          <w:szCs w:val="24"/>
          <w:highlight w:val="green"/>
          <w:lang w:eastAsia="zh-CN"/>
        </w:rPr>
        <w:t>option 1</w:t>
      </w:r>
      <w:r w:rsidR="00B0381F" w:rsidRPr="004D3035">
        <w:rPr>
          <w:rFonts w:eastAsia="宋体"/>
          <w:szCs w:val="24"/>
          <w:highlight w:val="green"/>
          <w:lang w:eastAsia="zh-CN"/>
        </w:rPr>
        <w:t>,</w:t>
      </w:r>
      <w:r w:rsidRPr="004D3035">
        <w:rPr>
          <w:rFonts w:eastAsia="宋体"/>
          <w:szCs w:val="24"/>
          <w:highlight w:val="green"/>
          <w:lang w:eastAsia="zh-CN"/>
        </w:rPr>
        <w:t xml:space="preserve"> to meet the ITU recommendation</w:t>
      </w:r>
    </w:p>
    <w:p w14:paraId="68C9EA82" w14:textId="77777777" w:rsidR="0041282B" w:rsidRPr="006B3CCB" w:rsidRDefault="0041282B" w:rsidP="006D70AB">
      <w:pPr>
        <w:rPr>
          <w:i/>
          <w:lang w:eastAsia="zh-CN"/>
        </w:rPr>
      </w:pPr>
    </w:p>
    <w:p w14:paraId="3EF5041B" w14:textId="20F9420F" w:rsidR="006F2A7E" w:rsidRPr="006B3CCB" w:rsidRDefault="006F2A7E" w:rsidP="006F2A7E">
      <w:pPr>
        <w:pStyle w:val="4"/>
        <w:spacing w:before="0" w:after="60"/>
        <w:rPr>
          <w:rFonts w:ascii="Times New Roman" w:hAnsi="Times New Roman"/>
          <w:b/>
          <w:sz w:val="20"/>
          <w:u w:val="single"/>
          <w:lang w:val="en-US" w:eastAsia="ko-KR"/>
        </w:rPr>
      </w:pPr>
      <w:bookmarkStart w:id="0" w:name="_Hlk191021363"/>
      <w:r w:rsidRPr="006B3CCB">
        <w:rPr>
          <w:rFonts w:ascii="Times New Roman" w:hAnsi="Times New Roman"/>
          <w:b/>
          <w:sz w:val="20"/>
          <w:u w:val="single"/>
          <w:lang w:val="en-US" w:eastAsia="ko-KR"/>
        </w:rPr>
        <w:t>Issue 1-1-</w:t>
      </w:r>
      <w:r w:rsidR="0041282B" w:rsidRPr="006B3CCB">
        <w:rPr>
          <w:rFonts w:ascii="Times New Roman" w:hAnsi="Times New Roman"/>
          <w:b/>
          <w:sz w:val="20"/>
          <w:u w:val="single"/>
          <w:lang w:val="en-US" w:eastAsia="ko-KR"/>
        </w:rPr>
        <w:t>2</w:t>
      </w:r>
      <w:r w:rsidRPr="006B3CCB">
        <w:rPr>
          <w:rFonts w:ascii="Times New Roman" w:hAnsi="Times New Roman"/>
          <w:b/>
          <w:sz w:val="20"/>
          <w:u w:val="single"/>
          <w:lang w:val="en-US" w:eastAsia="ko-KR"/>
        </w:rPr>
        <w:t xml:space="preserve">: </w:t>
      </w:r>
      <w:r w:rsidR="00D16C73" w:rsidRPr="006B3CCB">
        <w:rPr>
          <w:rFonts w:ascii="Times New Roman" w:hAnsi="Times New Roman"/>
          <w:b/>
          <w:sz w:val="20"/>
          <w:u w:val="single"/>
          <w:lang w:val="en-US" w:eastAsia="ko-KR"/>
        </w:rPr>
        <w:t>Integral region basis for OOBE</w:t>
      </w:r>
      <w:bookmarkEnd w:id="0"/>
    </w:p>
    <w:p w14:paraId="58AB6602" w14:textId="77777777" w:rsidR="006F2A7E" w:rsidRPr="006B3CCB" w:rsidRDefault="006F2A7E" w:rsidP="006F2A7E">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sidRPr="006B3CCB">
        <w:rPr>
          <w:rFonts w:eastAsia="宋体"/>
          <w:szCs w:val="24"/>
          <w:lang w:eastAsia="zh-CN"/>
        </w:rPr>
        <w:t xml:space="preserve">Options </w:t>
      </w:r>
    </w:p>
    <w:p w14:paraId="427551A3" w14:textId="4DC86FAA" w:rsidR="006F2A7E" w:rsidRPr="006B3CCB" w:rsidRDefault="006F2A7E" w:rsidP="006F2A7E">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Option 1: The OOBE requirements are based on UE CBW</w:t>
      </w:r>
      <w:r w:rsidR="00DD520F" w:rsidRPr="006B3CCB">
        <w:rPr>
          <w:rFonts w:eastAsia="宋体"/>
          <w:szCs w:val="24"/>
          <w:lang w:eastAsia="zh-CN"/>
        </w:rPr>
        <w:t xml:space="preserve"> </w:t>
      </w:r>
      <w:r w:rsidR="00E3349B" w:rsidRPr="006B3CCB">
        <w:rPr>
          <w:rFonts w:eastAsia="宋体" w:hint="eastAsia"/>
          <w:szCs w:val="24"/>
          <w:lang w:eastAsia="zh-CN"/>
        </w:rPr>
        <w:t>(</w:t>
      </w:r>
      <w:r w:rsidR="00E3349B" w:rsidRPr="006B3CCB">
        <w:rPr>
          <w:rFonts w:eastAsia="宋体"/>
          <w:szCs w:val="24"/>
          <w:lang w:eastAsia="zh-CN"/>
        </w:rPr>
        <w:t xml:space="preserve">MTK, Sony, vivo, QC, Lenovo, OPPO, LGE, HW, ZTE, </w:t>
      </w:r>
      <w:proofErr w:type="spellStart"/>
      <w:r w:rsidR="00E3349B" w:rsidRPr="006B3CCB">
        <w:rPr>
          <w:rFonts w:eastAsia="宋体"/>
          <w:szCs w:val="24"/>
          <w:lang w:eastAsia="zh-CN"/>
        </w:rPr>
        <w:t>Spreadtrum</w:t>
      </w:r>
      <w:proofErr w:type="spellEnd"/>
      <w:r w:rsidR="00E3349B" w:rsidRPr="006B3CCB">
        <w:rPr>
          <w:rFonts w:eastAsia="宋体"/>
          <w:szCs w:val="24"/>
          <w:lang w:eastAsia="zh-CN"/>
        </w:rPr>
        <w:t xml:space="preserve">, Skyworks, </w:t>
      </w:r>
      <w:r w:rsidR="00E3349B" w:rsidRPr="006B3CCB">
        <w:rPr>
          <w:rFonts w:eastAsia="宋体" w:hint="eastAsia"/>
          <w:szCs w:val="24"/>
          <w:lang w:eastAsia="zh-CN"/>
        </w:rPr>
        <w:t>Xiaomi</w:t>
      </w:r>
      <w:r w:rsidR="006B0DE1" w:rsidRPr="006B3CCB">
        <w:rPr>
          <w:rFonts w:eastAsia="宋体"/>
          <w:szCs w:val="24"/>
          <w:lang w:eastAsia="zh-CN"/>
        </w:rPr>
        <w:t>, CATT</w:t>
      </w:r>
      <w:r w:rsidR="00205AC5" w:rsidRPr="006B3CCB">
        <w:rPr>
          <w:rFonts w:eastAsia="宋体"/>
          <w:szCs w:val="24"/>
          <w:lang w:eastAsia="zh-CN"/>
        </w:rPr>
        <w:t>, E//</w:t>
      </w:r>
      <w:r w:rsidR="00E3349B" w:rsidRPr="006B3CCB">
        <w:rPr>
          <w:rFonts w:eastAsia="宋体"/>
          <w:szCs w:val="24"/>
          <w:lang w:eastAsia="zh-CN"/>
        </w:rPr>
        <w:t>)</w:t>
      </w:r>
    </w:p>
    <w:p w14:paraId="29C9BE2C" w14:textId="4F3FF26D" w:rsidR="006F2A7E" w:rsidRPr="006B3CCB" w:rsidRDefault="006F2A7E" w:rsidP="006F2A7E">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Option 2: The OOBE requirements are based on extended UE CBW</w:t>
      </w:r>
      <w:r w:rsidR="006B0DE1" w:rsidRPr="006B3CCB">
        <w:rPr>
          <w:rFonts w:eastAsia="宋体"/>
          <w:szCs w:val="24"/>
          <w:lang w:eastAsia="zh-CN"/>
        </w:rPr>
        <w:t xml:space="preserve"> (Nokia)</w:t>
      </w:r>
    </w:p>
    <w:tbl>
      <w:tblPr>
        <w:tblStyle w:val="afe"/>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22"/>
        <w:gridCol w:w="6168"/>
      </w:tblGrid>
      <w:tr w:rsidR="006B3CCB" w:rsidRPr="006B3CCB" w14:paraId="0890FB40" w14:textId="77777777" w:rsidTr="008C1B77">
        <w:trPr>
          <w:jc w:val="center"/>
        </w:trPr>
        <w:tc>
          <w:tcPr>
            <w:tcW w:w="0" w:type="auto"/>
            <w:vAlign w:val="center"/>
          </w:tcPr>
          <w:p w14:paraId="3B915D4D" w14:textId="77777777" w:rsidR="006F2A7E" w:rsidRPr="006B3CCB" w:rsidRDefault="006F2A7E" w:rsidP="008C1B77">
            <w:pPr>
              <w:spacing w:after="120"/>
              <w:jc w:val="center"/>
              <w:rPr>
                <w:rFonts w:eastAsiaTheme="minorEastAsia"/>
                <w:szCs w:val="24"/>
                <w:lang w:eastAsia="zh-CN"/>
              </w:rPr>
            </w:pPr>
            <w:r w:rsidRPr="006B3CCB">
              <w:rPr>
                <w:rFonts w:eastAsiaTheme="minorEastAsia"/>
                <w:szCs w:val="24"/>
                <w:lang w:eastAsia="zh-CN"/>
              </w:rPr>
              <w:t>OP 1</w:t>
            </w:r>
          </w:p>
        </w:tc>
        <w:tc>
          <w:tcPr>
            <w:tcW w:w="0" w:type="auto"/>
          </w:tcPr>
          <w:p w14:paraId="52B5191B" w14:textId="77777777" w:rsidR="006F2A7E" w:rsidRPr="006B3CCB" w:rsidRDefault="006F2A7E" w:rsidP="008C1B77">
            <w:pPr>
              <w:spacing w:after="120"/>
              <w:jc w:val="center"/>
              <w:rPr>
                <w:szCs w:val="24"/>
                <w:lang w:eastAsia="zh-CN"/>
              </w:rPr>
            </w:pPr>
            <w:r w:rsidRPr="006B3CCB">
              <w:rPr>
                <w:rFonts w:eastAsia="宋体"/>
              </w:rPr>
              <w:object w:dxaOrig="15720" w:dyaOrig="4365" w14:anchorId="7087A1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pt;height:71.65pt" o:ole="">
                  <v:imagedata r:id="rId9" o:title=""/>
                </v:shape>
                <o:OLEObject Type="Embed" ProgID="Visio.Drawing.15" ShapeID="_x0000_i1025" DrawAspect="Content" ObjectID="_1801635168" r:id="rId10"/>
              </w:object>
            </w:r>
          </w:p>
        </w:tc>
      </w:tr>
      <w:tr w:rsidR="006F2A7E" w:rsidRPr="006B3CCB" w14:paraId="3E085277" w14:textId="77777777" w:rsidTr="008C1B77">
        <w:trPr>
          <w:jc w:val="center"/>
        </w:trPr>
        <w:tc>
          <w:tcPr>
            <w:tcW w:w="0" w:type="auto"/>
            <w:vAlign w:val="center"/>
          </w:tcPr>
          <w:p w14:paraId="3D0382F1" w14:textId="77777777" w:rsidR="006F2A7E" w:rsidRPr="006B3CCB" w:rsidRDefault="006F2A7E" w:rsidP="008C1B77">
            <w:pPr>
              <w:spacing w:after="120"/>
              <w:jc w:val="center"/>
              <w:rPr>
                <w:rFonts w:eastAsiaTheme="minorEastAsia"/>
                <w:szCs w:val="24"/>
                <w:lang w:eastAsia="zh-CN"/>
              </w:rPr>
            </w:pPr>
            <w:r w:rsidRPr="006B3CCB">
              <w:rPr>
                <w:rFonts w:eastAsiaTheme="minorEastAsia"/>
                <w:szCs w:val="24"/>
                <w:lang w:eastAsia="zh-CN"/>
              </w:rPr>
              <w:t>OP 2</w:t>
            </w:r>
          </w:p>
        </w:tc>
        <w:tc>
          <w:tcPr>
            <w:tcW w:w="0" w:type="auto"/>
          </w:tcPr>
          <w:p w14:paraId="4AC33656" w14:textId="77777777" w:rsidR="006F2A7E" w:rsidRPr="006B3CCB" w:rsidRDefault="006F2A7E" w:rsidP="008C1B77">
            <w:pPr>
              <w:spacing w:after="120"/>
              <w:jc w:val="center"/>
              <w:rPr>
                <w:szCs w:val="24"/>
                <w:lang w:eastAsia="zh-CN"/>
              </w:rPr>
            </w:pPr>
            <w:r w:rsidRPr="006B3CCB">
              <w:rPr>
                <w:rFonts w:eastAsia="宋体"/>
              </w:rPr>
              <w:object w:dxaOrig="19905" w:dyaOrig="4770" w14:anchorId="1E5506DD">
                <v:shape id="_x0000_i1026" type="#_x0000_t75" style="width:297.65pt;height:71.65pt" o:ole="">
                  <v:imagedata r:id="rId11" o:title=""/>
                </v:shape>
                <o:OLEObject Type="Embed" ProgID="Visio.Drawing.15" ShapeID="_x0000_i1026" DrawAspect="Content" ObjectID="_1801635169" r:id="rId12"/>
              </w:object>
            </w:r>
          </w:p>
        </w:tc>
      </w:tr>
    </w:tbl>
    <w:p w14:paraId="6050752C" w14:textId="77777777" w:rsidR="006F2A7E" w:rsidRPr="006B3CCB" w:rsidRDefault="006F2A7E" w:rsidP="006F2A7E">
      <w:pPr>
        <w:spacing w:after="120"/>
        <w:jc w:val="both"/>
        <w:rPr>
          <w:szCs w:val="24"/>
          <w:lang w:eastAsia="zh-CN"/>
        </w:rPr>
      </w:pPr>
    </w:p>
    <w:p w14:paraId="2551A535" w14:textId="583C1C57" w:rsidR="006F2A7E" w:rsidRPr="005C7B88" w:rsidRDefault="006F2A7E" w:rsidP="006F2A7E">
      <w:pPr>
        <w:pStyle w:val="aff7"/>
        <w:numPr>
          <w:ilvl w:val="0"/>
          <w:numId w:val="4"/>
        </w:numPr>
        <w:overflowPunct/>
        <w:autoSpaceDE/>
        <w:autoSpaceDN/>
        <w:adjustRightInd/>
        <w:spacing w:after="120"/>
        <w:ind w:left="720" w:firstLineChars="0"/>
        <w:textAlignment w:val="auto"/>
        <w:rPr>
          <w:rFonts w:eastAsia="宋体"/>
          <w:szCs w:val="24"/>
          <w:highlight w:val="yellow"/>
          <w:lang w:eastAsia="zh-CN"/>
        </w:rPr>
      </w:pPr>
      <w:r w:rsidRPr="005C7B88">
        <w:rPr>
          <w:rFonts w:eastAsia="宋体"/>
          <w:szCs w:val="24"/>
          <w:highlight w:val="yellow"/>
          <w:lang w:eastAsia="zh-CN"/>
        </w:rPr>
        <w:t>WF</w:t>
      </w:r>
    </w:p>
    <w:p w14:paraId="343072F9" w14:textId="7A9A6F61" w:rsidR="006F2A7E" w:rsidRPr="006B3CCB" w:rsidRDefault="006F2A7E" w:rsidP="00FD5FF4">
      <w:pPr>
        <w:pStyle w:val="aff7"/>
        <w:numPr>
          <w:ilvl w:val="1"/>
          <w:numId w:val="4"/>
        </w:numPr>
        <w:overflowPunct/>
        <w:autoSpaceDE/>
        <w:autoSpaceDN/>
        <w:adjustRightInd/>
        <w:spacing w:after="120"/>
        <w:ind w:left="1440" w:firstLineChars="0"/>
        <w:jc w:val="both"/>
        <w:textAlignment w:val="auto"/>
        <w:rPr>
          <w:szCs w:val="24"/>
          <w:lang w:eastAsia="zh-CN"/>
        </w:rPr>
      </w:pPr>
      <w:r w:rsidRPr="006B3CCB">
        <w:rPr>
          <w:rFonts w:eastAsia="宋体"/>
          <w:szCs w:val="24"/>
          <w:lang w:eastAsia="zh-CN"/>
        </w:rPr>
        <w:t xml:space="preserve">option 1 </w:t>
      </w:r>
    </w:p>
    <w:p w14:paraId="1E4A3F3D" w14:textId="1B0F2575" w:rsidR="006F2A7E" w:rsidRDefault="004D3035" w:rsidP="006F2A7E">
      <w:pPr>
        <w:spacing w:after="120"/>
        <w:rPr>
          <w:szCs w:val="24"/>
          <w:lang w:eastAsia="zh-CN"/>
        </w:rPr>
      </w:pPr>
      <w:bookmarkStart w:id="1" w:name="_Hlk191021339"/>
      <w:r>
        <w:rPr>
          <w:rFonts w:hint="eastAsia"/>
          <w:szCs w:val="24"/>
          <w:lang w:eastAsia="zh-CN"/>
        </w:rPr>
        <w:t>N</w:t>
      </w:r>
      <w:r>
        <w:rPr>
          <w:szCs w:val="24"/>
          <w:lang w:eastAsia="zh-CN"/>
        </w:rPr>
        <w:t>okia: it is not complete solution and need further work in the future release.</w:t>
      </w:r>
    </w:p>
    <w:p w14:paraId="2F1CA8EF" w14:textId="53D7BA0A" w:rsidR="004D3035" w:rsidRDefault="004D3035" w:rsidP="006F2A7E">
      <w:pPr>
        <w:spacing w:after="120"/>
        <w:rPr>
          <w:szCs w:val="24"/>
          <w:lang w:eastAsia="zh-CN"/>
        </w:rPr>
      </w:pPr>
      <w:r>
        <w:rPr>
          <w:szCs w:val="24"/>
          <w:lang w:eastAsia="zh-CN"/>
        </w:rPr>
        <w:t>Skyworks: the main reason to choose option 1 is to meet ITU recommendation. Next step we can make all things work. If not, we have to revisit.</w:t>
      </w:r>
    </w:p>
    <w:p w14:paraId="1609034D" w14:textId="41EAA92E" w:rsidR="004D3035" w:rsidRPr="006B3CCB" w:rsidRDefault="004D3035" w:rsidP="006F2A7E">
      <w:pPr>
        <w:spacing w:after="120"/>
        <w:rPr>
          <w:rFonts w:hint="eastAsia"/>
          <w:szCs w:val="24"/>
          <w:lang w:eastAsia="zh-CN"/>
        </w:rPr>
      </w:pPr>
      <w:r>
        <w:rPr>
          <w:szCs w:val="24"/>
          <w:lang w:eastAsia="zh-CN"/>
        </w:rPr>
        <w:t>Xiaomi: UE channel bandwidth &gt;10MHz we can still transmit.</w:t>
      </w:r>
    </w:p>
    <w:bookmarkEnd w:id="1"/>
    <w:p w14:paraId="2168BE4F" w14:textId="458DA5C7" w:rsidR="006F2A7E" w:rsidRPr="006B3CCB" w:rsidRDefault="006F2A7E" w:rsidP="006F2A7E">
      <w:pPr>
        <w:pStyle w:val="4"/>
        <w:spacing w:before="0" w:after="60"/>
        <w:rPr>
          <w:rFonts w:ascii="Times New Roman" w:hAnsi="Times New Roman"/>
          <w:b/>
          <w:sz w:val="20"/>
          <w:u w:val="single"/>
          <w:lang w:val="en-US" w:eastAsia="ko-KR"/>
        </w:rPr>
      </w:pPr>
      <w:r w:rsidRPr="006B3CCB">
        <w:rPr>
          <w:rFonts w:ascii="Times New Roman" w:hAnsi="Times New Roman"/>
          <w:b/>
          <w:sz w:val="20"/>
          <w:u w:val="single"/>
          <w:lang w:val="en-US" w:eastAsia="ko-KR"/>
        </w:rPr>
        <w:t>Issue 1-1-3: A-MPR handling</w:t>
      </w:r>
    </w:p>
    <w:p w14:paraId="5E9FE39F" w14:textId="77777777" w:rsidR="006F2A7E" w:rsidRPr="006B3CCB" w:rsidRDefault="006F2A7E" w:rsidP="006F2A7E">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sidRPr="006B3CCB">
        <w:rPr>
          <w:rFonts w:eastAsia="宋体"/>
          <w:szCs w:val="24"/>
          <w:lang w:eastAsia="zh-CN"/>
        </w:rPr>
        <w:t xml:space="preserve">Proposals </w:t>
      </w:r>
    </w:p>
    <w:p w14:paraId="36EC3336" w14:textId="77777777" w:rsidR="006F2A7E" w:rsidRPr="006B3CCB" w:rsidRDefault="006F2A7E" w:rsidP="006F2A7E">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Option 1:</w:t>
      </w:r>
    </w:p>
    <w:p w14:paraId="1E758067" w14:textId="77777777" w:rsidR="006F2A7E" w:rsidRPr="006B3CCB" w:rsidRDefault="006F2A7E" w:rsidP="006F2A7E">
      <w:pPr>
        <w:pStyle w:val="aff7"/>
        <w:numPr>
          <w:ilvl w:val="2"/>
          <w:numId w:val="4"/>
        </w:numPr>
        <w:spacing w:after="120"/>
        <w:ind w:firstLineChars="0"/>
        <w:jc w:val="both"/>
        <w:rPr>
          <w:rFonts w:eastAsia="宋体"/>
          <w:szCs w:val="24"/>
          <w:lang w:eastAsia="zh-CN"/>
        </w:rPr>
      </w:pPr>
      <w:r w:rsidRPr="006B3CCB">
        <w:rPr>
          <w:rFonts w:eastAsia="宋体"/>
          <w:szCs w:val="24"/>
          <w:lang w:eastAsia="zh-CN"/>
        </w:rPr>
        <w:lastRenderedPageBreak/>
        <w:t>If A-MPR is specified for a given RB allocation X, then the UE performs</w:t>
      </w:r>
    </w:p>
    <w:p w14:paraId="1CCBA478" w14:textId="77777777" w:rsidR="006F2A7E" w:rsidRPr="006B3CCB" w:rsidRDefault="006F2A7E" w:rsidP="006F2A7E">
      <w:pPr>
        <w:spacing w:after="120"/>
        <w:ind w:leftChars="2028" w:left="4056"/>
        <w:jc w:val="both"/>
        <w:rPr>
          <w:szCs w:val="24"/>
          <w:lang w:eastAsia="zh-CN"/>
        </w:rPr>
      </w:pPr>
      <w:proofErr w:type="gramStart"/>
      <w:r w:rsidRPr="006B3CCB">
        <w:rPr>
          <w:szCs w:val="24"/>
          <w:lang w:eastAsia="zh-CN"/>
        </w:rPr>
        <w:t>max(</w:t>
      </w:r>
      <w:proofErr w:type="spellStart"/>
      <w:proofErr w:type="gramEnd"/>
      <w:r w:rsidRPr="006B3CCB">
        <w:rPr>
          <w:szCs w:val="24"/>
          <w:lang w:eastAsia="zh-CN"/>
        </w:rPr>
        <w:t>MPR</w:t>
      </w:r>
      <w:r w:rsidRPr="006B3CCB">
        <w:rPr>
          <w:szCs w:val="24"/>
          <w:vertAlign w:val="subscript"/>
          <w:lang w:eastAsia="zh-CN"/>
        </w:rPr>
        <w:t>enh</w:t>
      </w:r>
      <w:proofErr w:type="spellEnd"/>
      <w:r w:rsidRPr="006B3CCB">
        <w:rPr>
          <w:szCs w:val="24"/>
          <w:lang w:eastAsia="zh-CN"/>
        </w:rPr>
        <w:t xml:space="preserve">(X), A-MPR(X)) </w:t>
      </w:r>
    </w:p>
    <w:p w14:paraId="4B715A26" w14:textId="77777777" w:rsidR="006F2A7E" w:rsidRPr="006B3CCB" w:rsidRDefault="006F2A7E" w:rsidP="006F2A7E">
      <w:pPr>
        <w:pStyle w:val="aff7"/>
        <w:numPr>
          <w:ilvl w:val="2"/>
          <w:numId w:val="4"/>
        </w:numPr>
        <w:spacing w:after="120"/>
        <w:ind w:firstLineChars="0"/>
        <w:jc w:val="both"/>
        <w:rPr>
          <w:rFonts w:eastAsia="宋体"/>
          <w:szCs w:val="24"/>
          <w:lang w:eastAsia="zh-CN"/>
        </w:rPr>
      </w:pPr>
      <w:r w:rsidRPr="006B3CCB">
        <w:rPr>
          <w:rFonts w:eastAsia="宋体"/>
          <w:szCs w:val="24"/>
          <w:lang w:eastAsia="zh-CN"/>
        </w:rPr>
        <w:t>If A-MPR is not specified for a given RB allocation, then the UE performs</w:t>
      </w:r>
      <w:r w:rsidRPr="006B3CCB">
        <w:rPr>
          <w:rFonts w:eastAsia="宋体"/>
          <w:szCs w:val="24"/>
          <w:lang w:eastAsia="zh-CN"/>
        </w:rPr>
        <w:tab/>
      </w:r>
      <w:r w:rsidRPr="006B3CCB">
        <w:rPr>
          <w:rFonts w:eastAsia="宋体"/>
          <w:szCs w:val="24"/>
          <w:lang w:eastAsia="zh-CN"/>
        </w:rPr>
        <w:tab/>
      </w:r>
    </w:p>
    <w:p w14:paraId="569C3361" w14:textId="77777777" w:rsidR="006F2A7E" w:rsidRPr="006B3CCB" w:rsidRDefault="006F2A7E" w:rsidP="006F2A7E">
      <w:pPr>
        <w:spacing w:after="120"/>
        <w:ind w:leftChars="2028" w:left="4056"/>
        <w:jc w:val="both"/>
        <w:rPr>
          <w:szCs w:val="24"/>
          <w:lang w:eastAsia="zh-CN"/>
        </w:rPr>
      </w:pPr>
      <w:proofErr w:type="gramStart"/>
      <w:r w:rsidRPr="006B3CCB">
        <w:rPr>
          <w:szCs w:val="24"/>
          <w:lang w:eastAsia="zh-CN"/>
        </w:rPr>
        <w:t>max(</w:t>
      </w:r>
      <w:proofErr w:type="gramEnd"/>
      <w:r w:rsidRPr="006B3CCB">
        <w:rPr>
          <w:szCs w:val="24"/>
          <w:lang w:eastAsia="zh-CN"/>
        </w:rPr>
        <w:t xml:space="preserve">MPR(X), A-MPR(X)) </w:t>
      </w:r>
    </w:p>
    <w:p w14:paraId="416BE655" w14:textId="77777777" w:rsidR="006F2A7E" w:rsidRPr="006B3CCB" w:rsidRDefault="006F2A7E" w:rsidP="006F2A7E">
      <w:pPr>
        <w:pStyle w:val="aff7"/>
        <w:numPr>
          <w:ilvl w:val="1"/>
          <w:numId w:val="4"/>
        </w:numPr>
        <w:overflowPunct/>
        <w:autoSpaceDE/>
        <w:autoSpaceDN/>
        <w:adjustRightInd/>
        <w:spacing w:after="120"/>
        <w:ind w:left="1440" w:firstLineChars="0"/>
        <w:jc w:val="both"/>
        <w:textAlignment w:val="auto"/>
        <w:rPr>
          <w:szCs w:val="24"/>
          <w:lang w:eastAsia="zh-CN"/>
        </w:rPr>
      </w:pPr>
      <w:r w:rsidRPr="006B3CCB">
        <w:rPr>
          <w:szCs w:val="24"/>
          <w:lang w:eastAsia="zh-CN"/>
        </w:rPr>
        <w:t>Option 2:</w:t>
      </w:r>
    </w:p>
    <w:p w14:paraId="63701967" w14:textId="77777777" w:rsidR="006F2A7E" w:rsidRPr="006B3CCB" w:rsidRDefault="006F2A7E" w:rsidP="006F2A7E">
      <w:pPr>
        <w:pStyle w:val="aff7"/>
        <w:numPr>
          <w:ilvl w:val="2"/>
          <w:numId w:val="4"/>
        </w:numPr>
        <w:spacing w:after="120"/>
        <w:ind w:firstLineChars="0"/>
        <w:jc w:val="both"/>
        <w:rPr>
          <w:rFonts w:eastAsia="宋体"/>
          <w:szCs w:val="24"/>
          <w:lang w:eastAsia="zh-CN"/>
        </w:rPr>
      </w:pPr>
      <w:r w:rsidRPr="006B3CCB">
        <w:rPr>
          <w:rFonts w:eastAsia="宋体"/>
          <w:szCs w:val="24"/>
          <w:lang w:eastAsia="zh-CN"/>
        </w:rPr>
        <w:t>For a given additional emissions requirement and corresponding A-MPR table, if it can be confirmed that A-MPR is specified for all RB allocations X for which</w:t>
      </w:r>
    </w:p>
    <w:p w14:paraId="5E8B6C0B" w14:textId="77777777" w:rsidR="006F2A7E" w:rsidRPr="006B3CCB" w:rsidRDefault="006F2A7E" w:rsidP="006F2A7E">
      <w:pPr>
        <w:spacing w:after="120"/>
        <w:ind w:left="576"/>
        <w:rPr>
          <w:sz w:val="18"/>
          <w:szCs w:val="21"/>
          <w:lang w:eastAsia="zh-CN"/>
        </w:rPr>
      </w:pPr>
      <m:oMathPara>
        <m:oMath>
          <m:r>
            <m:rPr>
              <m:sty m:val="p"/>
            </m:rPr>
            <w:rPr>
              <w:rFonts w:ascii="Cambria Math" w:hAnsi="Cambria Math"/>
              <w:sz w:val="18"/>
              <w:szCs w:val="21"/>
              <w:lang w:eastAsia="zh-CN"/>
            </w:rPr>
            <m:t>A-MPR(X)</m:t>
          </m:r>
          <m:r>
            <w:rPr>
              <w:rFonts w:ascii="Cambria Math" w:hAnsi="Cambria Math"/>
              <w:sz w:val="18"/>
              <w:szCs w:val="21"/>
              <w:lang w:val="en-US" w:eastAsia="zh-CN"/>
            </w:rPr>
            <m:t>≥</m:t>
          </m:r>
          <m:func>
            <m:funcPr>
              <m:ctrlPr>
                <w:rPr>
                  <w:rFonts w:ascii="Cambria Math" w:hAnsi="Cambria Math"/>
                  <w:i/>
                  <w:sz w:val="18"/>
                  <w:szCs w:val="21"/>
                  <w:lang w:val="en-US" w:eastAsia="zh-CN"/>
                </w:rPr>
              </m:ctrlPr>
            </m:funcPr>
            <m:fName>
              <m:limLow>
                <m:limLowPr>
                  <m:ctrlPr>
                    <w:rPr>
                      <w:rFonts w:ascii="Cambria Math" w:hAnsi="Cambria Math"/>
                      <w:i/>
                      <w:sz w:val="18"/>
                      <w:szCs w:val="21"/>
                      <w:lang w:val="en-US" w:eastAsia="zh-CN"/>
                    </w:rPr>
                  </m:ctrlPr>
                </m:limLowPr>
                <m:e>
                  <m:r>
                    <m:rPr>
                      <m:sty m:val="p"/>
                    </m:rPr>
                    <w:rPr>
                      <w:rFonts w:ascii="Cambria Math" w:hAnsi="Cambria Math"/>
                      <w:sz w:val="15"/>
                      <w:szCs w:val="21"/>
                      <w:lang w:eastAsia="zh-CN"/>
                    </w:rPr>
                    <m:t>min</m:t>
                  </m:r>
                </m:e>
                <m:lim>
                  <m:r>
                    <w:rPr>
                      <w:rFonts w:ascii="Cambria Math" w:hAnsi="Cambria Math"/>
                      <w:sz w:val="18"/>
                      <w:szCs w:val="21"/>
                      <w:lang w:val="en-US" w:eastAsia="zh-CN"/>
                    </w:rPr>
                    <m:t>X∈S</m:t>
                  </m:r>
                </m:lim>
              </m:limLow>
            </m:fName>
            <m:e>
              <m:d>
                <m:dPr>
                  <m:begChr m:val="{"/>
                  <m:endChr m:val="}"/>
                  <m:ctrlPr>
                    <w:rPr>
                      <w:rFonts w:ascii="Cambria Math" w:hAnsi="Cambria Math"/>
                      <w:sz w:val="18"/>
                      <w:szCs w:val="21"/>
                      <w:lang w:eastAsia="zh-CN"/>
                    </w:rPr>
                  </m:ctrlPr>
                </m:dPr>
                <m:e>
                  <m:r>
                    <m:rPr>
                      <m:sty m:val="p"/>
                    </m:rPr>
                    <w:rPr>
                      <w:rFonts w:ascii="Cambria Math" w:hAnsi="Cambria Math"/>
                      <w:sz w:val="18"/>
                      <w:szCs w:val="21"/>
                      <w:lang w:eastAsia="zh-CN"/>
                    </w:rPr>
                    <m:t>MPR(X)</m:t>
                  </m:r>
                </m:e>
              </m:d>
            </m:e>
          </m:func>
        </m:oMath>
      </m:oMathPara>
    </w:p>
    <w:p w14:paraId="25BCC3DB" w14:textId="77777777" w:rsidR="006F2A7E" w:rsidRPr="006B3CCB" w:rsidRDefault="006F2A7E" w:rsidP="006F2A7E">
      <w:pPr>
        <w:pStyle w:val="aff7"/>
        <w:spacing w:after="120"/>
        <w:ind w:left="2376" w:firstLineChars="0" w:firstLine="0"/>
        <w:jc w:val="both"/>
        <w:rPr>
          <w:szCs w:val="24"/>
          <w:lang w:eastAsia="zh-CN"/>
        </w:rPr>
      </w:pPr>
      <w:r w:rsidRPr="006B3CCB">
        <w:rPr>
          <w:szCs w:val="24"/>
          <w:lang w:eastAsia="zh-CN"/>
        </w:rPr>
        <w:t>where S is the set of all possible RB allocations for the given carrier, then the UE performs</w:t>
      </w:r>
    </w:p>
    <w:p w14:paraId="55B26493" w14:textId="77777777" w:rsidR="006F2A7E" w:rsidRPr="006B3CCB" w:rsidRDefault="006F2A7E" w:rsidP="006F2A7E">
      <w:pPr>
        <w:spacing w:after="120"/>
        <w:ind w:leftChars="2008" w:left="4016"/>
        <w:jc w:val="both"/>
        <w:rPr>
          <w:szCs w:val="24"/>
          <w:lang w:eastAsia="zh-CN"/>
        </w:rPr>
      </w:pPr>
      <w:proofErr w:type="gramStart"/>
      <w:r w:rsidRPr="006B3CCB">
        <w:rPr>
          <w:szCs w:val="24"/>
          <w:lang w:eastAsia="zh-CN"/>
        </w:rPr>
        <w:t>max(</w:t>
      </w:r>
      <w:proofErr w:type="spellStart"/>
      <w:proofErr w:type="gramEnd"/>
      <w:r w:rsidRPr="006B3CCB">
        <w:rPr>
          <w:szCs w:val="24"/>
          <w:lang w:eastAsia="zh-CN"/>
        </w:rPr>
        <w:t>MPR</w:t>
      </w:r>
      <w:r w:rsidRPr="006B3CCB">
        <w:rPr>
          <w:szCs w:val="24"/>
          <w:vertAlign w:val="subscript"/>
          <w:lang w:eastAsia="zh-CN"/>
        </w:rPr>
        <w:t>enh</w:t>
      </w:r>
      <w:proofErr w:type="spellEnd"/>
      <w:r w:rsidRPr="006B3CCB">
        <w:rPr>
          <w:szCs w:val="24"/>
          <w:lang w:eastAsia="zh-CN"/>
        </w:rPr>
        <w:t xml:space="preserve">(X), A-MPR(X)) </w:t>
      </w:r>
    </w:p>
    <w:p w14:paraId="37C94833" w14:textId="77777777" w:rsidR="006F2A7E" w:rsidRPr="006B3CCB" w:rsidRDefault="006F2A7E" w:rsidP="006F2A7E">
      <w:pPr>
        <w:pStyle w:val="aff7"/>
        <w:numPr>
          <w:ilvl w:val="1"/>
          <w:numId w:val="4"/>
        </w:numPr>
        <w:overflowPunct/>
        <w:autoSpaceDE/>
        <w:autoSpaceDN/>
        <w:adjustRightInd/>
        <w:spacing w:after="120"/>
        <w:ind w:left="1440" w:firstLineChars="0"/>
        <w:jc w:val="both"/>
        <w:textAlignment w:val="auto"/>
        <w:rPr>
          <w:szCs w:val="24"/>
          <w:lang w:eastAsia="zh-CN"/>
        </w:rPr>
      </w:pPr>
      <w:r w:rsidRPr="006B3CCB">
        <w:rPr>
          <w:szCs w:val="24"/>
          <w:lang w:eastAsia="zh-CN"/>
        </w:rPr>
        <w:t xml:space="preserve">Option 3: Only apply the power domain enhancement scheme to channels which are not subject to A-MPR. In many cases A-MPR is defined for the channel located closest to the additional emission requirement while channels with certain guard gap default to MPR. Those channels could benefit from the power enhancement scheme while minimising the risk for implementation. </w:t>
      </w:r>
      <w:r w:rsidRPr="006B3CCB">
        <w:rPr>
          <w:rFonts w:hint="eastAsia"/>
          <w:szCs w:val="24"/>
          <w:lang w:eastAsia="zh-CN"/>
        </w:rPr>
        <w:t>(</w:t>
      </w:r>
      <w:r w:rsidRPr="006B3CCB">
        <w:rPr>
          <w:szCs w:val="24"/>
          <w:lang w:eastAsia="zh-CN"/>
        </w:rPr>
        <w:t>Apple)</w:t>
      </w:r>
    </w:p>
    <w:p w14:paraId="3FE39C7A" w14:textId="77777777" w:rsidR="006F2A7E" w:rsidRPr="006B3CCB" w:rsidRDefault="006F2A7E" w:rsidP="006F2A7E">
      <w:pPr>
        <w:pStyle w:val="aff7"/>
        <w:numPr>
          <w:ilvl w:val="1"/>
          <w:numId w:val="4"/>
        </w:numPr>
        <w:overflowPunct/>
        <w:autoSpaceDE/>
        <w:autoSpaceDN/>
        <w:adjustRightInd/>
        <w:spacing w:after="120"/>
        <w:ind w:left="1440" w:firstLineChars="0"/>
        <w:jc w:val="both"/>
        <w:textAlignment w:val="auto"/>
        <w:rPr>
          <w:szCs w:val="24"/>
          <w:lang w:eastAsia="zh-CN"/>
        </w:rPr>
      </w:pPr>
      <w:r w:rsidRPr="006B3CCB">
        <w:rPr>
          <w:szCs w:val="24"/>
          <w:lang w:eastAsia="zh-CN"/>
        </w:rPr>
        <w:t>Others</w:t>
      </w:r>
    </w:p>
    <w:p w14:paraId="43B990AC" w14:textId="11AFDD91" w:rsidR="006F2A7E" w:rsidRPr="006B3CCB" w:rsidRDefault="006F2A7E" w:rsidP="006F2A7E">
      <w:pPr>
        <w:pStyle w:val="aff7"/>
        <w:numPr>
          <w:ilvl w:val="0"/>
          <w:numId w:val="4"/>
        </w:numPr>
        <w:overflowPunct/>
        <w:autoSpaceDE/>
        <w:autoSpaceDN/>
        <w:adjustRightInd/>
        <w:spacing w:after="120"/>
        <w:ind w:left="720" w:firstLineChars="0"/>
        <w:textAlignment w:val="auto"/>
        <w:rPr>
          <w:rFonts w:eastAsia="宋体"/>
          <w:szCs w:val="24"/>
          <w:lang w:eastAsia="zh-CN"/>
        </w:rPr>
      </w:pPr>
      <w:r w:rsidRPr="006B3CCB">
        <w:rPr>
          <w:rFonts w:eastAsia="宋体"/>
          <w:szCs w:val="24"/>
          <w:lang w:eastAsia="zh-CN"/>
        </w:rPr>
        <w:t>WF</w:t>
      </w:r>
    </w:p>
    <w:p w14:paraId="26D39DF9" w14:textId="246B0F9A" w:rsidR="00EC54BF" w:rsidRPr="006B3CCB" w:rsidRDefault="00EC54BF" w:rsidP="006F2A7E">
      <w:pPr>
        <w:pStyle w:val="aff7"/>
        <w:numPr>
          <w:ilvl w:val="1"/>
          <w:numId w:val="4"/>
        </w:numPr>
        <w:overflowPunct/>
        <w:autoSpaceDE/>
        <w:autoSpaceDN/>
        <w:adjustRightInd/>
        <w:spacing w:after="120"/>
        <w:ind w:left="1440" w:firstLineChars="0"/>
        <w:textAlignment w:val="auto"/>
        <w:rPr>
          <w:rFonts w:eastAsia="宋体"/>
          <w:szCs w:val="24"/>
          <w:lang w:eastAsia="zh-CN"/>
        </w:rPr>
      </w:pPr>
      <w:r w:rsidRPr="006B3CCB">
        <w:rPr>
          <w:rFonts w:eastAsia="宋体" w:hint="eastAsia"/>
          <w:szCs w:val="24"/>
          <w:lang w:eastAsia="zh-CN"/>
        </w:rPr>
        <w:t>F</w:t>
      </w:r>
      <w:r w:rsidRPr="006B3CCB">
        <w:rPr>
          <w:rFonts w:eastAsia="宋体"/>
          <w:szCs w:val="24"/>
          <w:lang w:eastAsia="zh-CN"/>
        </w:rPr>
        <w:t>FS</w:t>
      </w:r>
      <w:r w:rsidR="00C63C50" w:rsidRPr="006B3CCB">
        <w:rPr>
          <w:rFonts w:eastAsia="宋体" w:hint="eastAsia"/>
          <w:szCs w:val="24"/>
          <w:lang w:eastAsia="zh-CN"/>
        </w:rPr>
        <w:t>,</w:t>
      </w:r>
      <w:r w:rsidRPr="006B3CCB">
        <w:rPr>
          <w:rFonts w:eastAsia="宋体"/>
          <w:szCs w:val="24"/>
          <w:lang w:eastAsia="zh-CN"/>
        </w:rPr>
        <w:t xml:space="preserve"> considering that </w:t>
      </w:r>
      <w:r w:rsidR="00B0381F" w:rsidRPr="006B3CCB">
        <w:rPr>
          <w:szCs w:val="24"/>
          <w:lang w:eastAsia="zh-CN"/>
        </w:rPr>
        <w:t>additional emission</w:t>
      </w:r>
      <w:r w:rsidRPr="006B3CCB">
        <w:rPr>
          <w:rFonts w:eastAsia="宋体"/>
          <w:szCs w:val="24"/>
          <w:lang w:eastAsia="zh-CN"/>
        </w:rPr>
        <w:t xml:space="preserve"> in most cases are </w:t>
      </w:r>
      <w:r w:rsidR="00B0381F" w:rsidRPr="006B3CCB">
        <w:rPr>
          <w:rFonts w:eastAsia="宋体"/>
          <w:szCs w:val="24"/>
          <w:lang w:eastAsia="zh-CN"/>
        </w:rPr>
        <w:t xml:space="preserve">applied </w:t>
      </w:r>
      <w:r w:rsidRPr="006B3CCB">
        <w:rPr>
          <w:rFonts w:eastAsia="宋体"/>
          <w:szCs w:val="24"/>
          <w:lang w:eastAsia="zh-CN"/>
        </w:rPr>
        <w:t xml:space="preserve">on one side of the UE </w:t>
      </w:r>
      <w:r w:rsidRPr="006B3CCB">
        <w:rPr>
          <w:rFonts w:eastAsia="宋体" w:hint="eastAsia"/>
          <w:szCs w:val="24"/>
          <w:lang w:eastAsia="zh-CN"/>
        </w:rPr>
        <w:t>CBW</w:t>
      </w:r>
    </w:p>
    <w:p w14:paraId="4E738261" w14:textId="77777777" w:rsidR="006F2A7E" w:rsidRPr="006B3CCB" w:rsidRDefault="006F2A7E" w:rsidP="006F2A7E">
      <w:pPr>
        <w:spacing w:after="120"/>
        <w:rPr>
          <w:szCs w:val="24"/>
          <w:lang w:eastAsia="zh-CN"/>
        </w:rPr>
      </w:pPr>
    </w:p>
    <w:p w14:paraId="2F371E06" w14:textId="77777777" w:rsidR="006F2A7E" w:rsidRPr="006B3CCB" w:rsidRDefault="006F2A7E" w:rsidP="006D70AB">
      <w:pPr>
        <w:rPr>
          <w:i/>
          <w:lang w:eastAsia="zh-CN"/>
        </w:rPr>
      </w:pPr>
    </w:p>
    <w:p w14:paraId="60749572" w14:textId="1E7AAE43" w:rsidR="006F7956" w:rsidRPr="006B3CCB" w:rsidRDefault="006F7956" w:rsidP="006F7956">
      <w:pPr>
        <w:pStyle w:val="4"/>
        <w:spacing w:before="0" w:after="60"/>
        <w:rPr>
          <w:rFonts w:ascii="Times New Roman" w:hAnsi="Times New Roman"/>
          <w:b/>
          <w:sz w:val="20"/>
          <w:u w:val="single"/>
          <w:lang w:val="en-US" w:eastAsia="ko-KR"/>
        </w:rPr>
      </w:pPr>
      <w:r w:rsidRPr="006B3CCB">
        <w:rPr>
          <w:rFonts w:ascii="Times New Roman" w:hAnsi="Times New Roman"/>
          <w:b/>
          <w:sz w:val="20"/>
          <w:u w:val="single"/>
          <w:lang w:val="en-US" w:eastAsia="ko-KR"/>
        </w:rPr>
        <w:t>Issue 1-</w:t>
      </w:r>
      <w:r w:rsidR="006F2A7E" w:rsidRPr="006B3CCB">
        <w:rPr>
          <w:rFonts w:ascii="Times New Roman" w:hAnsi="Times New Roman"/>
          <w:b/>
          <w:sz w:val="20"/>
          <w:u w:val="single"/>
          <w:lang w:val="en-US" w:eastAsia="ko-KR"/>
        </w:rPr>
        <w:t>1</w:t>
      </w:r>
      <w:r w:rsidRPr="006B3CCB">
        <w:rPr>
          <w:rFonts w:ascii="Times New Roman" w:hAnsi="Times New Roman"/>
          <w:b/>
          <w:sz w:val="20"/>
          <w:u w:val="single"/>
          <w:lang w:val="en-US" w:eastAsia="ko-KR"/>
        </w:rPr>
        <w:t>-</w:t>
      </w:r>
      <w:r w:rsidR="006F2A7E" w:rsidRPr="006B3CCB">
        <w:rPr>
          <w:rFonts w:ascii="Times New Roman" w:hAnsi="Times New Roman"/>
          <w:b/>
          <w:sz w:val="20"/>
          <w:u w:val="single"/>
          <w:lang w:val="en-US" w:eastAsia="ko-KR"/>
        </w:rPr>
        <w:t>4</w:t>
      </w:r>
      <w:r w:rsidRPr="006B3CCB">
        <w:rPr>
          <w:rFonts w:ascii="Times New Roman" w:hAnsi="Times New Roman"/>
          <w:b/>
          <w:sz w:val="20"/>
          <w:u w:val="single"/>
          <w:lang w:val="en-US" w:eastAsia="ko-KR"/>
        </w:rPr>
        <w:t xml:space="preserve">: </w:t>
      </w:r>
      <w:r w:rsidR="009002E3" w:rsidRPr="006B3CCB">
        <w:rPr>
          <w:rFonts w:ascii="Times New Roman" w:hAnsi="Times New Roman"/>
          <w:b/>
          <w:sz w:val="20"/>
          <w:u w:val="single"/>
          <w:lang w:val="en-US" w:eastAsia="ko-KR"/>
        </w:rPr>
        <w:t>How to derive the</w:t>
      </w:r>
      <w:r w:rsidRPr="006B3CCB">
        <w:rPr>
          <w:rFonts w:ascii="Times New Roman" w:hAnsi="Times New Roman"/>
          <w:b/>
          <w:sz w:val="20"/>
          <w:u w:val="single"/>
          <w:lang w:val="en-US" w:eastAsia="ko-KR"/>
        </w:rPr>
        <w:t xml:space="preserve"> extended IBE  </w:t>
      </w:r>
    </w:p>
    <w:p w14:paraId="739626BB" w14:textId="52B8BC6D" w:rsidR="006F7956" w:rsidRPr="006B3CCB" w:rsidRDefault="00C25B0A" w:rsidP="00A71498">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sidRPr="006B3CCB">
        <w:rPr>
          <w:rFonts w:eastAsia="宋体"/>
          <w:szCs w:val="24"/>
          <w:lang w:eastAsia="zh-CN"/>
        </w:rPr>
        <w:t>Option</w:t>
      </w:r>
      <w:r w:rsidR="006F7956" w:rsidRPr="006B3CCB">
        <w:rPr>
          <w:rFonts w:eastAsia="宋体"/>
          <w:szCs w:val="24"/>
          <w:lang w:eastAsia="zh-CN"/>
        </w:rPr>
        <w:t xml:space="preserve">s </w:t>
      </w:r>
    </w:p>
    <w:p w14:paraId="6258B87C" w14:textId="4BE05722" w:rsidR="006F7956" w:rsidRPr="006B3CCB" w:rsidRDefault="00044BC3" w:rsidP="00A71498">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 xml:space="preserve">Option </w:t>
      </w:r>
      <w:r w:rsidR="006F7956" w:rsidRPr="006B3CCB">
        <w:rPr>
          <w:rFonts w:eastAsia="宋体"/>
          <w:szCs w:val="24"/>
          <w:lang w:eastAsia="zh-CN"/>
        </w:rPr>
        <w:t>1:</w:t>
      </w:r>
      <w:r w:rsidRPr="006B3CCB">
        <w:rPr>
          <w:rFonts w:eastAsia="宋体"/>
          <w:szCs w:val="24"/>
          <w:lang w:eastAsia="zh-CN"/>
        </w:rPr>
        <w:t xml:space="preserve"> Fixed IBE used for extended CBW at each side </w:t>
      </w:r>
      <w:r w:rsidRPr="006B3CCB">
        <w:rPr>
          <w:rFonts w:eastAsia="宋体" w:hint="eastAsia"/>
          <w:szCs w:val="24"/>
          <w:lang w:eastAsia="zh-CN"/>
        </w:rPr>
        <w:t>of</w:t>
      </w:r>
      <w:r w:rsidRPr="006B3CCB">
        <w:rPr>
          <w:rFonts w:eastAsia="宋体"/>
          <w:szCs w:val="24"/>
          <w:lang w:eastAsia="zh-CN"/>
        </w:rPr>
        <w:t xml:space="preserve"> UE CBW, the value is derived from the outmost allocated RB of UE CBW</w:t>
      </w:r>
      <w:r w:rsidR="004835B5" w:rsidRPr="006B3CCB">
        <w:rPr>
          <w:rFonts w:eastAsia="宋体"/>
          <w:szCs w:val="24"/>
          <w:lang w:eastAsia="zh-CN"/>
        </w:rPr>
        <w:t xml:space="preserve"> (illustrated in the figure below)</w:t>
      </w:r>
    </w:p>
    <w:p w14:paraId="1EC05AFD" w14:textId="49CDDD01" w:rsidR="006F7956" w:rsidRPr="006B3CCB" w:rsidRDefault="003B4963" w:rsidP="003B4963">
      <w:pPr>
        <w:pStyle w:val="aff7"/>
        <w:overflowPunct/>
        <w:autoSpaceDE/>
        <w:autoSpaceDN/>
        <w:adjustRightInd/>
        <w:spacing w:after="120"/>
        <w:ind w:leftChars="1388" w:left="2776" w:firstLineChars="0" w:firstLine="0"/>
        <w:jc w:val="both"/>
        <w:textAlignment w:val="auto"/>
      </w:pPr>
      <w:r w:rsidRPr="006B3CCB">
        <w:object w:dxaOrig="6136" w:dyaOrig="3796" w14:anchorId="546F675D">
          <v:shape id="_x0000_i1027" type="#_x0000_t75" style="width:241.35pt;height:149.65pt" o:ole="">
            <v:imagedata r:id="rId13" o:title=""/>
          </v:shape>
          <o:OLEObject Type="Embed" ProgID="Visio.Drawing.15" ShapeID="_x0000_i1027" DrawAspect="Content" ObjectID="_1801635170" r:id="rId14"/>
        </w:object>
      </w:r>
    </w:p>
    <w:p w14:paraId="2C6560FF" w14:textId="13C848D3" w:rsidR="006F7956" w:rsidRPr="006B3CCB" w:rsidRDefault="006F7956" w:rsidP="00A71498">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6B3CCB">
        <w:rPr>
          <w:rFonts w:eastAsia="宋体"/>
          <w:szCs w:val="21"/>
        </w:rPr>
        <w:t xml:space="preserve">For UE CBW with full RB allocation, the IBE of the extended part could be simplified </w:t>
      </w:r>
      <w:r w:rsidR="0009605D" w:rsidRPr="006B3CCB">
        <w:rPr>
          <w:rFonts w:eastAsia="宋体"/>
          <w:szCs w:val="21"/>
        </w:rPr>
        <w:t xml:space="preserve">with </w:t>
      </w:r>
      <m:oMath>
        <m:d>
          <m:dPr>
            <m:begChr m:val="|"/>
            <m:endChr m:val="|"/>
            <m:ctrlPr>
              <w:rPr>
                <w:rFonts w:ascii="Cambria Math" w:hAnsi="Cambria Math" w:cs="Arial"/>
                <w:i/>
              </w:rPr>
            </m:ctrlPr>
          </m:dPr>
          <m:e>
            <m:sSub>
              <m:sSubPr>
                <m:ctrlPr>
                  <w:rPr>
                    <w:rFonts w:ascii="Cambria Math" w:hAnsi="Cambria Math" w:cs="Arial"/>
                    <w:i/>
                  </w:rPr>
                </m:ctrlPr>
              </m:sSubPr>
              <m:e>
                <m:r>
                  <w:rPr>
                    <w:rFonts w:ascii="Cambria Math" w:cs="Arial"/>
                  </w:rPr>
                  <m:t>Δ</m:t>
                </m:r>
              </m:e>
              <m:sub>
                <m:r>
                  <w:rPr>
                    <w:rFonts w:ascii="Cambria Math" w:cs="Arial"/>
                  </w:rPr>
                  <m:t>RB</m:t>
                </m:r>
              </m:sub>
            </m:sSub>
          </m:e>
        </m:d>
      </m:oMath>
      <w:r w:rsidR="0009605D" w:rsidRPr="006B3CCB">
        <w:rPr>
          <w:rFonts w:eastAsia="宋体" w:hint="eastAsia"/>
          <w:lang w:eastAsia="zh-CN"/>
        </w:rPr>
        <w:t xml:space="preserve"> </w:t>
      </w:r>
      <w:r w:rsidR="0009605D" w:rsidRPr="006B3CCB">
        <w:rPr>
          <w:rFonts w:eastAsia="宋体"/>
          <w:lang w:eastAsia="zh-CN"/>
        </w:rPr>
        <w:t xml:space="preserve">=1 or </w:t>
      </w:r>
      <m:oMath>
        <m:d>
          <m:dPr>
            <m:begChr m:val="|"/>
            <m:endChr m:val="|"/>
            <m:ctrlPr>
              <w:rPr>
                <w:rFonts w:ascii="Cambria Math" w:hAnsi="Cambria Math" w:cs="Arial"/>
                <w:i/>
              </w:rPr>
            </m:ctrlPr>
          </m:dPr>
          <m:e>
            <m:sSub>
              <m:sSubPr>
                <m:ctrlPr>
                  <w:rPr>
                    <w:rFonts w:ascii="Cambria Math" w:hAnsi="Cambria Math" w:cs="Arial"/>
                    <w:i/>
                  </w:rPr>
                </m:ctrlPr>
              </m:sSubPr>
              <m:e>
                <m:r>
                  <w:rPr>
                    <w:rFonts w:ascii="Cambria Math" w:cs="Arial"/>
                  </w:rPr>
                  <m:t>Δ</m:t>
                </m:r>
              </m:e>
              <m:sub>
                <m:r>
                  <w:rPr>
                    <w:rFonts w:ascii="Cambria Math" w:cs="Arial"/>
                  </w:rPr>
                  <m:t>RB</m:t>
                </m:r>
              </m:sub>
            </m:sSub>
          </m:e>
        </m:d>
      </m:oMath>
      <w:r w:rsidR="0009605D" w:rsidRPr="006B3CCB">
        <w:rPr>
          <w:rFonts w:eastAsia="宋体" w:hint="eastAsia"/>
          <w:lang w:eastAsia="zh-CN"/>
        </w:rPr>
        <w:t xml:space="preserve"> </w:t>
      </w:r>
      <w:r w:rsidR="0009605D" w:rsidRPr="006B3CCB">
        <w:rPr>
          <w:rFonts w:eastAsia="宋体"/>
          <w:lang w:eastAsia="zh-CN"/>
        </w:rPr>
        <w:t xml:space="preserve">=0. FFS the specific </w:t>
      </w:r>
      <w:r w:rsidR="00974354" w:rsidRPr="006B3CCB">
        <w:rPr>
          <w:rFonts w:eastAsia="宋体"/>
          <w:lang w:eastAsia="zh-CN"/>
        </w:rPr>
        <w:t xml:space="preserve">offset </w:t>
      </w:r>
      <w:r w:rsidR="0009605D" w:rsidRPr="006B3CCB">
        <w:rPr>
          <w:rFonts w:eastAsia="宋体"/>
          <w:lang w:eastAsia="zh-CN"/>
        </w:rPr>
        <w:t>value.</w:t>
      </w:r>
    </w:p>
    <w:p w14:paraId="059E951B" w14:textId="2F2F91A3" w:rsidR="00974354" w:rsidRPr="006B3CCB" w:rsidRDefault="00974354" w:rsidP="00A71498">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6B3CCB">
        <w:rPr>
          <w:rFonts w:eastAsia="宋体" w:hint="eastAsia"/>
          <w:lang w:eastAsia="zh-CN"/>
        </w:rPr>
        <w:t>I</w:t>
      </w:r>
      <w:r w:rsidRPr="006B3CCB">
        <w:rPr>
          <w:rFonts w:eastAsia="宋体"/>
          <w:lang w:eastAsia="zh-CN"/>
        </w:rPr>
        <w:t>BE is not used in the GB</w:t>
      </w:r>
    </w:p>
    <w:p w14:paraId="23D51171" w14:textId="34446513" w:rsidR="006F7956" w:rsidRPr="006B3CCB" w:rsidRDefault="004835B5" w:rsidP="00A71498">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Option</w:t>
      </w:r>
      <w:r w:rsidR="006F7956" w:rsidRPr="006B3CCB">
        <w:rPr>
          <w:rFonts w:eastAsia="宋体"/>
          <w:szCs w:val="24"/>
          <w:lang w:eastAsia="zh-CN"/>
        </w:rPr>
        <w:t xml:space="preserve"> </w:t>
      </w:r>
      <w:r w:rsidR="00A1293A" w:rsidRPr="006B3CCB">
        <w:rPr>
          <w:rFonts w:eastAsia="宋体"/>
          <w:szCs w:val="24"/>
          <w:lang w:eastAsia="zh-CN"/>
        </w:rPr>
        <w:t>2</w:t>
      </w:r>
      <w:r w:rsidR="006F7956" w:rsidRPr="006B3CCB">
        <w:rPr>
          <w:rFonts w:eastAsia="宋体"/>
          <w:szCs w:val="24"/>
          <w:lang w:eastAsia="zh-CN"/>
        </w:rPr>
        <w:t xml:space="preserve">: </w:t>
      </w:r>
      <w:r w:rsidRPr="006B3CCB">
        <w:t xml:space="preserve">The extended IBE requirements between the edge of the configured UE CBW and the edge of the virtual CBW should be an extension of the IBE </w:t>
      </w:r>
      <w:r w:rsidRPr="006B3CCB">
        <w:rPr>
          <w:rFonts w:eastAsia="宋体"/>
          <w:lang w:eastAsia="zh-CN"/>
        </w:rPr>
        <w:t>requirement of the configured UE CBW by replacing N</w:t>
      </w:r>
      <w:r w:rsidRPr="006B3CCB">
        <w:rPr>
          <w:rFonts w:eastAsia="宋体"/>
          <w:vertAlign w:val="subscript"/>
          <w:lang w:eastAsia="zh-CN"/>
        </w:rPr>
        <w:t>RB</w:t>
      </w:r>
      <w:r w:rsidRPr="006B3CCB">
        <w:rPr>
          <w:rFonts w:eastAsia="宋体"/>
          <w:lang w:eastAsia="zh-CN"/>
        </w:rPr>
        <w:t xml:space="preserve"> and L</w:t>
      </w:r>
      <w:r w:rsidRPr="006B3CCB">
        <w:rPr>
          <w:rFonts w:eastAsia="宋体"/>
          <w:vertAlign w:val="subscript"/>
          <w:lang w:eastAsia="zh-CN"/>
        </w:rPr>
        <w:t>CRB</w:t>
      </w:r>
      <w:r w:rsidRPr="006B3CCB">
        <w:rPr>
          <w:rFonts w:eastAsia="宋体"/>
          <w:lang w:eastAsia="zh-CN"/>
        </w:rPr>
        <w:t xml:space="preserve"> with N</w:t>
      </w:r>
      <w:r w:rsidRPr="006B3CCB">
        <w:rPr>
          <w:rFonts w:eastAsia="宋体"/>
          <w:vertAlign w:val="subscript"/>
          <w:lang w:eastAsia="zh-CN"/>
        </w:rPr>
        <w:t>RB,V</w:t>
      </w:r>
      <w:r w:rsidRPr="006B3CCB">
        <w:rPr>
          <w:rFonts w:eastAsia="宋体"/>
          <w:lang w:eastAsia="zh-CN"/>
        </w:rPr>
        <w:t xml:space="preserve"> and L</w:t>
      </w:r>
      <w:r w:rsidRPr="006B3CCB">
        <w:rPr>
          <w:rFonts w:eastAsia="宋体"/>
          <w:vertAlign w:val="subscript"/>
          <w:lang w:eastAsia="zh-CN"/>
        </w:rPr>
        <w:t>CRB,V</w:t>
      </w:r>
      <w:r w:rsidRPr="006B3CCB">
        <w:rPr>
          <w:rFonts w:eastAsia="宋体"/>
          <w:lang w:eastAsia="zh-CN"/>
        </w:rPr>
        <w:t xml:space="preserve"> as below functions</w:t>
      </w:r>
      <w:r w:rsidR="00A12458" w:rsidRPr="006B3CCB">
        <w:rPr>
          <w:rFonts w:eastAsia="宋体"/>
          <w:lang w:eastAsia="zh-CN"/>
        </w:rPr>
        <w:t xml:space="preserve"> (Moderator: N</w:t>
      </w:r>
      <w:r w:rsidR="00A12458" w:rsidRPr="006B3CCB">
        <w:rPr>
          <w:rFonts w:eastAsia="宋体"/>
          <w:vertAlign w:val="subscript"/>
          <w:lang w:eastAsia="zh-CN"/>
        </w:rPr>
        <w:t>RB,V</w:t>
      </w:r>
      <w:r w:rsidR="00A12458" w:rsidRPr="006B3CCB">
        <w:rPr>
          <w:rFonts w:eastAsia="宋体"/>
          <w:lang w:eastAsia="zh-CN"/>
        </w:rPr>
        <w:t xml:space="preserve"> and L</w:t>
      </w:r>
      <w:r w:rsidR="00A12458" w:rsidRPr="006B3CCB">
        <w:rPr>
          <w:rFonts w:eastAsia="宋体"/>
          <w:vertAlign w:val="subscript"/>
          <w:lang w:eastAsia="zh-CN"/>
        </w:rPr>
        <w:t xml:space="preserve">CRB,V </w:t>
      </w:r>
      <w:r w:rsidR="00A12458" w:rsidRPr="006B3CCB">
        <w:rPr>
          <w:rFonts w:eastAsia="宋体"/>
          <w:lang w:eastAsia="zh-CN"/>
        </w:rPr>
        <w:t>could be replaced by other terms, but the concept is similar)</w:t>
      </w:r>
    </w:p>
    <w:p w14:paraId="26AA4847" w14:textId="77777777" w:rsidR="004835B5" w:rsidRPr="006B3CCB" w:rsidRDefault="009F3ECC" w:rsidP="0035738D">
      <w:pPr>
        <w:spacing w:after="120"/>
        <w:ind w:leftChars="488" w:left="976"/>
        <w:jc w:val="center"/>
        <w:rPr>
          <w:lang w:eastAsia="zh-CN"/>
        </w:rPr>
      </w:pPr>
      <m:oMathPara>
        <m:oMath>
          <m:func>
            <m:funcPr>
              <m:ctrlPr>
                <w:rPr>
                  <w:rFonts w:ascii="Cambria Math" w:hAnsi="Cambria Math" w:cs="Arial"/>
                  <w:i/>
                </w:rPr>
              </m:ctrlPr>
            </m:funcPr>
            <m:fName>
              <m:r>
                <w:rPr>
                  <w:rFonts w:ascii="Cambria Math" w:hAnsi="Cambria Math" w:cs="Arial"/>
                </w:rPr>
                <m:t>m</m:t>
              </m:r>
              <m:r>
                <w:rPr>
                  <w:rFonts w:ascii="Cambria Math" w:cs="Arial"/>
                </w:rPr>
                <m:t>ax</m:t>
              </m:r>
            </m:fName>
            <m:e>
              <m:d>
                <m:dPr>
                  <m:begChr m:val="{"/>
                  <m:endChr m:val=""/>
                  <m:ctrlPr>
                    <w:rPr>
                      <w:rFonts w:ascii="Cambria Math" w:hAnsi="Cambria Math" w:cs="Arial"/>
                      <w:i/>
                    </w:rPr>
                  </m:ctrlPr>
                </m:dPr>
                <m:e>
                  <m:r>
                    <w:rPr>
                      <w:rFonts w:ascii="Cambria Math" w:cs="Arial"/>
                    </w:rPr>
                    <m:t>-</m:t>
                  </m:r>
                  <m:r>
                    <w:rPr>
                      <w:rFonts w:ascii="Cambria Math" w:cs="Arial"/>
                    </w:rPr>
                    <m:t>25</m:t>
                  </m:r>
                  <m:r>
                    <w:rPr>
                      <w:rFonts w:ascii="Cambria Math" w:cs="Arial"/>
                    </w:rPr>
                    <m:t>-</m:t>
                  </m:r>
                  <m:r>
                    <w:rPr>
                      <w:rFonts w:ascii="Cambria Math" w:cs="Arial"/>
                    </w:rPr>
                    <m:t>10</m:t>
                  </m:r>
                  <m:r>
                    <w:rPr>
                      <w:rFonts w:ascii="Cambria Math" w:eastAsia="MS Mincho" w:hAnsi="Cambria Math" w:cs="MS Mincho" w:hint="eastAsia"/>
                    </w:rPr>
                    <m:t>⋅</m:t>
                  </m:r>
                  <m:func>
                    <m:funcPr>
                      <m:ctrlPr>
                        <w:rPr>
                          <w:rFonts w:ascii="Cambria Math" w:hAnsi="Cambria Math" w:cs="Arial"/>
                          <w:i/>
                        </w:rPr>
                      </m:ctrlPr>
                    </m:funcPr>
                    <m:fName>
                      <m:sSub>
                        <m:sSubPr>
                          <m:ctrlPr>
                            <w:rPr>
                              <w:rFonts w:ascii="Cambria Math" w:hAnsi="Cambria Math" w:cs="Arial"/>
                              <w:i/>
                            </w:rPr>
                          </m:ctrlPr>
                        </m:sSubPr>
                        <m:e>
                          <m:r>
                            <w:rPr>
                              <w:rFonts w:ascii="Cambria Math" w:cs="Arial"/>
                            </w:rPr>
                            <m:t>log</m:t>
                          </m:r>
                        </m:e>
                        <m:sub>
                          <m:r>
                            <w:rPr>
                              <w:rFonts w:ascii="Cambria Math" w:cs="Arial"/>
                            </w:rPr>
                            <m:t>10</m:t>
                          </m:r>
                        </m:sub>
                      </m:sSub>
                    </m:fName>
                    <m:e>
                      <m:r>
                        <w:rPr>
                          <w:rFonts w:ascii="Cambria Math" w:cs="Arial"/>
                        </w:rPr>
                        <m:t>(</m:t>
                      </m:r>
                    </m:e>
                  </m:func>
                  <m:sSub>
                    <m:sSubPr>
                      <m:ctrlPr>
                        <w:rPr>
                          <w:rFonts w:ascii="Cambria Math" w:hAnsi="Cambria Math" w:cs="Arial"/>
                          <w:i/>
                        </w:rPr>
                      </m:ctrlPr>
                    </m:sSubPr>
                    <m:e>
                      <m:r>
                        <w:rPr>
                          <w:rFonts w:ascii="Cambria Math" w:cs="Arial"/>
                        </w:rPr>
                        <m:t>N</m:t>
                      </m:r>
                    </m:e>
                    <m:sub>
                      <m:r>
                        <w:rPr>
                          <w:rFonts w:ascii="Cambria Math" w:cs="Arial"/>
                        </w:rPr>
                        <m:t>RB,V</m:t>
                      </m:r>
                    </m:sub>
                  </m:sSub>
                  <m:r>
                    <w:rPr>
                      <w:rFonts w:ascii="Cambria Math" w:cs="Arial"/>
                    </w:rPr>
                    <m:t>/</m:t>
                  </m:r>
                  <m:sSub>
                    <m:sSubPr>
                      <m:ctrlPr>
                        <w:rPr>
                          <w:rFonts w:ascii="Cambria Math" w:hAnsi="Cambria Math" w:cs="Arial"/>
                          <w:i/>
                        </w:rPr>
                      </m:ctrlPr>
                    </m:sSubPr>
                    <m:e>
                      <m:r>
                        <w:rPr>
                          <w:rFonts w:ascii="Cambria Math" w:cs="Arial"/>
                        </w:rPr>
                        <m:t>L</m:t>
                      </m:r>
                    </m:e>
                    <m:sub>
                      <m:r>
                        <w:rPr>
                          <w:rFonts w:ascii="Cambria Math" w:cs="Arial"/>
                        </w:rPr>
                        <m:t>CRB,V</m:t>
                      </m:r>
                    </m:sub>
                  </m:sSub>
                  <m:r>
                    <w:rPr>
                      <w:rFonts w:ascii="Cambria Math" w:cs="Arial"/>
                    </w:rPr>
                    <m:t>),</m:t>
                  </m:r>
                </m:e>
              </m:d>
            </m:e>
          </m:func>
          <m:r>
            <m:rPr>
              <m:sty m:val="p"/>
            </m:rPr>
            <w:rPr>
              <w:rFonts w:ascii="Cambria Math" w:cs="Arial"/>
            </w:rPr>
            <w:br/>
          </m:r>
        </m:oMath>
        <m:oMath>
          <m:r>
            <w:rPr>
              <w:rFonts w:ascii="Cambria Math" w:cs="Arial"/>
            </w:rPr>
            <m:t>20</m:t>
          </m:r>
          <m:r>
            <w:rPr>
              <w:rFonts w:ascii="Cambria Math" w:eastAsia="MS Mincho" w:hAnsi="Cambria Math" w:cs="MS Mincho" w:hint="eastAsia"/>
            </w:rPr>
            <m:t>⋅</m:t>
          </m:r>
          <m:func>
            <m:funcPr>
              <m:ctrlPr>
                <w:rPr>
                  <w:rFonts w:ascii="Cambria Math" w:hAnsi="Cambria Math" w:cs="Arial"/>
                  <w:i/>
                </w:rPr>
              </m:ctrlPr>
            </m:funcPr>
            <m:fName>
              <m:sSub>
                <m:sSubPr>
                  <m:ctrlPr>
                    <w:rPr>
                      <w:rFonts w:ascii="Cambria Math" w:hAnsi="Cambria Math" w:cs="Arial"/>
                      <w:i/>
                    </w:rPr>
                  </m:ctrlPr>
                </m:sSubPr>
                <m:e>
                  <m:r>
                    <w:rPr>
                      <w:rFonts w:ascii="Cambria Math" w:cs="Arial"/>
                    </w:rPr>
                    <m:t>log</m:t>
                  </m:r>
                </m:e>
                <m:sub>
                  <m:r>
                    <w:rPr>
                      <w:rFonts w:ascii="Cambria Math" w:cs="Arial"/>
                    </w:rPr>
                    <m:t>10</m:t>
                  </m:r>
                </m:sub>
              </m:sSub>
            </m:fName>
            <m:e>
              <m:r>
                <w:rPr>
                  <w:rFonts w:ascii="Cambria Math" w:cs="Arial"/>
                </w:rPr>
                <m:t>E</m:t>
              </m:r>
            </m:e>
          </m:func>
          <m:r>
            <w:rPr>
              <w:rFonts w:ascii="Cambria Math" w:cs="Arial"/>
            </w:rPr>
            <m:t>VM</m:t>
          </m:r>
          <m:r>
            <w:rPr>
              <w:rFonts w:ascii="Cambria Math" w:cs="Arial"/>
            </w:rPr>
            <m:t>-</m:t>
          </m:r>
          <m:r>
            <w:rPr>
              <w:rFonts w:ascii="Cambria Math" w:cs="Arial"/>
            </w:rPr>
            <m:t>3</m:t>
          </m:r>
          <m:r>
            <w:rPr>
              <w:rFonts w:ascii="Cambria Math" w:cs="Arial"/>
            </w:rPr>
            <m:t>-</m:t>
          </m:r>
          <m:r>
            <w:rPr>
              <w:rFonts w:ascii="Cambria Math" w:cs="Arial"/>
            </w:rPr>
            <m:t>5</m:t>
          </m:r>
          <m:r>
            <w:rPr>
              <w:rFonts w:ascii="Cambria Math" w:eastAsia="MS Mincho" w:hAnsi="Cambria Math" w:cs="MS Mincho" w:hint="eastAsia"/>
            </w:rPr>
            <m:t>⋅</m:t>
          </m:r>
          <m:r>
            <w:rPr>
              <w:rFonts w:ascii="Cambria Math" w:cs="Arial"/>
            </w:rPr>
            <m:t>(</m:t>
          </m:r>
          <m:d>
            <m:dPr>
              <m:begChr m:val="|"/>
              <m:endChr m:val="|"/>
              <m:ctrlPr>
                <w:rPr>
                  <w:rFonts w:ascii="Cambria Math" w:hAnsi="Cambria Math" w:cs="Arial"/>
                  <w:i/>
                </w:rPr>
              </m:ctrlPr>
            </m:dPr>
            <m:e>
              <m:sSub>
                <m:sSubPr>
                  <m:ctrlPr>
                    <w:rPr>
                      <w:rFonts w:ascii="Cambria Math" w:hAnsi="Cambria Math" w:cs="Arial"/>
                      <w:i/>
                    </w:rPr>
                  </m:ctrlPr>
                </m:sSubPr>
                <m:e>
                  <m:r>
                    <w:rPr>
                      <w:rFonts w:ascii="Cambria Math" w:cs="Arial"/>
                    </w:rPr>
                    <m:t>Δ</m:t>
                  </m:r>
                </m:e>
                <m:sub>
                  <m:r>
                    <w:rPr>
                      <w:rFonts w:ascii="Cambria Math" w:cs="Arial"/>
                    </w:rPr>
                    <m:t>RB</m:t>
                  </m:r>
                </m:sub>
              </m:sSub>
            </m:e>
          </m:d>
          <m:r>
            <w:rPr>
              <w:rFonts w:ascii="Cambria Math" w:cs="Arial"/>
            </w:rPr>
            <m:t>-</m:t>
          </m:r>
          <m:r>
            <w:rPr>
              <w:rFonts w:ascii="Cambria Math" w:cs="Arial"/>
            </w:rPr>
            <m:t>1)/</m:t>
          </m:r>
          <m:sSub>
            <m:sSubPr>
              <m:ctrlPr>
                <w:rPr>
                  <w:rFonts w:ascii="Cambria Math" w:hAnsi="Cambria Math" w:cs="Arial"/>
                  <w:i/>
                </w:rPr>
              </m:ctrlPr>
            </m:sSubPr>
            <m:e>
              <m:r>
                <w:rPr>
                  <w:rFonts w:ascii="Cambria Math" w:cs="Arial"/>
                </w:rPr>
                <m:t>L</m:t>
              </m:r>
            </m:e>
            <m:sub>
              <m:r>
                <w:rPr>
                  <w:rFonts w:ascii="Cambria Math" w:cs="Arial"/>
                </w:rPr>
                <m:t>CRB,V</m:t>
              </m:r>
            </m:sub>
          </m:sSub>
          <m:r>
            <w:rPr>
              <w:rFonts w:ascii="Cambria Math" w:cs="Arial"/>
            </w:rPr>
            <m:t>,</m:t>
          </m:r>
          <m:r>
            <m:rPr>
              <m:sty m:val="p"/>
            </m:rPr>
            <w:rPr>
              <w:rFonts w:ascii="Cambria Math" w:hAnsi="Cambria Math" w:cs="Arial"/>
            </w:rPr>
            <w:br/>
          </m:r>
        </m:oMath>
        <m:oMath>
          <m:d>
            <m:dPr>
              <m:begChr m:val=""/>
              <m:endChr m:val="}"/>
              <m:ctrlPr>
                <w:rPr>
                  <w:rFonts w:ascii="Cambria Math" w:hAnsi="Cambria Math" w:cs="Arial"/>
                  <w:i/>
                </w:rPr>
              </m:ctrlPr>
            </m:dPr>
            <m:e>
              <m:r>
                <w:rPr>
                  <w:rFonts w:ascii="Cambria Math" w:cs="Arial"/>
                </w:rPr>
                <m:t>-</m:t>
              </m:r>
              <m:r>
                <w:rPr>
                  <w:rFonts w:ascii="Cambria Math" w:cs="Arial"/>
                </w:rPr>
                <m:t>57dBm+10</m:t>
              </m:r>
              <m:func>
                <m:funcPr>
                  <m:ctrlPr>
                    <w:rPr>
                      <w:rFonts w:ascii="Cambria Math" w:hAnsi="Cambria Math" w:cs="Arial"/>
                      <w:i/>
                    </w:rPr>
                  </m:ctrlPr>
                </m:funcPr>
                <m:fName>
                  <m:sSub>
                    <m:sSubPr>
                      <m:ctrlPr>
                        <w:rPr>
                          <w:rFonts w:ascii="Cambria Math" w:hAnsi="Cambria Math" w:cs="Arial"/>
                          <w:i/>
                        </w:rPr>
                      </m:ctrlPr>
                    </m:sSubPr>
                    <m:e>
                      <m:r>
                        <w:rPr>
                          <w:rFonts w:ascii="Cambria Math" w:cs="Arial"/>
                        </w:rPr>
                        <m:t>log</m:t>
                      </m:r>
                    </m:e>
                    <m:sub>
                      <m:r>
                        <w:rPr>
                          <w:rFonts w:ascii="Cambria Math" w:cs="Arial"/>
                        </w:rPr>
                        <m:t>10</m:t>
                      </m:r>
                    </m:sub>
                  </m:sSub>
                </m:fName>
                <m:e>
                  <m:d>
                    <m:dPr>
                      <m:ctrlPr>
                        <w:rPr>
                          <w:rFonts w:ascii="Cambria Math" w:hAnsi="Cambria Math" w:cs="Arial"/>
                          <w:i/>
                        </w:rPr>
                      </m:ctrlPr>
                    </m:dPr>
                    <m:e>
                      <m:r>
                        <w:rPr>
                          <w:rFonts w:ascii="Cambria Math" w:cs="Arial"/>
                        </w:rPr>
                        <m:t>SCS/15kHz</m:t>
                      </m:r>
                    </m:e>
                  </m:d>
                </m:e>
              </m:func>
              <m:r>
                <w:rPr>
                  <w:rFonts w:ascii="Cambria Math" w:cs="Arial"/>
                </w:rPr>
                <m:t>-</m:t>
              </m:r>
              <m:bar>
                <m:barPr>
                  <m:pos m:val="top"/>
                  <m:ctrlPr>
                    <w:rPr>
                      <w:rFonts w:ascii="Cambria Math" w:hAnsi="Cambria Math" w:cs="Arial"/>
                      <w:i/>
                    </w:rPr>
                  </m:ctrlPr>
                </m:barPr>
                <m:e>
                  <m:sSub>
                    <m:sSubPr>
                      <m:ctrlPr>
                        <w:rPr>
                          <w:rFonts w:ascii="Cambria Math" w:hAnsi="Cambria Math" w:cs="Arial"/>
                          <w:i/>
                        </w:rPr>
                      </m:ctrlPr>
                    </m:sSubPr>
                    <m:e>
                      <m:r>
                        <w:rPr>
                          <w:rFonts w:ascii="Cambria Math" w:cs="Arial"/>
                        </w:rPr>
                        <m:t>P</m:t>
                      </m:r>
                    </m:e>
                    <m:sub>
                      <m:r>
                        <w:rPr>
                          <w:rFonts w:ascii="Cambria Math" w:cs="Arial"/>
                        </w:rPr>
                        <m:t>RB</m:t>
                      </m:r>
                    </m:sub>
                  </m:sSub>
                </m:e>
              </m:bar>
            </m:e>
          </m:d>
        </m:oMath>
      </m:oMathPara>
    </w:p>
    <w:p w14:paraId="400AF13F" w14:textId="42C3D30F" w:rsidR="006F7956" w:rsidRPr="006B3CCB" w:rsidRDefault="004835B5" w:rsidP="003B4963">
      <w:pPr>
        <w:spacing w:after="120"/>
        <w:ind w:leftChars="1508" w:left="3016"/>
        <w:jc w:val="both"/>
        <w:rPr>
          <w:szCs w:val="24"/>
          <w:lang w:eastAsia="zh-CN"/>
        </w:rPr>
      </w:pPr>
      <w:r w:rsidRPr="006B3CCB">
        <w:rPr>
          <w:noProof/>
          <w:lang w:eastAsia="zh-CN"/>
        </w:rPr>
        <w:lastRenderedPageBreak/>
        <w:drawing>
          <wp:inline distT="0" distB="0" distL="0" distR="0" wp14:anchorId="150A2AC8" wp14:editId="6C0B233B">
            <wp:extent cx="2797628" cy="1861310"/>
            <wp:effectExtent l="0" t="0" r="3175" b="571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16104" cy="1873602"/>
                    </a:xfrm>
                    <a:prstGeom prst="rect">
                      <a:avLst/>
                    </a:prstGeom>
                  </pic:spPr>
                </pic:pic>
              </a:graphicData>
            </a:graphic>
          </wp:inline>
        </w:drawing>
      </w:r>
    </w:p>
    <w:p w14:paraId="6D84BDAA" w14:textId="382829C3" w:rsidR="0009605D" w:rsidRPr="006B3CCB" w:rsidRDefault="0009605D" w:rsidP="00A71498">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Option 3: Others</w:t>
      </w:r>
    </w:p>
    <w:p w14:paraId="7ED5D104" w14:textId="3A425CBD" w:rsidR="006F7956" w:rsidRPr="006B3CCB" w:rsidRDefault="006F7956" w:rsidP="00A71498">
      <w:pPr>
        <w:pStyle w:val="aff7"/>
        <w:numPr>
          <w:ilvl w:val="0"/>
          <w:numId w:val="4"/>
        </w:numPr>
        <w:overflowPunct/>
        <w:autoSpaceDE/>
        <w:autoSpaceDN/>
        <w:adjustRightInd/>
        <w:spacing w:after="120"/>
        <w:ind w:left="720" w:firstLineChars="0"/>
        <w:textAlignment w:val="auto"/>
        <w:rPr>
          <w:rFonts w:eastAsia="宋体"/>
          <w:szCs w:val="24"/>
          <w:lang w:eastAsia="zh-CN"/>
        </w:rPr>
      </w:pPr>
      <w:r w:rsidRPr="006B3CCB">
        <w:rPr>
          <w:rFonts w:eastAsia="宋体"/>
          <w:szCs w:val="24"/>
          <w:lang w:eastAsia="zh-CN"/>
        </w:rPr>
        <w:t>WF</w:t>
      </w:r>
    </w:p>
    <w:p w14:paraId="3EA984D4" w14:textId="0BB8F717" w:rsidR="00691258" w:rsidRPr="006B3CCB" w:rsidRDefault="00A0657A" w:rsidP="00A71498">
      <w:pPr>
        <w:pStyle w:val="aff7"/>
        <w:numPr>
          <w:ilvl w:val="1"/>
          <w:numId w:val="4"/>
        </w:numPr>
        <w:overflowPunct/>
        <w:autoSpaceDE/>
        <w:autoSpaceDN/>
        <w:adjustRightInd/>
        <w:spacing w:after="120"/>
        <w:ind w:left="1440" w:firstLineChars="0"/>
        <w:textAlignment w:val="auto"/>
        <w:rPr>
          <w:rFonts w:eastAsia="宋体"/>
          <w:szCs w:val="24"/>
          <w:lang w:eastAsia="zh-CN"/>
        </w:rPr>
      </w:pPr>
      <w:r w:rsidRPr="006B3CCB">
        <w:rPr>
          <w:rFonts w:eastAsia="宋体"/>
          <w:szCs w:val="24"/>
          <w:lang w:eastAsia="zh-CN"/>
        </w:rPr>
        <w:t xml:space="preserve">FFS </w:t>
      </w:r>
      <w:r w:rsidR="00691258" w:rsidRPr="006B3CCB">
        <w:rPr>
          <w:rFonts w:eastAsia="宋体" w:hint="eastAsia"/>
          <w:szCs w:val="24"/>
          <w:lang w:eastAsia="zh-CN"/>
        </w:rPr>
        <w:t>E</w:t>
      </w:r>
      <w:r w:rsidR="00691258" w:rsidRPr="006B3CCB">
        <w:rPr>
          <w:rFonts w:eastAsia="宋体"/>
          <w:szCs w:val="24"/>
          <w:lang w:eastAsia="zh-CN"/>
        </w:rPr>
        <w:t>xtended IBE can be used in the original GB of UE CBW</w:t>
      </w:r>
    </w:p>
    <w:p w14:paraId="2B3FD9CA" w14:textId="69DDD4B7" w:rsidR="00652438" w:rsidRPr="006B3CCB" w:rsidRDefault="00652438" w:rsidP="00A71498">
      <w:pPr>
        <w:pStyle w:val="aff7"/>
        <w:numPr>
          <w:ilvl w:val="1"/>
          <w:numId w:val="4"/>
        </w:numPr>
        <w:overflowPunct/>
        <w:autoSpaceDE/>
        <w:autoSpaceDN/>
        <w:adjustRightInd/>
        <w:spacing w:after="120"/>
        <w:ind w:left="1440" w:firstLineChars="0"/>
        <w:textAlignment w:val="auto"/>
        <w:rPr>
          <w:rFonts w:eastAsia="宋体"/>
          <w:szCs w:val="24"/>
          <w:lang w:eastAsia="zh-CN"/>
        </w:rPr>
      </w:pPr>
      <w:r w:rsidRPr="006B3CCB">
        <w:rPr>
          <w:rFonts w:eastAsia="宋体" w:hint="eastAsia"/>
          <w:szCs w:val="24"/>
          <w:lang w:eastAsia="zh-CN"/>
        </w:rPr>
        <w:t>F</w:t>
      </w:r>
      <w:r w:rsidRPr="006B3CCB">
        <w:rPr>
          <w:rFonts w:eastAsia="宋体"/>
          <w:szCs w:val="24"/>
          <w:lang w:eastAsia="zh-CN"/>
        </w:rPr>
        <w:t xml:space="preserve">FS the extended IBE in the </w:t>
      </w:r>
      <w:r w:rsidR="00487420" w:rsidRPr="006B3CCB">
        <w:rPr>
          <w:rFonts w:eastAsia="宋体"/>
          <w:szCs w:val="24"/>
          <w:lang w:eastAsia="zh-CN"/>
        </w:rPr>
        <w:t xml:space="preserve">GB of </w:t>
      </w:r>
      <w:r w:rsidRPr="006B3CCB">
        <w:rPr>
          <w:rFonts w:eastAsia="宋体"/>
          <w:szCs w:val="24"/>
          <w:lang w:eastAsia="zh-CN"/>
        </w:rPr>
        <w:t>extended CBW</w:t>
      </w:r>
    </w:p>
    <w:p w14:paraId="4B784825" w14:textId="292373BA" w:rsidR="006F7956" w:rsidRPr="006B3CCB" w:rsidRDefault="006F7956" w:rsidP="006D70AB">
      <w:pPr>
        <w:spacing w:after="120"/>
        <w:rPr>
          <w:szCs w:val="24"/>
          <w:lang w:eastAsia="zh-CN"/>
        </w:rPr>
      </w:pPr>
    </w:p>
    <w:p w14:paraId="066A4FF0" w14:textId="77777777" w:rsidR="00D4354B" w:rsidRPr="006B3CCB" w:rsidRDefault="00D4354B" w:rsidP="006D70AB">
      <w:pPr>
        <w:spacing w:after="120"/>
        <w:rPr>
          <w:szCs w:val="24"/>
          <w:lang w:eastAsia="zh-CN"/>
        </w:rPr>
      </w:pPr>
    </w:p>
    <w:p w14:paraId="42204FC8" w14:textId="2E5392E3" w:rsidR="001B7887" w:rsidRPr="006B3CCB" w:rsidRDefault="001B7887" w:rsidP="001B7887">
      <w:pPr>
        <w:pStyle w:val="4"/>
        <w:spacing w:before="0" w:after="60"/>
        <w:rPr>
          <w:rFonts w:ascii="Times New Roman" w:hAnsi="Times New Roman"/>
          <w:b/>
          <w:sz w:val="20"/>
          <w:u w:val="single"/>
          <w:lang w:val="en-US" w:eastAsia="ko-KR"/>
        </w:rPr>
      </w:pPr>
      <w:r w:rsidRPr="006B3CCB">
        <w:rPr>
          <w:rFonts w:ascii="Times New Roman" w:hAnsi="Times New Roman"/>
          <w:b/>
          <w:sz w:val="20"/>
          <w:u w:val="single"/>
          <w:lang w:val="en-US" w:eastAsia="ko-KR"/>
        </w:rPr>
        <w:t>Issue 1-</w:t>
      </w:r>
      <w:r w:rsidR="006F2A7E" w:rsidRPr="006B3CCB">
        <w:rPr>
          <w:rFonts w:ascii="Times New Roman" w:hAnsi="Times New Roman"/>
          <w:b/>
          <w:sz w:val="20"/>
          <w:u w:val="single"/>
          <w:lang w:val="en-US" w:eastAsia="ko-KR"/>
        </w:rPr>
        <w:t>1</w:t>
      </w:r>
      <w:r w:rsidRPr="006B3CCB">
        <w:rPr>
          <w:rFonts w:ascii="Times New Roman" w:hAnsi="Times New Roman"/>
          <w:b/>
          <w:sz w:val="20"/>
          <w:u w:val="single"/>
          <w:lang w:val="en-US" w:eastAsia="ko-KR"/>
        </w:rPr>
        <w:t>-</w:t>
      </w:r>
      <w:r w:rsidR="006F2A7E" w:rsidRPr="006B3CCB">
        <w:rPr>
          <w:rFonts w:ascii="Times New Roman" w:hAnsi="Times New Roman"/>
          <w:b/>
          <w:sz w:val="20"/>
          <w:u w:val="single"/>
          <w:lang w:val="en-US" w:eastAsia="ko-KR"/>
        </w:rPr>
        <w:t>5</w:t>
      </w:r>
      <w:r w:rsidRPr="006B3CCB">
        <w:rPr>
          <w:rFonts w:ascii="Times New Roman" w:hAnsi="Times New Roman"/>
          <w:b/>
          <w:sz w:val="20"/>
          <w:u w:val="single"/>
          <w:lang w:val="en-US" w:eastAsia="ko-KR"/>
        </w:rPr>
        <w:t xml:space="preserve">: Modulation </w:t>
      </w:r>
      <w:r w:rsidR="00494F1B" w:rsidRPr="006B3CCB">
        <w:rPr>
          <w:rFonts w:ascii="Times New Roman" w:hAnsi="Times New Roman"/>
          <w:b/>
          <w:sz w:val="20"/>
          <w:u w:val="single"/>
          <w:lang w:val="en-US" w:eastAsia="ko-KR"/>
        </w:rPr>
        <w:t>order for the extended</w:t>
      </w:r>
      <w:r w:rsidRPr="006B3CCB">
        <w:rPr>
          <w:rFonts w:ascii="Times New Roman" w:hAnsi="Times New Roman"/>
          <w:b/>
          <w:sz w:val="20"/>
          <w:u w:val="single"/>
          <w:lang w:val="en-US" w:eastAsia="ko-KR"/>
        </w:rPr>
        <w:t xml:space="preserve"> IBE  </w:t>
      </w:r>
    </w:p>
    <w:p w14:paraId="6CA172C3" w14:textId="77777777" w:rsidR="001B7887" w:rsidRPr="006B3CCB" w:rsidRDefault="001B7887" w:rsidP="00A71498">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sidRPr="006B3CCB">
        <w:rPr>
          <w:rFonts w:eastAsia="宋体"/>
          <w:szCs w:val="24"/>
          <w:lang w:eastAsia="zh-CN"/>
        </w:rPr>
        <w:t xml:space="preserve">Proposals </w:t>
      </w:r>
    </w:p>
    <w:p w14:paraId="6493730C" w14:textId="481BAAC1" w:rsidR="001B7887" w:rsidRPr="006B3CCB" w:rsidRDefault="00494F1B" w:rsidP="00A71498">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For the IBE derivation for the extended CBW, use the general part of legacy IBE requirements and fix the EVM parameter to the one for BPSK.</w:t>
      </w:r>
    </w:p>
    <w:p w14:paraId="38B10B8B" w14:textId="77777777" w:rsidR="005C3A4C" w:rsidRPr="006B3CCB" w:rsidRDefault="005C3A4C" w:rsidP="005C14D9">
      <w:pPr>
        <w:jc w:val="center"/>
        <w:rPr>
          <w:b/>
        </w:rPr>
      </w:pPr>
      <w:r w:rsidRPr="006B3CCB">
        <w:rPr>
          <w:b/>
        </w:rPr>
        <w:t>Table. Comparison of emission level @ the first 1MHz adjacent to the UE CBW</w:t>
      </w:r>
    </w:p>
    <w:tbl>
      <w:tblPr>
        <w:tblStyle w:val="afe"/>
        <w:tblW w:w="0" w:type="auto"/>
        <w:jc w:val="right"/>
        <w:tblLook w:val="04A0" w:firstRow="1" w:lastRow="0" w:firstColumn="1" w:lastColumn="0" w:noHBand="0" w:noVBand="1"/>
      </w:tblPr>
      <w:tblGrid>
        <w:gridCol w:w="1727"/>
        <w:gridCol w:w="550"/>
        <w:gridCol w:w="550"/>
        <w:gridCol w:w="550"/>
        <w:gridCol w:w="550"/>
        <w:gridCol w:w="550"/>
        <w:gridCol w:w="550"/>
        <w:gridCol w:w="550"/>
        <w:gridCol w:w="550"/>
        <w:gridCol w:w="550"/>
        <w:gridCol w:w="550"/>
        <w:gridCol w:w="550"/>
        <w:gridCol w:w="550"/>
        <w:gridCol w:w="550"/>
        <w:gridCol w:w="550"/>
      </w:tblGrid>
      <w:tr w:rsidR="006B3CCB" w:rsidRPr="006B3CCB" w14:paraId="0557B60D" w14:textId="77777777" w:rsidTr="005C14D9">
        <w:trPr>
          <w:jc w:val="right"/>
        </w:trPr>
        <w:tc>
          <w:tcPr>
            <w:tcW w:w="0" w:type="auto"/>
            <w:vMerge w:val="restart"/>
            <w:vAlign w:val="center"/>
          </w:tcPr>
          <w:p w14:paraId="7B14A34B" w14:textId="77777777" w:rsidR="005C3A4C" w:rsidRPr="006B3CCB" w:rsidRDefault="005C3A4C" w:rsidP="00DC0FBC">
            <w:pPr>
              <w:spacing w:after="0"/>
              <w:jc w:val="center"/>
            </w:pPr>
          </w:p>
        </w:tc>
        <w:tc>
          <w:tcPr>
            <w:tcW w:w="0" w:type="auto"/>
            <w:gridSpan w:val="14"/>
            <w:vAlign w:val="center"/>
          </w:tcPr>
          <w:p w14:paraId="61C95F3E" w14:textId="77777777" w:rsidR="005C3A4C" w:rsidRPr="006B3CCB" w:rsidRDefault="005C3A4C" w:rsidP="00DC0FBC">
            <w:pPr>
              <w:spacing w:after="0"/>
              <w:jc w:val="center"/>
            </w:pPr>
            <w:r w:rsidRPr="006B3CCB">
              <w:rPr>
                <w:sz w:val="18"/>
              </w:rPr>
              <w:t>UE CBW (MHz)</w:t>
            </w:r>
          </w:p>
        </w:tc>
      </w:tr>
      <w:tr w:rsidR="006B3CCB" w:rsidRPr="006B3CCB" w14:paraId="03C5FFF2" w14:textId="77777777" w:rsidTr="005C14D9">
        <w:trPr>
          <w:jc w:val="right"/>
        </w:trPr>
        <w:tc>
          <w:tcPr>
            <w:tcW w:w="0" w:type="auto"/>
            <w:vMerge/>
            <w:vAlign w:val="center"/>
          </w:tcPr>
          <w:p w14:paraId="10EFD31D" w14:textId="77777777" w:rsidR="005C3A4C" w:rsidRPr="006B3CCB" w:rsidRDefault="005C3A4C" w:rsidP="00DC0FBC">
            <w:pPr>
              <w:spacing w:after="0"/>
              <w:jc w:val="center"/>
            </w:pPr>
          </w:p>
        </w:tc>
        <w:tc>
          <w:tcPr>
            <w:tcW w:w="0" w:type="auto"/>
            <w:vAlign w:val="center"/>
          </w:tcPr>
          <w:p w14:paraId="5B82B076" w14:textId="77777777" w:rsidR="005C3A4C" w:rsidRPr="006B3CCB" w:rsidRDefault="005C3A4C" w:rsidP="00DC0FBC">
            <w:pPr>
              <w:spacing w:after="0"/>
              <w:jc w:val="center"/>
              <w:rPr>
                <w:sz w:val="18"/>
              </w:rPr>
            </w:pPr>
            <w:r w:rsidRPr="006B3CCB">
              <w:rPr>
                <w:sz w:val="18"/>
              </w:rPr>
              <w:t>10</w:t>
            </w:r>
          </w:p>
        </w:tc>
        <w:tc>
          <w:tcPr>
            <w:tcW w:w="0" w:type="auto"/>
            <w:vAlign w:val="center"/>
          </w:tcPr>
          <w:p w14:paraId="3FB89029" w14:textId="77777777" w:rsidR="005C3A4C" w:rsidRPr="006B3CCB" w:rsidRDefault="005C3A4C" w:rsidP="00DC0FBC">
            <w:pPr>
              <w:spacing w:after="0"/>
              <w:jc w:val="center"/>
              <w:rPr>
                <w:sz w:val="18"/>
              </w:rPr>
            </w:pPr>
            <w:r w:rsidRPr="006B3CCB">
              <w:rPr>
                <w:sz w:val="18"/>
              </w:rPr>
              <w:t>15</w:t>
            </w:r>
          </w:p>
        </w:tc>
        <w:tc>
          <w:tcPr>
            <w:tcW w:w="0" w:type="auto"/>
            <w:vAlign w:val="center"/>
          </w:tcPr>
          <w:p w14:paraId="267F40F3" w14:textId="77777777" w:rsidR="005C3A4C" w:rsidRPr="006B3CCB" w:rsidRDefault="005C3A4C" w:rsidP="00DC0FBC">
            <w:pPr>
              <w:spacing w:after="0"/>
              <w:jc w:val="center"/>
              <w:rPr>
                <w:sz w:val="18"/>
              </w:rPr>
            </w:pPr>
            <w:r w:rsidRPr="006B3CCB">
              <w:rPr>
                <w:sz w:val="18"/>
              </w:rPr>
              <w:t>20</w:t>
            </w:r>
          </w:p>
        </w:tc>
        <w:tc>
          <w:tcPr>
            <w:tcW w:w="0" w:type="auto"/>
            <w:vAlign w:val="center"/>
          </w:tcPr>
          <w:p w14:paraId="7AEB6BC3" w14:textId="77777777" w:rsidR="005C3A4C" w:rsidRPr="006B3CCB" w:rsidRDefault="005C3A4C" w:rsidP="00DC0FBC">
            <w:pPr>
              <w:spacing w:after="0"/>
              <w:jc w:val="center"/>
              <w:rPr>
                <w:sz w:val="18"/>
              </w:rPr>
            </w:pPr>
            <w:r w:rsidRPr="006B3CCB">
              <w:rPr>
                <w:sz w:val="18"/>
              </w:rPr>
              <w:t>25</w:t>
            </w:r>
          </w:p>
        </w:tc>
        <w:tc>
          <w:tcPr>
            <w:tcW w:w="0" w:type="auto"/>
            <w:vAlign w:val="center"/>
          </w:tcPr>
          <w:p w14:paraId="34920E9A" w14:textId="77777777" w:rsidR="005C3A4C" w:rsidRPr="006B3CCB" w:rsidRDefault="005C3A4C" w:rsidP="00DC0FBC">
            <w:pPr>
              <w:spacing w:after="0"/>
              <w:jc w:val="center"/>
              <w:rPr>
                <w:sz w:val="18"/>
              </w:rPr>
            </w:pPr>
            <w:r w:rsidRPr="006B3CCB">
              <w:rPr>
                <w:sz w:val="18"/>
              </w:rPr>
              <w:t>30</w:t>
            </w:r>
          </w:p>
        </w:tc>
        <w:tc>
          <w:tcPr>
            <w:tcW w:w="0" w:type="auto"/>
            <w:vAlign w:val="center"/>
          </w:tcPr>
          <w:p w14:paraId="62470009" w14:textId="77777777" w:rsidR="005C3A4C" w:rsidRPr="006B3CCB" w:rsidRDefault="005C3A4C" w:rsidP="00DC0FBC">
            <w:pPr>
              <w:spacing w:after="0"/>
              <w:jc w:val="center"/>
              <w:rPr>
                <w:sz w:val="18"/>
              </w:rPr>
            </w:pPr>
            <w:r w:rsidRPr="006B3CCB">
              <w:rPr>
                <w:sz w:val="18"/>
              </w:rPr>
              <w:t>35</w:t>
            </w:r>
          </w:p>
        </w:tc>
        <w:tc>
          <w:tcPr>
            <w:tcW w:w="0" w:type="auto"/>
            <w:vAlign w:val="center"/>
          </w:tcPr>
          <w:p w14:paraId="58D94E28" w14:textId="77777777" w:rsidR="005C3A4C" w:rsidRPr="006B3CCB" w:rsidRDefault="005C3A4C" w:rsidP="00DC0FBC">
            <w:pPr>
              <w:spacing w:after="0"/>
              <w:jc w:val="center"/>
              <w:rPr>
                <w:sz w:val="18"/>
              </w:rPr>
            </w:pPr>
            <w:r w:rsidRPr="006B3CCB">
              <w:rPr>
                <w:sz w:val="18"/>
              </w:rPr>
              <w:t>40</w:t>
            </w:r>
          </w:p>
        </w:tc>
        <w:tc>
          <w:tcPr>
            <w:tcW w:w="0" w:type="auto"/>
            <w:vAlign w:val="center"/>
          </w:tcPr>
          <w:p w14:paraId="23983C29" w14:textId="77777777" w:rsidR="005C3A4C" w:rsidRPr="006B3CCB" w:rsidRDefault="005C3A4C" w:rsidP="00DC0FBC">
            <w:pPr>
              <w:spacing w:after="0"/>
              <w:jc w:val="center"/>
              <w:rPr>
                <w:sz w:val="18"/>
              </w:rPr>
            </w:pPr>
            <w:r w:rsidRPr="006B3CCB">
              <w:rPr>
                <w:sz w:val="18"/>
              </w:rPr>
              <w:t>45</w:t>
            </w:r>
          </w:p>
        </w:tc>
        <w:tc>
          <w:tcPr>
            <w:tcW w:w="0" w:type="auto"/>
            <w:vAlign w:val="center"/>
          </w:tcPr>
          <w:p w14:paraId="2248AC64" w14:textId="77777777" w:rsidR="005C3A4C" w:rsidRPr="006B3CCB" w:rsidRDefault="005C3A4C" w:rsidP="00DC0FBC">
            <w:pPr>
              <w:spacing w:after="0"/>
              <w:jc w:val="center"/>
              <w:rPr>
                <w:sz w:val="18"/>
              </w:rPr>
            </w:pPr>
            <w:r w:rsidRPr="006B3CCB">
              <w:rPr>
                <w:sz w:val="18"/>
              </w:rPr>
              <w:t>50</w:t>
            </w:r>
          </w:p>
        </w:tc>
        <w:tc>
          <w:tcPr>
            <w:tcW w:w="0" w:type="auto"/>
            <w:vAlign w:val="center"/>
          </w:tcPr>
          <w:p w14:paraId="590A3458" w14:textId="77777777" w:rsidR="005C3A4C" w:rsidRPr="006B3CCB" w:rsidRDefault="005C3A4C" w:rsidP="00DC0FBC">
            <w:pPr>
              <w:spacing w:after="0"/>
              <w:jc w:val="center"/>
              <w:rPr>
                <w:sz w:val="18"/>
              </w:rPr>
            </w:pPr>
            <w:r w:rsidRPr="006B3CCB">
              <w:rPr>
                <w:sz w:val="18"/>
              </w:rPr>
              <w:t>60</w:t>
            </w:r>
          </w:p>
        </w:tc>
        <w:tc>
          <w:tcPr>
            <w:tcW w:w="0" w:type="auto"/>
            <w:vAlign w:val="center"/>
          </w:tcPr>
          <w:p w14:paraId="778700C3" w14:textId="77777777" w:rsidR="005C3A4C" w:rsidRPr="006B3CCB" w:rsidRDefault="005C3A4C" w:rsidP="00DC0FBC">
            <w:pPr>
              <w:spacing w:after="0"/>
              <w:jc w:val="center"/>
              <w:rPr>
                <w:sz w:val="18"/>
              </w:rPr>
            </w:pPr>
            <w:r w:rsidRPr="006B3CCB">
              <w:rPr>
                <w:sz w:val="18"/>
              </w:rPr>
              <w:t>70</w:t>
            </w:r>
          </w:p>
        </w:tc>
        <w:tc>
          <w:tcPr>
            <w:tcW w:w="0" w:type="auto"/>
            <w:vAlign w:val="center"/>
          </w:tcPr>
          <w:p w14:paraId="11352F28" w14:textId="77777777" w:rsidR="005C3A4C" w:rsidRPr="006B3CCB" w:rsidRDefault="005C3A4C" w:rsidP="00DC0FBC">
            <w:pPr>
              <w:spacing w:after="0"/>
              <w:jc w:val="center"/>
              <w:rPr>
                <w:sz w:val="18"/>
              </w:rPr>
            </w:pPr>
            <w:r w:rsidRPr="006B3CCB">
              <w:rPr>
                <w:sz w:val="18"/>
              </w:rPr>
              <w:t>80</w:t>
            </w:r>
          </w:p>
        </w:tc>
        <w:tc>
          <w:tcPr>
            <w:tcW w:w="0" w:type="auto"/>
            <w:vAlign w:val="center"/>
          </w:tcPr>
          <w:p w14:paraId="405EBDD0" w14:textId="77777777" w:rsidR="005C3A4C" w:rsidRPr="006B3CCB" w:rsidRDefault="005C3A4C" w:rsidP="00DC0FBC">
            <w:pPr>
              <w:spacing w:after="0"/>
              <w:jc w:val="center"/>
              <w:rPr>
                <w:sz w:val="18"/>
              </w:rPr>
            </w:pPr>
            <w:r w:rsidRPr="006B3CCB">
              <w:rPr>
                <w:sz w:val="18"/>
              </w:rPr>
              <w:t>90</w:t>
            </w:r>
          </w:p>
        </w:tc>
        <w:tc>
          <w:tcPr>
            <w:tcW w:w="0" w:type="auto"/>
            <w:vAlign w:val="center"/>
          </w:tcPr>
          <w:p w14:paraId="0DA4BBD1" w14:textId="77777777" w:rsidR="005C3A4C" w:rsidRPr="006B3CCB" w:rsidRDefault="005C3A4C" w:rsidP="00DC0FBC">
            <w:pPr>
              <w:spacing w:after="0"/>
              <w:jc w:val="center"/>
              <w:rPr>
                <w:sz w:val="18"/>
              </w:rPr>
            </w:pPr>
            <w:r w:rsidRPr="006B3CCB">
              <w:rPr>
                <w:sz w:val="18"/>
              </w:rPr>
              <w:t>100</w:t>
            </w:r>
          </w:p>
        </w:tc>
      </w:tr>
      <w:tr w:rsidR="006B3CCB" w:rsidRPr="006B3CCB" w14:paraId="7B1A0072" w14:textId="77777777" w:rsidTr="005C14D9">
        <w:trPr>
          <w:jc w:val="right"/>
        </w:trPr>
        <w:tc>
          <w:tcPr>
            <w:tcW w:w="0" w:type="auto"/>
            <w:vAlign w:val="center"/>
          </w:tcPr>
          <w:p w14:paraId="5DF8912C" w14:textId="77777777" w:rsidR="005C3A4C" w:rsidRPr="006B3CCB" w:rsidRDefault="005C3A4C" w:rsidP="00DC0FBC">
            <w:pPr>
              <w:spacing w:after="0"/>
              <w:jc w:val="center"/>
              <w:rPr>
                <w:sz w:val="18"/>
              </w:rPr>
            </w:pPr>
            <w:r w:rsidRPr="006B3CCB">
              <w:rPr>
                <w:sz w:val="18"/>
              </w:rPr>
              <w:t>SEM</w:t>
            </w:r>
          </w:p>
          <w:p w14:paraId="23E62FE9" w14:textId="77777777" w:rsidR="005C3A4C" w:rsidRPr="006B3CCB" w:rsidRDefault="005C3A4C" w:rsidP="00DC0FBC">
            <w:pPr>
              <w:spacing w:after="0"/>
              <w:jc w:val="center"/>
              <w:rPr>
                <w:sz w:val="18"/>
              </w:rPr>
            </w:pPr>
            <w:r w:rsidRPr="006B3CCB">
              <w:rPr>
                <w:sz w:val="18"/>
              </w:rPr>
              <w:t>(dBm/30kHz)</w:t>
            </w:r>
          </w:p>
        </w:tc>
        <w:tc>
          <w:tcPr>
            <w:tcW w:w="0" w:type="auto"/>
            <w:vAlign w:val="center"/>
          </w:tcPr>
          <w:p w14:paraId="50C8B8D6" w14:textId="77777777" w:rsidR="005C3A4C" w:rsidRPr="006B3CCB" w:rsidRDefault="005C3A4C" w:rsidP="00DC0FBC">
            <w:pPr>
              <w:spacing w:after="0"/>
              <w:jc w:val="center"/>
              <w:rPr>
                <w:sz w:val="16"/>
                <w:szCs w:val="16"/>
              </w:rPr>
            </w:pPr>
            <w:r w:rsidRPr="006B3CCB">
              <w:rPr>
                <w:sz w:val="16"/>
                <w:szCs w:val="16"/>
              </w:rPr>
              <w:t>-18.2</w:t>
            </w:r>
          </w:p>
        </w:tc>
        <w:tc>
          <w:tcPr>
            <w:tcW w:w="0" w:type="auto"/>
            <w:vAlign w:val="center"/>
          </w:tcPr>
          <w:p w14:paraId="3F67D69D" w14:textId="77777777" w:rsidR="005C3A4C" w:rsidRPr="006B3CCB" w:rsidRDefault="005C3A4C" w:rsidP="00DC0FBC">
            <w:pPr>
              <w:spacing w:after="0"/>
              <w:jc w:val="center"/>
              <w:rPr>
                <w:sz w:val="16"/>
                <w:szCs w:val="16"/>
              </w:rPr>
            </w:pPr>
            <w:r w:rsidRPr="006B3CCB">
              <w:rPr>
                <w:sz w:val="16"/>
                <w:szCs w:val="16"/>
              </w:rPr>
              <w:t>-20.0</w:t>
            </w:r>
          </w:p>
        </w:tc>
        <w:tc>
          <w:tcPr>
            <w:tcW w:w="0" w:type="auto"/>
            <w:vAlign w:val="center"/>
          </w:tcPr>
          <w:p w14:paraId="0DA11BF5" w14:textId="77777777" w:rsidR="005C3A4C" w:rsidRPr="006B3CCB" w:rsidRDefault="005C3A4C" w:rsidP="00DC0FBC">
            <w:pPr>
              <w:spacing w:after="0"/>
              <w:jc w:val="center"/>
              <w:rPr>
                <w:sz w:val="16"/>
                <w:szCs w:val="16"/>
              </w:rPr>
            </w:pPr>
            <w:r w:rsidRPr="006B3CCB">
              <w:rPr>
                <w:sz w:val="16"/>
                <w:szCs w:val="16"/>
              </w:rPr>
              <w:t>-21.2</w:t>
            </w:r>
          </w:p>
        </w:tc>
        <w:tc>
          <w:tcPr>
            <w:tcW w:w="0" w:type="auto"/>
            <w:vAlign w:val="center"/>
          </w:tcPr>
          <w:p w14:paraId="78BA2E16" w14:textId="77777777" w:rsidR="005C3A4C" w:rsidRPr="006B3CCB" w:rsidRDefault="005C3A4C" w:rsidP="00DC0FBC">
            <w:pPr>
              <w:spacing w:after="0"/>
              <w:jc w:val="center"/>
              <w:rPr>
                <w:sz w:val="16"/>
                <w:szCs w:val="16"/>
              </w:rPr>
            </w:pPr>
            <w:r w:rsidRPr="006B3CCB">
              <w:rPr>
                <w:sz w:val="16"/>
                <w:szCs w:val="16"/>
              </w:rPr>
              <w:t>-22.2</w:t>
            </w:r>
          </w:p>
        </w:tc>
        <w:tc>
          <w:tcPr>
            <w:tcW w:w="0" w:type="auto"/>
            <w:vAlign w:val="center"/>
          </w:tcPr>
          <w:p w14:paraId="19870904" w14:textId="77777777" w:rsidR="005C3A4C" w:rsidRPr="006B3CCB" w:rsidRDefault="005C3A4C" w:rsidP="00DC0FBC">
            <w:pPr>
              <w:spacing w:after="0"/>
              <w:jc w:val="center"/>
              <w:rPr>
                <w:sz w:val="16"/>
                <w:szCs w:val="16"/>
              </w:rPr>
            </w:pPr>
            <w:r w:rsidRPr="006B3CCB">
              <w:rPr>
                <w:sz w:val="16"/>
                <w:szCs w:val="16"/>
              </w:rPr>
              <w:t>-23.0</w:t>
            </w:r>
          </w:p>
        </w:tc>
        <w:tc>
          <w:tcPr>
            <w:tcW w:w="0" w:type="auto"/>
            <w:vAlign w:val="center"/>
          </w:tcPr>
          <w:p w14:paraId="6C719E37" w14:textId="77777777" w:rsidR="005C3A4C" w:rsidRPr="006B3CCB" w:rsidRDefault="005C3A4C" w:rsidP="00DC0FBC">
            <w:pPr>
              <w:spacing w:after="0"/>
              <w:jc w:val="center"/>
              <w:rPr>
                <w:sz w:val="16"/>
                <w:szCs w:val="16"/>
              </w:rPr>
            </w:pPr>
            <w:r w:rsidRPr="006B3CCB">
              <w:rPr>
                <w:sz w:val="16"/>
                <w:szCs w:val="16"/>
              </w:rPr>
              <w:t>-23.6</w:t>
            </w:r>
          </w:p>
        </w:tc>
        <w:tc>
          <w:tcPr>
            <w:tcW w:w="0" w:type="auto"/>
            <w:vAlign w:val="center"/>
          </w:tcPr>
          <w:p w14:paraId="5DCF93EC" w14:textId="77777777" w:rsidR="005C3A4C" w:rsidRPr="006B3CCB" w:rsidRDefault="005C3A4C" w:rsidP="00DC0FBC">
            <w:pPr>
              <w:spacing w:after="0"/>
              <w:jc w:val="center"/>
              <w:rPr>
                <w:sz w:val="16"/>
                <w:szCs w:val="16"/>
              </w:rPr>
            </w:pPr>
            <w:r w:rsidRPr="006B3CCB">
              <w:rPr>
                <w:sz w:val="16"/>
                <w:szCs w:val="16"/>
              </w:rPr>
              <w:t>-24.2</w:t>
            </w:r>
          </w:p>
        </w:tc>
        <w:tc>
          <w:tcPr>
            <w:tcW w:w="0" w:type="auto"/>
            <w:vAlign w:val="center"/>
          </w:tcPr>
          <w:p w14:paraId="7F6AACF5" w14:textId="77777777" w:rsidR="005C3A4C" w:rsidRPr="006B3CCB" w:rsidRDefault="005C3A4C" w:rsidP="00DC0FBC">
            <w:pPr>
              <w:spacing w:after="0"/>
              <w:jc w:val="center"/>
              <w:rPr>
                <w:sz w:val="16"/>
                <w:szCs w:val="16"/>
              </w:rPr>
            </w:pPr>
            <w:r w:rsidRPr="006B3CCB">
              <w:rPr>
                <w:sz w:val="16"/>
                <w:szCs w:val="16"/>
              </w:rPr>
              <w:t>-24.8</w:t>
            </w:r>
          </w:p>
        </w:tc>
        <w:tc>
          <w:tcPr>
            <w:tcW w:w="0" w:type="auto"/>
            <w:gridSpan w:val="6"/>
            <w:vAlign w:val="center"/>
          </w:tcPr>
          <w:p w14:paraId="3A7A263F" w14:textId="77777777" w:rsidR="005C3A4C" w:rsidRPr="006B3CCB" w:rsidRDefault="005C3A4C" w:rsidP="00DC0FBC">
            <w:pPr>
              <w:spacing w:after="0"/>
              <w:jc w:val="center"/>
              <w:rPr>
                <w:sz w:val="16"/>
                <w:szCs w:val="16"/>
              </w:rPr>
            </w:pPr>
            <w:r w:rsidRPr="006B3CCB">
              <w:rPr>
                <w:sz w:val="16"/>
                <w:szCs w:val="16"/>
              </w:rPr>
              <w:t>-24.0</w:t>
            </w:r>
          </w:p>
        </w:tc>
      </w:tr>
      <w:tr w:rsidR="006B3CCB" w:rsidRPr="006B3CCB" w14:paraId="59473759" w14:textId="77777777" w:rsidTr="005C14D9">
        <w:trPr>
          <w:jc w:val="right"/>
        </w:trPr>
        <w:tc>
          <w:tcPr>
            <w:tcW w:w="0" w:type="auto"/>
            <w:vAlign w:val="center"/>
          </w:tcPr>
          <w:p w14:paraId="2F901325" w14:textId="77777777" w:rsidR="005C3A4C" w:rsidRPr="006B3CCB" w:rsidRDefault="005C3A4C" w:rsidP="00DC0FBC">
            <w:pPr>
              <w:spacing w:after="0"/>
              <w:jc w:val="center"/>
              <w:rPr>
                <w:sz w:val="18"/>
              </w:rPr>
            </w:pPr>
            <w:r w:rsidRPr="006B3CCB">
              <w:rPr>
                <w:sz w:val="18"/>
              </w:rPr>
              <w:t xml:space="preserve">IBE </w:t>
            </w:r>
            <w:r w:rsidRPr="006B3CCB">
              <w:rPr>
                <w:sz w:val="18"/>
                <w:highlight w:val="yellow"/>
              </w:rPr>
              <w:t>QPSK</w:t>
            </w:r>
            <w:r w:rsidRPr="006B3CCB">
              <w:rPr>
                <w:sz w:val="18"/>
              </w:rPr>
              <w:t xml:space="preserve"> 26dBm</w:t>
            </w:r>
          </w:p>
          <w:p w14:paraId="453B447D" w14:textId="77777777" w:rsidR="005C3A4C" w:rsidRPr="006B3CCB" w:rsidRDefault="005C3A4C" w:rsidP="00DC0FBC">
            <w:pPr>
              <w:spacing w:after="0"/>
              <w:jc w:val="center"/>
              <w:rPr>
                <w:sz w:val="18"/>
              </w:rPr>
            </w:pPr>
            <w:r w:rsidRPr="006B3CCB">
              <w:rPr>
                <w:sz w:val="18"/>
              </w:rPr>
              <w:t>(dBm/30kHz)</w:t>
            </w:r>
          </w:p>
        </w:tc>
        <w:tc>
          <w:tcPr>
            <w:tcW w:w="0" w:type="auto"/>
            <w:vAlign w:val="center"/>
          </w:tcPr>
          <w:p w14:paraId="0DBF4548" w14:textId="77777777" w:rsidR="005C3A4C" w:rsidRPr="006B3CCB" w:rsidRDefault="005C3A4C" w:rsidP="00DC0FBC">
            <w:pPr>
              <w:spacing w:after="0"/>
              <w:jc w:val="center"/>
              <w:rPr>
                <w:sz w:val="16"/>
                <w:szCs w:val="16"/>
              </w:rPr>
            </w:pPr>
            <w:r w:rsidRPr="006B3CCB">
              <w:rPr>
                <w:sz w:val="16"/>
                <w:szCs w:val="16"/>
              </w:rPr>
              <w:t>-16.7</w:t>
            </w:r>
          </w:p>
        </w:tc>
        <w:tc>
          <w:tcPr>
            <w:tcW w:w="0" w:type="auto"/>
            <w:vAlign w:val="center"/>
          </w:tcPr>
          <w:p w14:paraId="7DD194C6" w14:textId="77777777" w:rsidR="005C3A4C" w:rsidRPr="006B3CCB" w:rsidRDefault="005C3A4C" w:rsidP="00DC0FBC">
            <w:pPr>
              <w:spacing w:after="0"/>
              <w:jc w:val="center"/>
              <w:rPr>
                <w:sz w:val="16"/>
                <w:szCs w:val="16"/>
              </w:rPr>
            </w:pPr>
            <w:r w:rsidRPr="006B3CCB">
              <w:rPr>
                <w:sz w:val="16"/>
                <w:szCs w:val="16"/>
              </w:rPr>
              <w:t>-18.7</w:t>
            </w:r>
          </w:p>
        </w:tc>
        <w:tc>
          <w:tcPr>
            <w:tcW w:w="0" w:type="auto"/>
            <w:vAlign w:val="center"/>
          </w:tcPr>
          <w:p w14:paraId="6C4563EB" w14:textId="77777777" w:rsidR="005C3A4C" w:rsidRPr="006B3CCB" w:rsidRDefault="005C3A4C" w:rsidP="00DC0FBC">
            <w:pPr>
              <w:spacing w:after="0"/>
              <w:jc w:val="center"/>
              <w:rPr>
                <w:sz w:val="16"/>
                <w:szCs w:val="16"/>
              </w:rPr>
            </w:pPr>
            <w:r w:rsidRPr="006B3CCB">
              <w:rPr>
                <w:sz w:val="16"/>
                <w:szCs w:val="16"/>
              </w:rPr>
              <w:t>-20.0</w:t>
            </w:r>
          </w:p>
        </w:tc>
        <w:tc>
          <w:tcPr>
            <w:tcW w:w="0" w:type="auto"/>
            <w:vAlign w:val="center"/>
          </w:tcPr>
          <w:p w14:paraId="3D170F1B" w14:textId="77777777" w:rsidR="005C3A4C" w:rsidRPr="006B3CCB" w:rsidRDefault="005C3A4C" w:rsidP="00DC0FBC">
            <w:pPr>
              <w:spacing w:after="0"/>
              <w:jc w:val="center"/>
              <w:rPr>
                <w:sz w:val="16"/>
                <w:szCs w:val="16"/>
              </w:rPr>
            </w:pPr>
            <w:r w:rsidRPr="006B3CCB">
              <w:rPr>
                <w:sz w:val="16"/>
                <w:szCs w:val="16"/>
              </w:rPr>
              <w:t>-21.0</w:t>
            </w:r>
          </w:p>
        </w:tc>
        <w:tc>
          <w:tcPr>
            <w:tcW w:w="0" w:type="auto"/>
            <w:vAlign w:val="center"/>
          </w:tcPr>
          <w:p w14:paraId="38AB4577" w14:textId="77777777" w:rsidR="005C3A4C" w:rsidRPr="006B3CCB" w:rsidRDefault="005C3A4C" w:rsidP="00DC0FBC">
            <w:pPr>
              <w:spacing w:after="0"/>
              <w:jc w:val="center"/>
              <w:rPr>
                <w:sz w:val="16"/>
                <w:szCs w:val="16"/>
              </w:rPr>
            </w:pPr>
            <w:r w:rsidRPr="006B3CCB">
              <w:rPr>
                <w:sz w:val="16"/>
                <w:szCs w:val="16"/>
              </w:rPr>
              <w:t>-21.8</w:t>
            </w:r>
          </w:p>
        </w:tc>
        <w:tc>
          <w:tcPr>
            <w:tcW w:w="0" w:type="auto"/>
            <w:vAlign w:val="center"/>
          </w:tcPr>
          <w:p w14:paraId="1D94CB16" w14:textId="77777777" w:rsidR="005C3A4C" w:rsidRPr="006B3CCB" w:rsidRDefault="005C3A4C" w:rsidP="00DC0FBC">
            <w:pPr>
              <w:spacing w:after="0"/>
              <w:jc w:val="center"/>
              <w:rPr>
                <w:sz w:val="16"/>
                <w:szCs w:val="16"/>
              </w:rPr>
            </w:pPr>
            <w:r w:rsidRPr="006B3CCB">
              <w:rPr>
                <w:sz w:val="16"/>
                <w:szCs w:val="16"/>
              </w:rPr>
              <w:t>-22.5</w:t>
            </w:r>
          </w:p>
        </w:tc>
        <w:tc>
          <w:tcPr>
            <w:tcW w:w="0" w:type="auto"/>
            <w:vAlign w:val="center"/>
          </w:tcPr>
          <w:p w14:paraId="703FD133" w14:textId="77777777" w:rsidR="005C3A4C" w:rsidRPr="006B3CCB" w:rsidRDefault="005C3A4C" w:rsidP="00DC0FBC">
            <w:pPr>
              <w:spacing w:after="0"/>
              <w:jc w:val="center"/>
              <w:rPr>
                <w:sz w:val="16"/>
                <w:szCs w:val="16"/>
              </w:rPr>
            </w:pPr>
            <w:r w:rsidRPr="006B3CCB">
              <w:rPr>
                <w:sz w:val="16"/>
                <w:szCs w:val="16"/>
              </w:rPr>
              <w:t>-23.2</w:t>
            </w:r>
          </w:p>
        </w:tc>
        <w:tc>
          <w:tcPr>
            <w:tcW w:w="0" w:type="auto"/>
            <w:vAlign w:val="center"/>
          </w:tcPr>
          <w:p w14:paraId="5B4972EF" w14:textId="77777777" w:rsidR="005C3A4C" w:rsidRPr="006B3CCB" w:rsidRDefault="005C3A4C" w:rsidP="00DC0FBC">
            <w:pPr>
              <w:spacing w:after="0"/>
              <w:jc w:val="center"/>
              <w:rPr>
                <w:sz w:val="16"/>
                <w:szCs w:val="16"/>
              </w:rPr>
            </w:pPr>
            <w:r w:rsidRPr="006B3CCB">
              <w:rPr>
                <w:sz w:val="16"/>
                <w:szCs w:val="16"/>
              </w:rPr>
              <w:t>-23.7</w:t>
            </w:r>
          </w:p>
        </w:tc>
        <w:tc>
          <w:tcPr>
            <w:tcW w:w="0" w:type="auto"/>
            <w:shd w:val="clear" w:color="auto" w:fill="FFC000"/>
            <w:vAlign w:val="center"/>
          </w:tcPr>
          <w:p w14:paraId="2BCB19C3" w14:textId="77777777" w:rsidR="005C3A4C" w:rsidRPr="006B3CCB" w:rsidRDefault="005C3A4C" w:rsidP="00DC0FBC">
            <w:pPr>
              <w:spacing w:after="0"/>
              <w:jc w:val="center"/>
              <w:rPr>
                <w:sz w:val="16"/>
                <w:szCs w:val="16"/>
              </w:rPr>
            </w:pPr>
            <w:r w:rsidRPr="006B3CCB">
              <w:rPr>
                <w:sz w:val="16"/>
                <w:szCs w:val="16"/>
              </w:rPr>
              <w:t>-24.1</w:t>
            </w:r>
          </w:p>
        </w:tc>
        <w:tc>
          <w:tcPr>
            <w:tcW w:w="0" w:type="auto"/>
            <w:shd w:val="clear" w:color="auto" w:fill="FFC000"/>
            <w:vAlign w:val="center"/>
          </w:tcPr>
          <w:p w14:paraId="29A806A3" w14:textId="77777777" w:rsidR="005C3A4C" w:rsidRPr="006B3CCB" w:rsidRDefault="005C3A4C" w:rsidP="00DC0FBC">
            <w:pPr>
              <w:spacing w:after="0"/>
              <w:jc w:val="center"/>
              <w:rPr>
                <w:sz w:val="16"/>
                <w:szCs w:val="16"/>
              </w:rPr>
            </w:pPr>
            <w:r w:rsidRPr="006B3CCB">
              <w:rPr>
                <w:sz w:val="16"/>
                <w:szCs w:val="16"/>
              </w:rPr>
              <w:t>-25.0</w:t>
            </w:r>
          </w:p>
        </w:tc>
        <w:tc>
          <w:tcPr>
            <w:tcW w:w="0" w:type="auto"/>
            <w:shd w:val="clear" w:color="auto" w:fill="FFC000"/>
            <w:vAlign w:val="center"/>
          </w:tcPr>
          <w:p w14:paraId="2E1368EB" w14:textId="77777777" w:rsidR="005C3A4C" w:rsidRPr="006B3CCB" w:rsidRDefault="005C3A4C" w:rsidP="00DC0FBC">
            <w:pPr>
              <w:spacing w:after="0"/>
              <w:jc w:val="center"/>
              <w:rPr>
                <w:sz w:val="16"/>
                <w:szCs w:val="16"/>
              </w:rPr>
            </w:pPr>
            <w:r w:rsidRPr="006B3CCB">
              <w:rPr>
                <w:sz w:val="16"/>
                <w:szCs w:val="16"/>
              </w:rPr>
              <w:t>-25.7</w:t>
            </w:r>
          </w:p>
        </w:tc>
        <w:tc>
          <w:tcPr>
            <w:tcW w:w="0" w:type="auto"/>
            <w:shd w:val="clear" w:color="auto" w:fill="FFC000"/>
            <w:vAlign w:val="center"/>
          </w:tcPr>
          <w:p w14:paraId="39ACC0B6" w14:textId="77777777" w:rsidR="005C3A4C" w:rsidRPr="006B3CCB" w:rsidRDefault="005C3A4C" w:rsidP="00DC0FBC">
            <w:pPr>
              <w:spacing w:after="0"/>
              <w:jc w:val="center"/>
              <w:rPr>
                <w:sz w:val="16"/>
                <w:szCs w:val="16"/>
              </w:rPr>
            </w:pPr>
            <w:r w:rsidRPr="006B3CCB">
              <w:rPr>
                <w:sz w:val="16"/>
                <w:szCs w:val="16"/>
              </w:rPr>
              <w:t>-26.3</w:t>
            </w:r>
          </w:p>
        </w:tc>
        <w:tc>
          <w:tcPr>
            <w:tcW w:w="0" w:type="auto"/>
            <w:shd w:val="clear" w:color="auto" w:fill="FFC000"/>
            <w:vAlign w:val="center"/>
          </w:tcPr>
          <w:p w14:paraId="3369C894" w14:textId="77777777" w:rsidR="005C3A4C" w:rsidRPr="006B3CCB" w:rsidRDefault="005C3A4C" w:rsidP="00DC0FBC">
            <w:pPr>
              <w:spacing w:after="0"/>
              <w:jc w:val="center"/>
              <w:rPr>
                <w:sz w:val="16"/>
                <w:szCs w:val="16"/>
              </w:rPr>
            </w:pPr>
            <w:r w:rsidRPr="006B3CCB">
              <w:rPr>
                <w:sz w:val="16"/>
                <w:szCs w:val="16"/>
              </w:rPr>
              <w:t>-26.8</w:t>
            </w:r>
          </w:p>
        </w:tc>
        <w:tc>
          <w:tcPr>
            <w:tcW w:w="0" w:type="auto"/>
            <w:shd w:val="clear" w:color="auto" w:fill="FFC000"/>
            <w:vAlign w:val="center"/>
          </w:tcPr>
          <w:p w14:paraId="7C40B406" w14:textId="77777777" w:rsidR="005C3A4C" w:rsidRPr="006B3CCB" w:rsidRDefault="005C3A4C" w:rsidP="00DC0FBC">
            <w:pPr>
              <w:spacing w:after="0"/>
              <w:jc w:val="center"/>
              <w:rPr>
                <w:sz w:val="16"/>
                <w:szCs w:val="16"/>
              </w:rPr>
            </w:pPr>
            <w:r w:rsidRPr="006B3CCB">
              <w:rPr>
                <w:sz w:val="16"/>
                <w:szCs w:val="16"/>
              </w:rPr>
              <w:t>-27.2</w:t>
            </w:r>
          </w:p>
        </w:tc>
      </w:tr>
      <w:tr w:rsidR="006B3CCB" w:rsidRPr="006B3CCB" w14:paraId="7BE35786" w14:textId="77777777" w:rsidTr="005C14D9">
        <w:trPr>
          <w:jc w:val="right"/>
        </w:trPr>
        <w:tc>
          <w:tcPr>
            <w:tcW w:w="0" w:type="auto"/>
            <w:vAlign w:val="center"/>
          </w:tcPr>
          <w:p w14:paraId="1C234433" w14:textId="77777777" w:rsidR="005C3A4C" w:rsidRPr="006B3CCB" w:rsidRDefault="005C3A4C" w:rsidP="00DC0FBC">
            <w:pPr>
              <w:spacing w:after="0"/>
              <w:jc w:val="center"/>
              <w:rPr>
                <w:sz w:val="18"/>
              </w:rPr>
            </w:pPr>
            <w:r w:rsidRPr="006B3CCB">
              <w:rPr>
                <w:sz w:val="18"/>
              </w:rPr>
              <w:t xml:space="preserve">IBE </w:t>
            </w:r>
            <w:r w:rsidRPr="006B3CCB">
              <w:rPr>
                <w:sz w:val="18"/>
                <w:highlight w:val="yellow"/>
              </w:rPr>
              <w:t>16QAM</w:t>
            </w:r>
            <w:r w:rsidRPr="006B3CCB">
              <w:rPr>
                <w:sz w:val="18"/>
              </w:rPr>
              <w:t xml:space="preserve"> 26dBm</w:t>
            </w:r>
          </w:p>
          <w:p w14:paraId="0FFC1D77" w14:textId="77777777" w:rsidR="005C3A4C" w:rsidRPr="006B3CCB" w:rsidRDefault="005C3A4C" w:rsidP="00DC0FBC">
            <w:pPr>
              <w:spacing w:after="0"/>
              <w:jc w:val="center"/>
              <w:rPr>
                <w:sz w:val="18"/>
              </w:rPr>
            </w:pPr>
            <w:r w:rsidRPr="006B3CCB">
              <w:rPr>
                <w:sz w:val="18"/>
              </w:rPr>
              <w:t>(dBm/30kHz)</w:t>
            </w:r>
          </w:p>
        </w:tc>
        <w:tc>
          <w:tcPr>
            <w:tcW w:w="0" w:type="auto"/>
            <w:shd w:val="clear" w:color="auto" w:fill="FFC000"/>
            <w:vAlign w:val="center"/>
          </w:tcPr>
          <w:p w14:paraId="560315E7" w14:textId="77777777" w:rsidR="005C3A4C" w:rsidRPr="006B3CCB" w:rsidRDefault="005C3A4C" w:rsidP="00DC0FBC">
            <w:pPr>
              <w:spacing w:after="0"/>
              <w:jc w:val="center"/>
              <w:rPr>
                <w:sz w:val="16"/>
                <w:szCs w:val="16"/>
              </w:rPr>
            </w:pPr>
            <w:r w:rsidRPr="006B3CCB">
              <w:rPr>
                <w:sz w:val="16"/>
                <w:szCs w:val="16"/>
              </w:rPr>
              <w:t>-19.6</w:t>
            </w:r>
          </w:p>
        </w:tc>
        <w:tc>
          <w:tcPr>
            <w:tcW w:w="0" w:type="auto"/>
            <w:shd w:val="clear" w:color="auto" w:fill="FFC000"/>
            <w:vAlign w:val="center"/>
          </w:tcPr>
          <w:p w14:paraId="4F6C172F" w14:textId="77777777" w:rsidR="005C3A4C" w:rsidRPr="006B3CCB" w:rsidRDefault="005C3A4C" w:rsidP="00DC0FBC">
            <w:pPr>
              <w:spacing w:after="0"/>
              <w:jc w:val="center"/>
              <w:rPr>
                <w:sz w:val="16"/>
                <w:szCs w:val="16"/>
              </w:rPr>
            </w:pPr>
            <w:r w:rsidRPr="006B3CCB">
              <w:rPr>
                <w:sz w:val="16"/>
                <w:szCs w:val="16"/>
              </w:rPr>
              <w:t>-21.6</w:t>
            </w:r>
          </w:p>
        </w:tc>
        <w:tc>
          <w:tcPr>
            <w:tcW w:w="0" w:type="auto"/>
            <w:shd w:val="clear" w:color="auto" w:fill="FFC000"/>
            <w:vAlign w:val="center"/>
          </w:tcPr>
          <w:p w14:paraId="00C23EDE" w14:textId="77777777" w:rsidR="005C3A4C" w:rsidRPr="006B3CCB" w:rsidRDefault="005C3A4C" w:rsidP="00DC0FBC">
            <w:pPr>
              <w:spacing w:after="0"/>
              <w:jc w:val="center"/>
              <w:rPr>
                <w:sz w:val="16"/>
                <w:szCs w:val="16"/>
              </w:rPr>
            </w:pPr>
            <w:r w:rsidRPr="006B3CCB">
              <w:rPr>
                <w:sz w:val="16"/>
                <w:szCs w:val="16"/>
              </w:rPr>
              <w:t>-22.9</w:t>
            </w:r>
          </w:p>
        </w:tc>
        <w:tc>
          <w:tcPr>
            <w:tcW w:w="0" w:type="auto"/>
            <w:shd w:val="clear" w:color="auto" w:fill="FFC000"/>
            <w:vAlign w:val="center"/>
          </w:tcPr>
          <w:p w14:paraId="36F2877E" w14:textId="77777777" w:rsidR="005C3A4C" w:rsidRPr="006B3CCB" w:rsidRDefault="005C3A4C" w:rsidP="00DC0FBC">
            <w:pPr>
              <w:spacing w:after="0"/>
              <w:jc w:val="center"/>
              <w:rPr>
                <w:sz w:val="16"/>
                <w:szCs w:val="16"/>
              </w:rPr>
            </w:pPr>
            <w:r w:rsidRPr="006B3CCB">
              <w:rPr>
                <w:sz w:val="16"/>
                <w:szCs w:val="16"/>
              </w:rPr>
              <w:t>-24.0</w:t>
            </w:r>
          </w:p>
        </w:tc>
        <w:tc>
          <w:tcPr>
            <w:tcW w:w="0" w:type="auto"/>
            <w:shd w:val="clear" w:color="auto" w:fill="FFC000"/>
            <w:vAlign w:val="center"/>
          </w:tcPr>
          <w:p w14:paraId="1144B323" w14:textId="77777777" w:rsidR="005C3A4C" w:rsidRPr="006B3CCB" w:rsidRDefault="005C3A4C" w:rsidP="00DC0FBC">
            <w:pPr>
              <w:spacing w:after="0"/>
              <w:jc w:val="center"/>
              <w:rPr>
                <w:sz w:val="16"/>
                <w:szCs w:val="16"/>
              </w:rPr>
            </w:pPr>
            <w:r w:rsidRPr="006B3CCB">
              <w:rPr>
                <w:sz w:val="16"/>
                <w:szCs w:val="16"/>
              </w:rPr>
              <w:t>-24.8</w:t>
            </w:r>
          </w:p>
        </w:tc>
        <w:tc>
          <w:tcPr>
            <w:tcW w:w="0" w:type="auto"/>
            <w:shd w:val="clear" w:color="auto" w:fill="FFC000"/>
            <w:vAlign w:val="center"/>
          </w:tcPr>
          <w:p w14:paraId="1398F3CC" w14:textId="77777777" w:rsidR="005C3A4C" w:rsidRPr="006B3CCB" w:rsidRDefault="005C3A4C" w:rsidP="00DC0FBC">
            <w:pPr>
              <w:spacing w:after="0"/>
              <w:jc w:val="center"/>
              <w:rPr>
                <w:sz w:val="16"/>
                <w:szCs w:val="16"/>
              </w:rPr>
            </w:pPr>
            <w:r w:rsidRPr="006B3CCB">
              <w:rPr>
                <w:sz w:val="16"/>
                <w:szCs w:val="16"/>
              </w:rPr>
              <w:t>-25.5</w:t>
            </w:r>
          </w:p>
        </w:tc>
        <w:tc>
          <w:tcPr>
            <w:tcW w:w="0" w:type="auto"/>
            <w:shd w:val="clear" w:color="auto" w:fill="FFC000"/>
            <w:vAlign w:val="center"/>
          </w:tcPr>
          <w:p w14:paraId="6DCDA7C8" w14:textId="77777777" w:rsidR="005C3A4C" w:rsidRPr="006B3CCB" w:rsidRDefault="005C3A4C" w:rsidP="00DC0FBC">
            <w:pPr>
              <w:spacing w:after="0"/>
              <w:jc w:val="center"/>
              <w:rPr>
                <w:sz w:val="16"/>
                <w:szCs w:val="16"/>
              </w:rPr>
            </w:pPr>
            <w:r w:rsidRPr="006B3CCB">
              <w:rPr>
                <w:sz w:val="16"/>
                <w:szCs w:val="16"/>
              </w:rPr>
              <w:t>-26.1</w:t>
            </w:r>
          </w:p>
        </w:tc>
        <w:tc>
          <w:tcPr>
            <w:tcW w:w="0" w:type="auto"/>
            <w:shd w:val="clear" w:color="auto" w:fill="FFC000"/>
            <w:vAlign w:val="center"/>
          </w:tcPr>
          <w:p w14:paraId="05AA9939" w14:textId="77777777" w:rsidR="005C3A4C" w:rsidRPr="006B3CCB" w:rsidRDefault="005C3A4C" w:rsidP="00DC0FBC">
            <w:pPr>
              <w:spacing w:after="0"/>
              <w:jc w:val="center"/>
              <w:rPr>
                <w:sz w:val="16"/>
                <w:szCs w:val="16"/>
              </w:rPr>
            </w:pPr>
            <w:r w:rsidRPr="006B3CCB">
              <w:rPr>
                <w:sz w:val="16"/>
                <w:szCs w:val="16"/>
              </w:rPr>
              <w:t>-26.6</w:t>
            </w:r>
          </w:p>
        </w:tc>
        <w:tc>
          <w:tcPr>
            <w:tcW w:w="0" w:type="auto"/>
            <w:shd w:val="clear" w:color="auto" w:fill="FFC000"/>
            <w:vAlign w:val="center"/>
          </w:tcPr>
          <w:p w14:paraId="7CC4D308" w14:textId="77777777" w:rsidR="005C3A4C" w:rsidRPr="006B3CCB" w:rsidRDefault="005C3A4C" w:rsidP="00DC0FBC">
            <w:pPr>
              <w:spacing w:after="0"/>
              <w:jc w:val="center"/>
              <w:rPr>
                <w:sz w:val="16"/>
                <w:szCs w:val="16"/>
              </w:rPr>
            </w:pPr>
            <w:r w:rsidRPr="006B3CCB">
              <w:rPr>
                <w:sz w:val="16"/>
                <w:szCs w:val="16"/>
              </w:rPr>
              <w:t>-27.1</w:t>
            </w:r>
          </w:p>
        </w:tc>
        <w:tc>
          <w:tcPr>
            <w:tcW w:w="0" w:type="auto"/>
            <w:shd w:val="clear" w:color="auto" w:fill="FFC000"/>
            <w:vAlign w:val="center"/>
          </w:tcPr>
          <w:p w14:paraId="25E0C402" w14:textId="77777777" w:rsidR="005C3A4C" w:rsidRPr="006B3CCB" w:rsidRDefault="005C3A4C" w:rsidP="00DC0FBC">
            <w:pPr>
              <w:spacing w:after="0"/>
              <w:jc w:val="center"/>
              <w:rPr>
                <w:sz w:val="16"/>
                <w:szCs w:val="16"/>
              </w:rPr>
            </w:pPr>
            <w:r w:rsidRPr="006B3CCB">
              <w:rPr>
                <w:sz w:val="16"/>
                <w:szCs w:val="16"/>
              </w:rPr>
              <w:t>-28.0</w:t>
            </w:r>
          </w:p>
        </w:tc>
        <w:tc>
          <w:tcPr>
            <w:tcW w:w="0" w:type="auto"/>
            <w:shd w:val="clear" w:color="auto" w:fill="FFC000"/>
            <w:vAlign w:val="center"/>
          </w:tcPr>
          <w:p w14:paraId="3ACC3BFF" w14:textId="77777777" w:rsidR="005C3A4C" w:rsidRPr="006B3CCB" w:rsidRDefault="005C3A4C" w:rsidP="00DC0FBC">
            <w:pPr>
              <w:spacing w:after="0"/>
              <w:jc w:val="center"/>
              <w:rPr>
                <w:sz w:val="16"/>
                <w:szCs w:val="16"/>
              </w:rPr>
            </w:pPr>
            <w:r w:rsidRPr="006B3CCB">
              <w:rPr>
                <w:sz w:val="16"/>
                <w:szCs w:val="16"/>
              </w:rPr>
              <w:t>-28.6</w:t>
            </w:r>
          </w:p>
        </w:tc>
        <w:tc>
          <w:tcPr>
            <w:tcW w:w="0" w:type="auto"/>
            <w:shd w:val="clear" w:color="auto" w:fill="FFC000"/>
            <w:vAlign w:val="center"/>
          </w:tcPr>
          <w:p w14:paraId="4826731D" w14:textId="77777777" w:rsidR="005C3A4C" w:rsidRPr="006B3CCB" w:rsidRDefault="005C3A4C" w:rsidP="00DC0FBC">
            <w:pPr>
              <w:spacing w:after="0"/>
              <w:jc w:val="center"/>
              <w:rPr>
                <w:sz w:val="16"/>
                <w:szCs w:val="16"/>
              </w:rPr>
            </w:pPr>
            <w:r w:rsidRPr="006B3CCB">
              <w:rPr>
                <w:sz w:val="16"/>
                <w:szCs w:val="16"/>
              </w:rPr>
              <w:t>-29.2</w:t>
            </w:r>
          </w:p>
        </w:tc>
        <w:tc>
          <w:tcPr>
            <w:tcW w:w="0" w:type="auto"/>
            <w:shd w:val="clear" w:color="auto" w:fill="FFC000"/>
            <w:vAlign w:val="center"/>
          </w:tcPr>
          <w:p w14:paraId="061AF256" w14:textId="77777777" w:rsidR="005C3A4C" w:rsidRPr="006B3CCB" w:rsidRDefault="005C3A4C" w:rsidP="00DC0FBC">
            <w:pPr>
              <w:spacing w:after="0"/>
              <w:jc w:val="center"/>
              <w:rPr>
                <w:sz w:val="16"/>
                <w:szCs w:val="16"/>
              </w:rPr>
            </w:pPr>
            <w:r w:rsidRPr="006B3CCB">
              <w:rPr>
                <w:sz w:val="16"/>
                <w:szCs w:val="16"/>
              </w:rPr>
              <w:t>-29.7</w:t>
            </w:r>
          </w:p>
        </w:tc>
        <w:tc>
          <w:tcPr>
            <w:tcW w:w="0" w:type="auto"/>
            <w:shd w:val="clear" w:color="auto" w:fill="FFC000"/>
            <w:vAlign w:val="center"/>
          </w:tcPr>
          <w:p w14:paraId="52CF75B4" w14:textId="77777777" w:rsidR="005C3A4C" w:rsidRPr="006B3CCB" w:rsidRDefault="005C3A4C" w:rsidP="00DC0FBC">
            <w:pPr>
              <w:spacing w:after="0"/>
              <w:jc w:val="center"/>
              <w:rPr>
                <w:sz w:val="16"/>
                <w:szCs w:val="16"/>
              </w:rPr>
            </w:pPr>
            <w:r w:rsidRPr="006B3CCB">
              <w:rPr>
                <w:sz w:val="16"/>
                <w:szCs w:val="16"/>
              </w:rPr>
              <w:t>-30.2</w:t>
            </w:r>
          </w:p>
        </w:tc>
      </w:tr>
      <w:tr w:rsidR="006B3CCB" w:rsidRPr="006B3CCB" w14:paraId="7C7329AA" w14:textId="77777777" w:rsidTr="005C14D9">
        <w:trPr>
          <w:jc w:val="right"/>
        </w:trPr>
        <w:tc>
          <w:tcPr>
            <w:tcW w:w="0" w:type="auto"/>
            <w:vAlign w:val="center"/>
          </w:tcPr>
          <w:p w14:paraId="5BA1A76A" w14:textId="77777777" w:rsidR="005C3A4C" w:rsidRPr="006B3CCB" w:rsidRDefault="005C3A4C" w:rsidP="00DC0FBC">
            <w:pPr>
              <w:spacing w:after="0"/>
              <w:jc w:val="center"/>
              <w:rPr>
                <w:sz w:val="18"/>
              </w:rPr>
            </w:pPr>
            <w:r w:rsidRPr="006B3CCB">
              <w:rPr>
                <w:sz w:val="18"/>
              </w:rPr>
              <w:t xml:space="preserve">IBE </w:t>
            </w:r>
            <w:r w:rsidRPr="006B3CCB">
              <w:rPr>
                <w:sz w:val="18"/>
                <w:highlight w:val="yellow"/>
              </w:rPr>
              <w:t>BPSK</w:t>
            </w:r>
            <w:r w:rsidRPr="006B3CCB">
              <w:rPr>
                <w:sz w:val="18"/>
              </w:rPr>
              <w:t xml:space="preserve"> 26dBm</w:t>
            </w:r>
          </w:p>
          <w:p w14:paraId="63A07189" w14:textId="77777777" w:rsidR="005C3A4C" w:rsidRPr="006B3CCB" w:rsidRDefault="005C3A4C" w:rsidP="00DC0FBC">
            <w:pPr>
              <w:spacing w:after="0"/>
              <w:jc w:val="center"/>
              <w:rPr>
                <w:sz w:val="18"/>
              </w:rPr>
            </w:pPr>
            <w:r w:rsidRPr="006B3CCB">
              <w:rPr>
                <w:sz w:val="18"/>
              </w:rPr>
              <w:t>(dBm/30kHz)</w:t>
            </w:r>
          </w:p>
        </w:tc>
        <w:tc>
          <w:tcPr>
            <w:tcW w:w="0" w:type="auto"/>
            <w:shd w:val="clear" w:color="auto" w:fill="92D050"/>
            <w:vAlign w:val="center"/>
          </w:tcPr>
          <w:p w14:paraId="1D30816B" w14:textId="77777777" w:rsidR="005C3A4C" w:rsidRPr="006B3CCB" w:rsidRDefault="005C3A4C" w:rsidP="00DC0FBC">
            <w:pPr>
              <w:spacing w:after="0"/>
              <w:jc w:val="center"/>
              <w:rPr>
                <w:sz w:val="16"/>
                <w:szCs w:val="16"/>
              </w:rPr>
            </w:pPr>
            <w:r w:rsidRPr="006B3CCB">
              <w:rPr>
                <w:sz w:val="16"/>
                <w:szCs w:val="16"/>
              </w:rPr>
              <w:t>-12.0</w:t>
            </w:r>
          </w:p>
        </w:tc>
        <w:tc>
          <w:tcPr>
            <w:tcW w:w="0" w:type="auto"/>
            <w:shd w:val="clear" w:color="auto" w:fill="92D050"/>
            <w:vAlign w:val="center"/>
          </w:tcPr>
          <w:p w14:paraId="68E1A7E1" w14:textId="77777777" w:rsidR="005C3A4C" w:rsidRPr="006B3CCB" w:rsidRDefault="005C3A4C" w:rsidP="00DC0FBC">
            <w:pPr>
              <w:spacing w:after="0"/>
              <w:jc w:val="center"/>
              <w:rPr>
                <w:sz w:val="16"/>
                <w:szCs w:val="16"/>
              </w:rPr>
            </w:pPr>
            <w:r w:rsidRPr="006B3CCB">
              <w:rPr>
                <w:sz w:val="16"/>
                <w:szCs w:val="16"/>
              </w:rPr>
              <w:t>-14.0</w:t>
            </w:r>
          </w:p>
        </w:tc>
        <w:tc>
          <w:tcPr>
            <w:tcW w:w="0" w:type="auto"/>
            <w:shd w:val="clear" w:color="auto" w:fill="92D050"/>
            <w:vAlign w:val="center"/>
          </w:tcPr>
          <w:p w14:paraId="33F263EA" w14:textId="77777777" w:rsidR="005C3A4C" w:rsidRPr="006B3CCB" w:rsidRDefault="005C3A4C" w:rsidP="00DC0FBC">
            <w:pPr>
              <w:spacing w:after="0"/>
              <w:jc w:val="center"/>
              <w:rPr>
                <w:sz w:val="16"/>
                <w:szCs w:val="16"/>
              </w:rPr>
            </w:pPr>
            <w:r w:rsidRPr="006B3CCB">
              <w:rPr>
                <w:sz w:val="16"/>
                <w:szCs w:val="16"/>
              </w:rPr>
              <w:t>-15.3</w:t>
            </w:r>
          </w:p>
        </w:tc>
        <w:tc>
          <w:tcPr>
            <w:tcW w:w="0" w:type="auto"/>
            <w:shd w:val="clear" w:color="auto" w:fill="92D050"/>
            <w:vAlign w:val="center"/>
          </w:tcPr>
          <w:p w14:paraId="74EFE78A" w14:textId="77777777" w:rsidR="005C3A4C" w:rsidRPr="006B3CCB" w:rsidRDefault="005C3A4C" w:rsidP="00DC0FBC">
            <w:pPr>
              <w:spacing w:after="0"/>
              <w:jc w:val="center"/>
              <w:rPr>
                <w:sz w:val="16"/>
                <w:szCs w:val="16"/>
              </w:rPr>
            </w:pPr>
            <w:r w:rsidRPr="006B3CCB">
              <w:rPr>
                <w:sz w:val="16"/>
                <w:szCs w:val="16"/>
              </w:rPr>
              <w:t>-16.4</w:t>
            </w:r>
          </w:p>
        </w:tc>
        <w:tc>
          <w:tcPr>
            <w:tcW w:w="0" w:type="auto"/>
            <w:shd w:val="clear" w:color="auto" w:fill="92D050"/>
            <w:vAlign w:val="center"/>
          </w:tcPr>
          <w:p w14:paraId="329289AD" w14:textId="77777777" w:rsidR="005C3A4C" w:rsidRPr="006B3CCB" w:rsidRDefault="005C3A4C" w:rsidP="00DC0FBC">
            <w:pPr>
              <w:spacing w:after="0"/>
              <w:jc w:val="center"/>
              <w:rPr>
                <w:sz w:val="16"/>
                <w:szCs w:val="16"/>
              </w:rPr>
            </w:pPr>
            <w:r w:rsidRPr="006B3CCB">
              <w:rPr>
                <w:sz w:val="16"/>
                <w:szCs w:val="16"/>
              </w:rPr>
              <w:t>-17.2</w:t>
            </w:r>
          </w:p>
        </w:tc>
        <w:tc>
          <w:tcPr>
            <w:tcW w:w="0" w:type="auto"/>
            <w:shd w:val="clear" w:color="auto" w:fill="92D050"/>
            <w:vAlign w:val="center"/>
          </w:tcPr>
          <w:p w14:paraId="3AB88518" w14:textId="77777777" w:rsidR="005C3A4C" w:rsidRPr="006B3CCB" w:rsidRDefault="005C3A4C" w:rsidP="00DC0FBC">
            <w:pPr>
              <w:spacing w:after="0"/>
              <w:jc w:val="center"/>
              <w:rPr>
                <w:sz w:val="16"/>
                <w:szCs w:val="16"/>
              </w:rPr>
            </w:pPr>
            <w:r w:rsidRPr="006B3CCB">
              <w:rPr>
                <w:sz w:val="16"/>
                <w:szCs w:val="16"/>
              </w:rPr>
              <w:t>-17.8</w:t>
            </w:r>
          </w:p>
        </w:tc>
        <w:tc>
          <w:tcPr>
            <w:tcW w:w="0" w:type="auto"/>
            <w:shd w:val="clear" w:color="auto" w:fill="92D050"/>
            <w:vAlign w:val="center"/>
          </w:tcPr>
          <w:p w14:paraId="53D6BBFD" w14:textId="77777777" w:rsidR="005C3A4C" w:rsidRPr="006B3CCB" w:rsidRDefault="005C3A4C" w:rsidP="00DC0FBC">
            <w:pPr>
              <w:spacing w:after="0"/>
              <w:jc w:val="center"/>
              <w:rPr>
                <w:sz w:val="16"/>
                <w:szCs w:val="16"/>
              </w:rPr>
            </w:pPr>
            <w:r w:rsidRPr="006B3CCB">
              <w:rPr>
                <w:sz w:val="16"/>
                <w:szCs w:val="16"/>
              </w:rPr>
              <w:t>-18.5</w:t>
            </w:r>
          </w:p>
        </w:tc>
        <w:tc>
          <w:tcPr>
            <w:tcW w:w="0" w:type="auto"/>
            <w:shd w:val="clear" w:color="auto" w:fill="92D050"/>
            <w:vAlign w:val="center"/>
          </w:tcPr>
          <w:p w14:paraId="6FF6C3AE" w14:textId="77777777" w:rsidR="005C3A4C" w:rsidRPr="006B3CCB" w:rsidRDefault="005C3A4C" w:rsidP="00DC0FBC">
            <w:pPr>
              <w:spacing w:after="0"/>
              <w:jc w:val="center"/>
              <w:rPr>
                <w:sz w:val="16"/>
                <w:szCs w:val="16"/>
              </w:rPr>
            </w:pPr>
            <w:r w:rsidRPr="006B3CCB">
              <w:rPr>
                <w:sz w:val="16"/>
                <w:szCs w:val="16"/>
              </w:rPr>
              <w:t>-19.0</w:t>
            </w:r>
          </w:p>
        </w:tc>
        <w:tc>
          <w:tcPr>
            <w:tcW w:w="0" w:type="auto"/>
            <w:shd w:val="clear" w:color="auto" w:fill="92D050"/>
            <w:vAlign w:val="center"/>
          </w:tcPr>
          <w:p w14:paraId="68BDE431" w14:textId="77777777" w:rsidR="005C3A4C" w:rsidRPr="006B3CCB" w:rsidRDefault="005C3A4C" w:rsidP="00DC0FBC">
            <w:pPr>
              <w:spacing w:after="0"/>
              <w:jc w:val="center"/>
              <w:rPr>
                <w:sz w:val="16"/>
                <w:szCs w:val="16"/>
              </w:rPr>
            </w:pPr>
            <w:r w:rsidRPr="006B3CCB">
              <w:rPr>
                <w:sz w:val="16"/>
                <w:szCs w:val="16"/>
              </w:rPr>
              <w:t>-19.5</w:t>
            </w:r>
          </w:p>
        </w:tc>
        <w:tc>
          <w:tcPr>
            <w:tcW w:w="0" w:type="auto"/>
            <w:shd w:val="clear" w:color="auto" w:fill="92D050"/>
            <w:vAlign w:val="center"/>
          </w:tcPr>
          <w:p w14:paraId="57E820EA" w14:textId="77777777" w:rsidR="005C3A4C" w:rsidRPr="006B3CCB" w:rsidRDefault="005C3A4C" w:rsidP="00DC0FBC">
            <w:pPr>
              <w:spacing w:after="0"/>
              <w:jc w:val="center"/>
              <w:rPr>
                <w:sz w:val="16"/>
                <w:szCs w:val="16"/>
              </w:rPr>
            </w:pPr>
            <w:r w:rsidRPr="006B3CCB">
              <w:rPr>
                <w:sz w:val="16"/>
                <w:szCs w:val="16"/>
              </w:rPr>
              <w:t>-20.3</w:t>
            </w:r>
          </w:p>
        </w:tc>
        <w:tc>
          <w:tcPr>
            <w:tcW w:w="0" w:type="auto"/>
            <w:shd w:val="clear" w:color="auto" w:fill="92D050"/>
            <w:vAlign w:val="center"/>
          </w:tcPr>
          <w:p w14:paraId="7F43872C" w14:textId="77777777" w:rsidR="005C3A4C" w:rsidRPr="006B3CCB" w:rsidRDefault="005C3A4C" w:rsidP="00DC0FBC">
            <w:pPr>
              <w:spacing w:after="0"/>
              <w:jc w:val="center"/>
              <w:rPr>
                <w:sz w:val="16"/>
                <w:szCs w:val="16"/>
              </w:rPr>
            </w:pPr>
            <w:r w:rsidRPr="006B3CCB">
              <w:rPr>
                <w:sz w:val="16"/>
                <w:szCs w:val="16"/>
              </w:rPr>
              <w:t>-21.0</w:t>
            </w:r>
          </w:p>
        </w:tc>
        <w:tc>
          <w:tcPr>
            <w:tcW w:w="0" w:type="auto"/>
            <w:shd w:val="clear" w:color="auto" w:fill="92D050"/>
            <w:vAlign w:val="center"/>
          </w:tcPr>
          <w:p w14:paraId="5CA59ED7" w14:textId="77777777" w:rsidR="005C3A4C" w:rsidRPr="006B3CCB" w:rsidRDefault="005C3A4C" w:rsidP="00DC0FBC">
            <w:pPr>
              <w:spacing w:after="0"/>
              <w:jc w:val="center"/>
              <w:rPr>
                <w:sz w:val="16"/>
                <w:szCs w:val="16"/>
              </w:rPr>
            </w:pPr>
            <w:r w:rsidRPr="006B3CCB">
              <w:rPr>
                <w:sz w:val="16"/>
                <w:szCs w:val="16"/>
              </w:rPr>
              <w:t>-21.6</w:t>
            </w:r>
          </w:p>
        </w:tc>
        <w:tc>
          <w:tcPr>
            <w:tcW w:w="0" w:type="auto"/>
            <w:shd w:val="clear" w:color="auto" w:fill="92D050"/>
            <w:vAlign w:val="center"/>
          </w:tcPr>
          <w:p w14:paraId="58CB81AF" w14:textId="77777777" w:rsidR="005C3A4C" w:rsidRPr="006B3CCB" w:rsidRDefault="005C3A4C" w:rsidP="00DC0FBC">
            <w:pPr>
              <w:spacing w:after="0"/>
              <w:jc w:val="center"/>
              <w:rPr>
                <w:sz w:val="16"/>
                <w:szCs w:val="16"/>
              </w:rPr>
            </w:pPr>
            <w:r w:rsidRPr="006B3CCB">
              <w:rPr>
                <w:sz w:val="16"/>
                <w:szCs w:val="16"/>
              </w:rPr>
              <w:t>-22.1</w:t>
            </w:r>
          </w:p>
        </w:tc>
        <w:tc>
          <w:tcPr>
            <w:tcW w:w="0" w:type="auto"/>
            <w:shd w:val="clear" w:color="auto" w:fill="92D050"/>
            <w:vAlign w:val="center"/>
          </w:tcPr>
          <w:p w14:paraId="123AFFC7" w14:textId="77777777" w:rsidR="005C3A4C" w:rsidRPr="006B3CCB" w:rsidRDefault="005C3A4C" w:rsidP="00DC0FBC">
            <w:pPr>
              <w:spacing w:after="0"/>
              <w:jc w:val="center"/>
              <w:rPr>
                <w:sz w:val="16"/>
                <w:szCs w:val="16"/>
              </w:rPr>
            </w:pPr>
            <w:r w:rsidRPr="006B3CCB">
              <w:rPr>
                <w:sz w:val="16"/>
                <w:szCs w:val="16"/>
              </w:rPr>
              <w:t>-22.6</w:t>
            </w:r>
          </w:p>
        </w:tc>
      </w:tr>
    </w:tbl>
    <w:p w14:paraId="68729417" w14:textId="77777777" w:rsidR="005C3A4C" w:rsidRPr="006B3CCB" w:rsidRDefault="005C3A4C" w:rsidP="005C14D9">
      <w:pPr>
        <w:pStyle w:val="aff7"/>
        <w:overflowPunct/>
        <w:autoSpaceDE/>
        <w:autoSpaceDN/>
        <w:adjustRightInd/>
        <w:spacing w:after="120"/>
        <w:ind w:left="1440" w:firstLineChars="0" w:firstLine="0"/>
        <w:jc w:val="both"/>
        <w:textAlignment w:val="auto"/>
        <w:rPr>
          <w:rFonts w:eastAsia="宋体"/>
          <w:szCs w:val="24"/>
          <w:lang w:eastAsia="zh-CN"/>
        </w:rPr>
      </w:pPr>
    </w:p>
    <w:p w14:paraId="07B177D8" w14:textId="1EEC97AD" w:rsidR="001B7887" w:rsidRPr="006B3CCB" w:rsidRDefault="001B7887" w:rsidP="00A71498">
      <w:pPr>
        <w:pStyle w:val="aff7"/>
        <w:numPr>
          <w:ilvl w:val="0"/>
          <w:numId w:val="4"/>
        </w:numPr>
        <w:overflowPunct/>
        <w:autoSpaceDE/>
        <w:autoSpaceDN/>
        <w:adjustRightInd/>
        <w:spacing w:after="120"/>
        <w:ind w:left="720" w:firstLineChars="0"/>
        <w:textAlignment w:val="auto"/>
        <w:rPr>
          <w:rFonts w:eastAsia="宋体"/>
          <w:szCs w:val="24"/>
          <w:lang w:eastAsia="zh-CN"/>
        </w:rPr>
      </w:pPr>
      <w:r w:rsidRPr="006B3CCB">
        <w:rPr>
          <w:rFonts w:eastAsia="宋体"/>
          <w:szCs w:val="24"/>
          <w:lang w:eastAsia="zh-CN"/>
        </w:rPr>
        <w:t>WF</w:t>
      </w:r>
    </w:p>
    <w:p w14:paraId="3E4F3CD6" w14:textId="59D27E1F" w:rsidR="001B7887" w:rsidRPr="006B3CCB" w:rsidRDefault="00494F1B" w:rsidP="00A71498">
      <w:pPr>
        <w:pStyle w:val="aff7"/>
        <w:numPr>
          <w:ilvl w:val="1"/>
          <w:numId w:val="4"/>
        </w:numPr>
        <w:overflowPunct/>
        <w:autoSpaceDE/>
        <w:autoSpaceDN/>
        <w:adjustRightInd/>
        <w:spacing w:after="120"/>
        <w:ind w:left="1440" w:firstLineChars="0"/>
        <w:textAlignment w:val="auto"/>
        <w:rPr>
          <w:rFonts w:eastAsia="宋体"/>
          <w:szCs w:val="24"/>
          <w:lang w:eastAsia="zh-CN"/>
        </w:rPr>
      </w:pPr>
      <w:r w:rsidRPr="006B3CCB">
        <w:rPr>
          <w:rFonts w:eastAsia="宋体" w:hint="eastAsia"/>
          <w:szCs w:val="24"/>
          <w:lang w:eastAsia="zh-CN"/>
        </w:rPr>
        <w:t>F</w:t>
      </w:r>
      <w:r w:rsidRPr="006B3CCB">
        <w:rPr>
          <w:rFonts w:eastAsia="宋体"/>
          <w:szCs w:val="24"/>
          <w:lang w:eastAsia="zh-CN"/>
        </w:rPr>
        <w:t>FS whether the extended IBE with high order EVM could have impact on MPR for new inner RB allocation</w:t>
      </w:r>
    </w:p>
    <w:p w14:paraId="1E1B80C8" w14:textId="0B314408" w:rsidR="001B7887" w:rsidRPr="006B3CCB" w:rsidRDefault="001B7887" w:rsidP="006D70AB">
      <w:pPr>
        <w:spacing w:after="120"/>
        <w:rPr>
          <w:szCs w:val="24"/>
          <w:lang w:eastAsia="zh-CN"/>
        </w:rPr>
      </w:pPr>
    </w:p>
    <w:p w14:paraId="41116189" w14:textId="31960342" w:rsidR="006F2A7E" w:rsidRPr="006B3CCB" w:rsidRDefault="006F2A7E" w:rsidP="006F2A7E">
      <w:pPr>
        <w:pStyle w:val="2"/>
        <w:ind w:left="576"/>
      </w:pPr>
      <w:r w:rsidRPr="006B3CCB">
        <w:t xml:space="preserve">Sub-topic 1-2: Approaches to enable MPR reduction for </w:t>
      </w:r>
      <w:r w:rsidRPr="006B3CCB">
        <w:rPr>
          <w:rFonts w:hint="eastAsia"/>
        </w:rPr>
        <w:t>both</w:t>
      </w:r>
      <w:r w:rsidRPr="006B3CCB">
        <w:t xml:space="preserve"> scenario 1 and scenario2</w:t>
      </w:r>
    </w:p>
    <w:p w14:paraId="52D79EE8" w14:textId="77777777" w:rsidR="006F2A7E" w:rsidRPr="006B3CCB" w:rsidRDefault="006F2A7E" w:rsidP="006F2A7E">
      <w:pPr>
        <w:overflowPunct w:val="0"/>
        <w:autoSpaceDE w:val="0"/>
        <w:autoSpaceDN w:val="0"/>
        <w:adjustRightInd w:val="0"/>
        <w:spacing w:after="0"/>
        <w:textAlignment w:val="baseline"/>
        <w:rPr>
          <w:b/>
          <w:i/>
          <w:szCs w:val="24"/>
          <w:lang w:eastAsia="zh-CN"/>
        </w:rPr>
      </w:pPr>
      <w:r w:rsidRPr="006B3CCB">
        <w:rPr>
          <w:rFonts w:hint="eastAsia"/>
          <w:b/>
          <w:i/>
          <w:szCs w:val="24"/>
          <w:lang w:eastAsia="zh-CN"/>
        </w:rPr>
        <w:t>S</w:t>
      </w:r>
      <w:r w:rsidRPr="006B3CCB">
        <w:rPr>
          <w:b/>
          <w:i/>
          <w:szCs w:val="24"/>
          <w:lang w:eastAsia="zh-CN"/>
        </w:rPr>
        <w:t>cenarios discussed previous RAN4 meetings:</w:t>
      </w:r>
    </w:p>
    <w:p w14:paraId="34F817D4" w14:textId="77777777" w:rsidR="006F2A7E" w:rsidRPr="006B3CCB" w:rsidRDefault="006F2A7E" w:rsidP="006F2A7E">
      <w:pPr>
        <w:pStyle w:val="aff7"/>
        <w:numPr>
          <w:ilvl w:val="0"/>
          <w:numId w:val="3"/>
        </w:numPr>
        <w:spacing w:after="0"/>
        <w:ind w:firstLineChars="0"/>
        <w:rPr>
          <w:rFonts w:eastAsia="Times New Roman"/>
          <w:i/>
          <w:lang w:eastAsia="en-GB"/>
        </w:rPr>
      </w:pPr>
      <w:r w:rsidRPr="006B3CCB">
        <w:rPr>
          <w:b/>
          <w:i/>
          <w:szCs w:val="24"/>
          <w:lang w:eastAsia="zh-CN"/>
        </w:rPr>
        <w:t>Scenario 1-1</w:t>
      </w:r>
      <w:r w:rsidRPr="006B3CCB">
        <w:rPr>
          <w:i/>
          <w:szCs w:val="24"/>
          <w:lang w:eastAsia="zh-CN"/>
        </w:rPr>
        <w:t xml:space="preserve">: Scenario with no </w:t>
      </w:r>
      <w:r w:rsidRPr="006B3CCB">
        <w:rPr>
          <w:rFonts w:eastAsia="Times New Roman"/>
          <w:i/>
          <w:lang w:eastAsia="en-GB"/>
        </w:rPr>
        <w:t>adjacent in-band/out-of-band co-existence issue (single operator)</w:t>
      </w:r>
    </w:p>
    <w:p w14:paraId="2CB6E8EC" w14:textId="77777777" w:rsidR="006F2A7E" w:rsidRPr="006B3CCB" w:rsidRDefault="006F2A7E" w:rsidP="006F2A7E">
      <w:pPr>
        <w:pStyle w:val="aff7"/>
        <w:numPr>
          <w:ilvl w:val="0"/>
          <w:numId w:val="3"/>
        </w:numPr>
        <w:spacing w:after="0"/>
        <w:ind w:firstLineChars="0"/>
        <w:rPr>
          <w:rFonts w:eastAsia="Times New Roman"/>
          <w:i/>
          <w:lang w:eastAsia="en-GB"/>
        </w:rPr>
      </w:pPr>
      <w:r w:rsidRPr="006B3CCB">
        <w:rPr>
          <w:b/>
          <w:i/>
          <w:szCs w:val="24"/>
          <w:lang w:eastAsia="zh-CN"/>
        </w:rPr>
        <w:t>Scenario 1-2</w:t>
      </w:r>
      <w:r w:rsidRPr="006B3CCB">
        <w:rPr>
          <w:i/>
          <w:szCs w:val="24"/>
          <w:lang w:eastAsia="zh-CN"/>
        </w:rPr>
        <w:t xml:space="preserve">: Scenario with no </w:t>
      </w:r>
      <w:r w:rsidRPr="006B3CCB">
        <w:rPr>
          <w:rFonts w:eastAsia="Times New Roman"/>
          <w:i/>
          <w:lang w:eastAsia="en-GB"/>
        </w:rPr>
        <w:t>adjacent in-band/out-of-band co-existence issue (adjacent operators)</w:t>
      </w:r>
    </w:p>
    <w:p w14:paraId="00127576" w14:textId="77777777" w:rsidR="006F2A7E" w:rsidRPr="006B3CCB" w:rsidRDefault="006F2A7E" w:rsidP="006F2A7E">
      <w:pPr>
        <w:pStyle w:val="aff7"/>
        <w:numPr>
          <w:ilvl w:val="0"/>
          <w:numId w:val="3"/>
        </w:numPr>
        <w:spacing w:after="0"/>
        <w:ind w:firstLineChars="0"/>
        <w:rPr>
          <w:rFonts w:eastAsia="Times New Roman"/>
          <w:i/>
          <w:lang w:eastAsia="en-GB"/>
        </w:rPr>
      </w:pPr>
      <w:r w:rsidRPr="006B3CCB">
        <w:rPr>
          <w:b/>
          <w:i/>
          <w:szCs w:val="24"/>
          <w:lang w:eastAsia="zh-CN"/>
        </w:rPr>
        <w:t>Scenario 2</w:t>
      </w:r>
      <w:r w:rsidRPr="006B3CCB">
        <w:rPr>
          <w:i/>
          <w:szCs w:val="24"/>
          <w:lang w:eastAsia="zh-CN"/>
        </w:rPr>
        <w:t xml:space="preserve">: </w:t>
      </w:r>
      <w:r w:rsidRPr="006B3CCB">
        <w:rPr>
          <w:rFonts w:eastAsia="Times New Roman"/>
          <w:i/>
          <w:lang w:eastAsia="en-GB"/>
        </w:rPr>
        <w:t>Narrower UE channel BW within wider BS bandwidth</w:t>
      </w:r>
    </w:p>
    <w:p w14:paraId="5F30ED88" w14:textId="77777777" w:rsidR="006F2A7E" w:rsidRPr="006B3CCB" w:rsidRDefault="006F2A7E" w:rsidP="006F2A7E">
      <w:pPr>
        <w:rPr>
          <w:i/>
          <w:lang w:val="en-US" w:eastAsia="zh-CN"/>
        </w:rPr>
      </w:pPr>
      <w:r w:rsidRPr="006B3CCB">
        <w:rPr>
          <w:rFonts w:hint="eastAsia"/>
          <w:i/>
          <w:lang w:val="en-US" w:eastAsia="zh-CN"/>
        </w:rPr>
        <w:t xml:space="preserve">Sub-topic description </w:t>
      </w:r>
    </w:p>
    <w:p w14:paraId="7315670D" w14:textId="77777777" w:rsidR="006F2A7E" w:rsidRPr="006B3CCB" w:rsidRDefault="006F2A7E" w:rsidP="006F2A7E">
      <w:pPr>
        <w:rPr>
          <w:i/>
          <w:lang w:eastAsia="zh-CN"/>
        </w:rPr>
      </w:pPr>
    </w:p>
    <w:p w14:paraId="171F53BD" w14:textId="0B973589" w:rsidR="006F2A7E" w:rsidRPr="006B3CCB" w:rsidRDefault="006F2A7E" w:rsidP="006F2A7E">
      <w:pPr>
        <w:pStyle w:val="4"/>
        <w:spacing w:before="0" w:after="60"/>
        <w:rPr>
          <w:rFonts w:ascii="Times New Roman" w:hAnsi="Times New Roman"/>
          <w:b/>
          <w:sz w:val="20"/>
          <w:u w:val="single"/>
          <w:lang w:val="en-US" w:eastAsia="ko-KR"/>
        </w:rPr>
      </w:pPr>
      <w:r w:rsidRPr="006B3CCB">
        <w:rPr>
          <w:rFonts w:ascii="Times New Roman" w:hAnsi="Times New Roman"/>
          <w:b/>
          <w:sz w:val="20"/>
          <w:u w:val="single"/>
          <w:lang w:val="en-US" w:eastAsia="ko-KR"/>
        </w:rPr>
        <w:t xml:space="preserve">Issue 1-2-1: Width/RB numbers of extended CBW at each side of UE CBW </w:t>
      </w:r>
    </w:p>
    <w:p w14:paraId="2B2CE3F1" w14:textId="77777777" w:rsidR="006F2A7E" w:rsidRPr="006B3CCB" w:rsidRDefault="006F2A7E" w:rsidP="006F2A7E">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sidRPr="006B3CCB">
        <w:rPr>
          <w:rFonts w:eastAsia="宋体"/>
          <w:szCs w:val="24"/>
          <w:lang w:eastAsia="zh-CN"/>
        </w:rPr>
        <w:t xml:space="preserve">Options </w:t>
      </w:r>
    </w:p>
    <w:p w14:paraId="743168D8" w14:textId="77777777" w:rsidR="006F2A7E" w:rsidRPr="006B3CCB" w:rsidRDefault="006F2A7E" w:rsidP="006F2A7E">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Option 1: Fixed 0.5* UE CBW is considered</w:t>
      </w:r>
    </w:p>
    <w:p w14:paraId="26900D92" w14:textId="77777777" w:rsidR="006F2A7E" w:rsidRPr="006B3CCB" w:rsidRDefault="006F2A7E" w:rsidP="006F2A7E">
      <w:pPr>
        <w:pStyle w:val="aff7"/>
        <w:numPr>
          <w:ilvl w:val="2"/>
          <w:numId w:val="4"/>
        </w:numPr>
        <w:spacing w:after="120"/>
        <w:ind w:firstLineChars="0"/>
        <w:jc w:val="both"/>
        <w:rPr>
          <w:rFonts w:eastAsia="宋体"/>
          <w:szCs w:val="24"/>
          <w:lang w:eastAsia="zh-CN"/>
        </w:rPr>
      </w:pPr>
      <w:r w:rsidRPr="006B3CCB">
        <w:rPr>
          <w:rFonts w:eastAsia="宋体"/>
          <w:szCs w:val="24"/>
          <w:lang w:eastAsia="zh-CN"/>
        </w:rPr>
        <w:lastRenderedPageBreak/>
        <w:t xml:space="preserve">Symmetrical extension is 0.5 * UE CBW on each side. </w:t>
      </w:r>
    </w:p>
    <w:p w14:paraId="7F65717A" w14:textId="77777777" w:rsidR="006F2A7E" w:rsidRPr="006B3CCB" w:rsidRDefault="006F2A7E" w:rsidP="006F2A7E">
      <w:pPr>
        <w:pStyle w:val="aff7"/>
        <w:numPr>
          <w:ilvl w:val="2"/>
          <w:numId w:val="4"/>
        </w:numPr>
        <w:spacing w:after="120"/>
        <w:ind w:firstLineChars="0"/>
        <w:jc w:val="both"/>
        <w:rPr>
          <w:rFonts w:eastAsia="宋体"/>
          <w:szCs w:val="24"/>
          <w:lang w:eastAsia="zh-CN"/>
        </w:rPr>
      </w:pPr>
      <w:r w:rsidRPr="006B3CCB">
        <w:rPr>
          <w:rFonts w:eastAsia="宋体"/>
          <w:szCs w:val="24"/>
          <w:lang w:eastAsia="zh-CN"/>
        </w:rPr>
        <w:t xml:space="preserve">Asymmetric extension is 0.5 * UE CBW on one side. </w:t>
      </w:r>
    </w:p>
    <w:p w14:paraId="71BF548C" w14:textId="77777777" w:rsidR="006F2A7E" w:rsidRPr="006B3CCB" w:rsidRDefault="006F2A7E" w:rsidP="006F2A7E">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 xml:space="preserve">Option 2: </w:t>
      </w:r>
      <w:r w:rsidRPr="006B3CCB">
        <w:rPr>
          <w:rFonts w:eastAsia="Times New Roman"/>
          <w:szCs w:val="21"/>
        </w:rPr>
        <w:t xml:space="preserve">≤ </w:t>
      </w:r>
      <w:r w:rsidRPr="006B3CCB">
        <w:rPr>
          <w:rFonts w:eastAsia="宋体"/>
          <w:szCs w:val="24"/>
          <w:lang w:eastAsia="zh-CN"/>
        </w:rPr>
        <w:t>0.5* UE CBW, namely flexible size at each side pending on deployment scenario, and offset of the edges between UE CBW and BS CBW, etc.</w:t>
      </w:r>
    </w:p>
    <w:p w14:paraId="541B692F" w14:textId="77777777" w:rsidR="006F2A7E" w:rsidRPr="006B3CCB" w:rsidRDefault="006F2A7E" w:rsidP="006F2A7E">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Option 3: In scenario 2 no limitations are needed on width/RB numbers of extended CBW at each side of UE CBW except that Extended UE BW is limited to BS CBW. Scenario 1 needs more discussion.</w:t>
      </w:r>
    </w:p>
    <w:p w14:paraId="3A9F0053" w14:textId="77777777" w:rsidR="006F2A7E" w:rsidRPr="006B3CCB" w:rsidRDefault="006F2A7E" w:rsidP="006F2A7E">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 xml:space="preserve">Option 4: The CBW extension shall be aligned with existing channel bandwidth sizes. The extension should always result into a total number of RBs (“original UE channel RBs” + “RB extension”) being an element of Table 5.3.2-1 from TS 38.101-1. </w:t>
      </w:r>
    </w:p>
    <w:p w14:paraId="00DC383D" w14:textId="77777777" w:rsidR="006F2A7E" w:rsidRPr="006B3CCB" w:rsidRDefault="006F2A7E" w:rsidP="006F2A7E">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 xml:space="preserve">Option 5: Extension is performed by 1/6 of the UE channel bandwidth on each side, </w:t>
      </w:r>
      <w:proofErr w:type="spellStart"/>
      <w:r w:rsidRPr="006B3CCB">
        <w:rPr>
          <w:rFonts w:eastAsia="宋体"/>
          <w:szCs w:val="24"/>
          <w:lang w:eastAsia="zh-CN"/>
        </w:rPr>
        <w:t>totaling</w:t>
      </w:r>
      <w:proofErr w:type="spellEnd"/>
      <w:r w:rsidRPr="006B3CCB">
        <w:rPr>
          <w:rFonts w:eastAsia="宋体"/>
          <w:szCs w:val="24"/>
          <w:lang w:eastAsia="zh-CN"/>
        </w:rPr>
        <w:t xml:space="preserve"> 4/3 of the original UE channel bandwidth</w:t>
      </w:r>
    </w:p>
    <w:p w14:paraId="1B662599" w14:textId="2C7940D4" w:rsidR="006F2A7E" w:rsidRPr="006B3CCB" w:rsidRDefault="006F2A7E" w:rsidP="006F2A7E">
      <w:pPr>
        <w:pStyle w:val="aff7"/>
        <w:numPr>
          <w:ilvl w:val="0"/>
          <w:numId w:val="4"/>
        </w:numPr>
        <w:overflowPunct/>
        <w:autoSpaceDE/>
        <w:autoSpaceDN/>
        <w:adjustRightInd/>
        <w:spacing w:after="120"/>
        <w:ind w:left="720" w:firstLineChars="0"/>
        <w:textAlignment w:val="auto"/>
        <w:rPr>
          <w:rFonts w:eastAsia="宋体"/>
          <w:szCs w:val="24"/>
          <w:lang w:eastAsia="zh-CN"/>
        </w:rPr>
      </w:pPr>
      <w:r w:rsidRPr="006B3CCB">
        <w:rPr>
          <w:rFonts w:eastAsia="宋体"/>
          <w:szCs w:val="24"/>
          <w:lang w:eastAsia="zh-CN"/>
        </w:rPr>
        <w:t>WF</w:t>
      </w:r>
    </w:p>
    <w:p w14:paraId="4D6D308B" w14:textId="77777777" w:rsidR="006B3CCB" w:rsidRPr="006B3CCB" w:rsidRDefault="006B3CCB" w:rsidP="006F2A7E">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FFS in next meeting</w:t>
      </w:r>
    </w:p>
    <w:p w14:paraId="38BD2338" w14:textId="71255E4D" w:rsidR="006F2A7E" w:rsidRPr="006B3CCB" w:rsidRDefault="006B3CCB" w:rsidP="006B3CCB">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6B3CCB">
        <w:rPr>
          <w:rFonts w:eastAsia="宋体"/>
          <w:szCs w:val="24"/>
          <w:lang w:eastAsia="zh-CN"/>
        </w:rPr>
        <w:t>The max size of the extension at each side of UE CBW</w:t>
      </w:r>
    </w:p>
    <w:p w14:paraId="2FA10045" w14:textId="74F4D1F5" w:rsidR="006B3CCB" w:rsidRPr="006B3CCB" w:rsidRDefault="006B3CCB" w:rsidP="006B3CCB">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6B3CCB">
        <w:rPr>
          <w:rFonts w:eastAsia="宋体" w:hint="eastAsia"/>
          <w:szCs w:val="24"/>
          <w:lang w:eastAsia="zh-CN"/>
        </w:rPr>
        <w:t>W</w:t>
      </w:r>
      <w:r w:rsidRPr="006B3CCB">
        <w:rPr>
          <w:rFonts w:eastAsia="宋体"/>
          <w:szCs w:val="24"/>
          <w:lang w:eastAsia="zh-CN"/>
        </w:rPr>
        <w:t>hether extended CBW is fixed or could be flexible</w:t>
      </w:r>
    </w:p>
    <w:p w14:paraId="4AFCE902" w14:textId="77777777" w:rsidR="006F2A7E" w:rsidRPr="006B3CCB" w:rsidRDefault="006F2A7E" w:rsidP="006F2A7E">
      <w:pPr>
        <w:spacing w:after="120"/>
        <w:jc w:val="both"/>
        <w:rPr>
          <w:szCs w:val="24"/>
          <w:lang w:val="en-US" w:eastAsia="zh-CN"/>
        </w:rPr>
      </w:pPr>
    </w:p>
    <w:p w14:paraId="6383C2CC" w14:textId="77777777" w:rsidR="006F2A7E" w:rsidRPr="006B3CCB" w:rsidRDefault="006F2A7E" w:rsidP="006F2A7E">
      <w:pPr>
        <w:spacing w:after="120"/>
        <w:jc w:val="both"/>
        <w:rPr>
          <w:szCs w:val="24"/>
          <w:lang w:val="en-US" w:eastAsia="zh-CN"/>
        </w:rPr>
      </w:pPr>
    </w:p>
    <w:p w14:paraId="50D4FA7A" w14:textId="2A853CEA" w:rsidR="006F2A7E" w:rsidRPr="006B3CCB" w:rsidRDefault="006F2A7E" w:rsidP="006F2A7E">
      <w:pPr>
        <w:pStyle w:val="4"/>
        <w:spacing w:before="0" w:after="60"/>
        <w:rPr>
          <w:rFonts w:ascii="Times New Roman" w:hAnsi="Times New Roman"/>
          <w:b/>
          <w:sz w:val="20"/>
          <w:u w:val="single"/>
          <w:lang w:val="en-US" w:eastAsia="ko-KR"/>
        </w:rPr>
      </w:pPr>
      <w:r w:rsidRPr="006B3CCB">
        <w:rPr>
          <w:rFonts w:ascii="Times New Roman" w:hAnsi="Times New Roman"/>
          <w:b/>
          <w:sz w:val="20"/>
          <w:u w:val="single"/>
          <w:lang w:val="en-US" w:eastAsia="ko-KR"/>
        </w:rPr>
        <w:t xml:space="preserve">Issue 1-2-2: How to get the width/RB numbers of extended CBW at each side of UE CBW </w:t>
      </w:r>
    </w:p>
    <w:p w14:paraId="159A0984" w14:textId="77777777" w:rsidR="006F2A7E" w:rsidRPr="006B3CCB" w:rsidRDefault="006F2A7E" w:rsidP="006F2A7E">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sidRPr="006B3CCB">
        <w:rPr>
          <w:rFonts w:eastAsia="宋体"/>
          <w:szCs w:val="24"/>
          <w:lang w:eastAsia="zh-CN"/>
        </w:rPr>
        <w:t xml:space="preserve">Options </w:t>
      </w:r>
    </w:p>
    <w:p w14:paraId="516BD5B5" w14:textId="77777777" w:rsidR="006F2A7E" w:rsidRPr="006B3CCB" w:rsidRDefault="006F2A7E" w:rsidP="006F2A7E">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 xml:space="preserve">Option 1: Fixed value, i.e., 0.5* UE CBW is </w:t>
      </w:r>
      <w:r w:rsidRPr="006B3CCB">
        <w:rPr>
          <w:rFonts w:eastAsia="宋体"/>
          <w:szCs w:val="21"/>
        </w:rPr>
        <w:t>stipulated in the spec</w:t>
      </w:r>
    </w:p>
    <w:p w14:paraId="30F268E8" w14:textId="77777777" w:rsidR="006F2A7E" w:rsidRPr="006B3CCB" w:rsidRDefault="006F2A7E" w:rsidP="006F2A7E">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hint="eastAsia"/>
          <w:szCs w:val="21"/>
          <w:lang w:eastAsia="zh-CN"/>
        </w:rPr>
        <w:t>O</w:t>
      </w:r>
      <w:r w:rsidRPr="006B3CCB">
        <w:rPr>
          <w:rFonts w:eastAsia="宋体"/>
          <w:szCs w:val="21"/>
          <w:lang w:eastAsia="zh-CN"/>
        </w:rPr>
        <w:t xml:space="preserve">ption 2: Flexible value signalled by the NW, the extended CBW at each side </w:t>
      </w:r>
      <w:r w:rsidRPr="006B3CCB">
        <w:rPr>
          <w:rFonts w:eastAsia="Times New Roman"/>
          <w:szCs w:val="21"/>
        </w:rPr>
        <w:t xml:space="preserve">≤ </w:t>
      </w:r>
      <w:r w:rsidRPr="006B3CCB">
        <w:rPr>
          <w:rFonts w:eastAsia="宋体"/>
          <w:szCs w:val="24"/>
          <w:lang w:eastAsia="zh-CN"/>
        </w:rPr>
        <w:t xml:space="preserve">0.5* UE CBW but not necessarily the one in </w:t>
      </w:r>
      <w:r w:rsidRPr="006B3CCB">
        <w:rPr>
          <w:rFonts w:eastAsia="宋体"/>
          <w:szCs w:val="21"/>
          <w:lang w:eastAsia="zh-CN"/>
        </w:rPr>
        <w:t>Table 5.3.2-1 in TS 38.101-1</w:t>
      </w:r>
    </w:p>
    <w:p w14:paraId="5EAF5230" w14:textId="77777777" w:rsidR="006F2A7E" w:rsidRPr="006B3CCB" w:rsidRDefault="006F2A7E" w:rsidP="006F2A7E">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hint="eastAsia"/>
          <w:szCs w:val="21"/>
          <w:lang w:eastAsia="zh-CN"/>
        </w:rPr>
        <w:t>O</w:t>
      </w:r>
      <w:r w:rsidRPr="006B3CCB">
        <w:rPr>
          <w:rFonts w:eastAsia="宋体"/>
          <w:szCs w:val="21"/>
          <w:lang w:eastAsia="zh-CN"/>
        </w:rPr>
        <w:t>ption 2a: Flexible value signalled by the NW, the extended CBW at each side should be the CBW specified in Table 5.3.2-1 in TS 38.101-1</w:t>
      </w:r>
    </w:p>
    <w:p w14:paraId="06F0E757" w14:textId="77777777" w:rsidR="006F2A7E" w:rsidRPr="006B3CCB" w:rsidRDefault="006F2A7E" w:rsidP="006F2A7E">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hint="eastAsia"/>
          <w:szCs w:val="21"/>
          <w:lang w:eastAsia="zh-CN"/>
        </w:rPr>
        <w:t>O</w:t>
      </w:r>
      <w:r w:rsidRPr="006B3CCB">
        <w:rPr>
          <w:rFonts w:eastAsia="宋体"/>
          <w:szCs w:val="21"/>
          <w:lang w:eastAsia="zh-CN"/>
        </w:rPr>
        <w:t>ption 3: Based on SIB1 cell specific CBW</w:t>
      </w:r>
    </w:p>
    <w:p w14:paraId="62E7974C" w14:textId="782FF585" w:rsidR="006F2A7E" w:rsidRPr="006B3CCB" w:rsidRDefault="006F2A7E" w:rsidP="006F2A7E">
      <w:pPr>
        <w:pStyle w:val="aff7"/>
        <w:numPr>
          <w:ilvl w:val="0"/>
          <w:numId w:val="4"/>
        </w:numPr>
        <w:overflowPunct/>
        <w:autoSpaceDE/>
        <w:autoSpaceDN/>
        <w:adjustRightInd/>
        <w:spacing w:after="120"/>
        <w:ind w:left="720" w:firstLineChars="0"/>
        <w:textAlignment w:val="auto"/>
        <w:rPr>
          <w:rFonts w:eastAsia="宋体"/>
          <w:szCs w:val="24"/>
          <w:lang w:eastAsia="zh-CN"/>
        </w:rPr>
      </w:pPr>
      <w:r w:rsidRPr="006B3CCB">
        <w:rPr>
          <w:rFonts w:eastAsia="宋体"/>
          <w:szCs w:val="24"/>
          <w:lang w:eastAsia="zh-CN"/>
        </w:rPr>
        <w:t>WF</w:t>
      </w:r>
    </w:p>
    <w:p w14:paraId="57DD5EDA" w14:textId="3DD3DFA5" w:rsidR="006F2A7E" w:rsidRPr="006B3CCB" w:rsidRDefault="006B3CCB" w:rsidP="006F2A7E">
      <w:pPr>
        <w:pStyle w:val="aff7"/>
        <w:numPr>
          <w:ilvl w:val="1"/>
          <w:numId w:val="4"/>
        </w:numPr>
        <w:overflowPunct/>
        <w:autoSpaceDE/>
        <w:autoSpaceDN/>
        <w:adjustRightInd/>
        <w:spacing w:after="120"/>
        <w:ind w:left="1440" w:firstLineChars="0"/>
        <w:textAlignment w:val="auto"/>
        <w:rPr>
          <w:rFonts w:eastAsia="宋体"/>
          <w:szCs w:val="24"/>
          <w:lang w:eastAsia="zh-CN"/>
        </w:rPr>
      </w:pPr>
      <w:r w:rsidRPr="006B3CCB">
        <w:rPr>
          <w:rFonts w:eastAsia="宋体"/>
          <w:szCs w:val="24"/>
          <w:lang w:eastAsia="zh-CN"/>
        </w:rPr>
        <w:t>FFS in next meeting</w:t>
      </w:r>
    </w:p>
    <w:p w14:paraId="628CBE97" w14:textId="77777777" w:rsidR="006F2A7E" w:rsidRPr="006B3CCB" w:rsidRDefault="006F2A7E" w:rsidP="006F2A7E">
      <w:pPr>
        <w:spacing w:after="120"/>
        <w:jc w:val="both"/>
        <w:rPr>
          <w:szCs w:val="24"/>
          <w:lang w:eastAsia="zh-CN"/>
        </w:rPr>
      </w:pPr>
    </w:p>
    <w:p w14:paraId="4C788830" w14:textId="77777777" w:rsidR="006F2A7E" w:rsidRPr="006B3CCB" w:rsidRDefault="006F2A7E" w:rsidP="006F2A7E">
      <w:pPr>
        <w:spacing w:after="120"/>
        <w:jc w:val="both"/>
        <w:rPr>
          <w:szCs w:val="24"/>
          <w:lang w:eastAsia="zh-CN"/>
        </w:rPr>
      </w:pPr>
    </w:p>
    <w:p w14:paraId="470D7167" w14:textId="4B76E093" w:rsidR="006F2A7E" w:rsidRPr="006B3CCB" w:rsidRDefault="006F2A7E" w:rsidP="006F2A7E">
      <w:pPr>
        <w:pStyle w:val="4"/>
        <w:spacing w:before="0" w:after="60"/>
        <w:rPr>
          <w:rFonts w:ascii="Times New Roman" w:hAnsi="Times New Roman"/>
          <w:b/>
          <w:sz w:val="20"/>
          <w:u w:val="single"/>
          <w:lang w:val="en-US" w:eastAsia="ko-KR"/>
        </w:rPr>
      </w:pPr>
      <w:r w:rsidRPr="006B3CCB">
        <w:rPr>
          <w:rFonts w:ascii="Times New Roman" w:hAnsi="Times New Roman"/>
          <w:b/>
          <w:sz w:val="20"/>
          <w:u w:val="single"/>
          <w:lang w:val="en-US" w:eastAsia="ko-KR"/>
        </w:rPr>
        <w:t>Issue 1-2-3: Guard band for extended CBW</w:t>
      </w:r>
    </w:p>
    <w:p w14:paraId="69C45FB2" w14:textId="77777777" w:rsidR="006F2A7E" w:rsidRPr="006B3CCB" w:rsidRDefault="006F2A7E" w:rsidP="006F2A7E">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sidRPr="006B3CCB">
        <w:rPr>
          <w:rFonts w:eastAsia="宋体"/>
          <w:szCs w:val="24"/>
          <w:lang w:eastAsia="zh-CN"/>
        </w:rPr>
        <w:t xml:space="preserve">Options </w:t>
      </w:r>
    </w:p>
    <w:p w14:paraId="2D98235B" w14:textId="77777777" w:rsidR="006F2A7E" w:rsidRPr="006B3CCB" w:rsidRDefault="006F2A7E" w:rsidP="006F2A7E">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Option 1: if extended CBW at each side is from CBW in Table 5.3.2-1 in TS 38.101-1, the RB number is the maximum transmission bandwidth configuration corresponding to the subcarrier spacing of the component carrier and the extended CBW, GB is determined accordingly</w:t>
      </w:r>
    </w:p>
    <w:p w14:paraId="40911EEB" w14:textId="77777777" w:rsidR="006F2A7E" w:rsidRPr="006B3CCB" w:rsidRDefault="006F2A7E" w:rsidP="006F2A7E">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Option 2: guard band for extended CBW is derived from the total RBs including the extended ones, which is larger than the larger guard band between:</w:t>
      </w:r>
    </w:p>
    <w:p w14:paraId="1A5BF471" w14:textId="77777777" w:rsidR="006F2A7E" w:rsidRPr="006B3CCB" w:rsidRDefault="006F2A7E" w:rsidP="006F2A7E">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6B3CCB">
        <w:rPr>
          <w:rFonts w:eastAsia="宋体"/>
          <w:szCs w:val="24"/>
          <w:lang w:eastAsia="zh-CN"/>
        </w:rPr>
        <w:t>The guard band of the CBW which is immediately lower than the bandwidth corresponding to the total number of RBs (UE RBs + extended RB).</w:t>
      </w:r>
    </w:p>
    <w:p w14:paraId="54BD4913" w14:textId="77777777" w:rsidR="006F2A7E" w:rsidRPr="006B3CCB" w:rsidRDefault="006F2A7E" w:rsidP="006F2A7E">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6B3CCB">
        <w:rPr>
          <w:rFonts w:eastAsia="宋体"/>
          <w:szCs w:val="24"/>
          <w:lang w:eastAsia="zh-CN"/>
        </w:rPr>
        <w:t>The guard band of the CBW which is immediately higher than the bandwidth corresponding to the total number of RB (UE RBs + extended RB)</w:t>
      </w:r>
    </w:p>
    <w:p w14:paraId="7CA93650" w14:textId="77777777" w:rsidR="006F2A7E" w:rsidRPr="006B3CCB" w:rsidRDefault="006F2A7E" w:rsidP="006F2A7E">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hint="eastAsia"/>
          <w:szCs w:val="24"/>
          <w:lang w:eastAsia="zh-CN"/>
        </w:rPr>
        <w:t>O</w:t>
      </w:r>
      <w:r w:rsidRPr="006B3CCB">
        <w:rPr>
          <w:rFonts w:eastAsia="宋体"/>
          <w:szCs w:val="24"/>
          <w:lang w:eastAsia="zh-CN"/>
        </w:rPr>
        <w:t>ption 3: For fixed 0.5* UE CBW case, The GB of the original CBW should be retained, and the ‘GB’ of the extension part should only be retained on the side that is far away from the original CBW.</w:t>
      </w:r>
    </w:p>
    <w:p w14:paraId="0295A828" w14:textId="77777777" w:rsidR="006F2A7E" w:rsidRPr="006B3CCB" w:rsidRDefault="006F2A7E" w:rsidP="006F2A7E">
      <w:pPr>
        <w:pStyle w:val="aff7"/>
        <w:numPr>
          <w:ilvl w:val="2"/>
          <w:numId w:val="4"/>
        </w:numPr>
        <w:overflowPunct/>
        <w:autoSpaceDE/>
        <w:autoSpaceDN/>
        <w:adjustRightInd/>
        <w:spacing w:after="120"/>
        <w:ind w:firstLineChars="0"/>
        <w:jc w:val="both"/>
        <w:textAlignment w:val="auto"/>
        <w:rPr>
          <w:rFonts w:eastAsia="宋体"/>
          <w:bCs/>
          <w:szCs w:val="24"/>
          <w:lang w:eastAsia="zh-CN"/>
        </w:rPr>
      </w:pPr>
      <w:r w:rsidRPr="006B3CCB">
        <w:rPr>
          <w:rFonts w:eastAsia="宋体"/>
          <w:bCs/>
          <w:sz w:val="21"/>
          <w:szCs w:val="21"/>
          <w:lang w:eastAsia="zh-CN"/>
        </w:rPr>
        <w:t xml:space="preserve">‘GB’ of the extension part = [(0.5* </w:t>
      </w:r>
      <w:proofErr w:type="spellStart"/>
      <w:r w:rsidRPr="006B3CCB">
        <w:rPr>
          <w:rFonts w:eastAsia="等线"/>
          <w:bCs/>
        </w:rPr>
        <w:t>BW</w:t>
      </w:r>
      <w:r w:rsidRPr="006B3CCB">
        <w:rPr>
          <w:rFonts w:eastAsia="等线"/>
          <w:bCs/>
          <w:vertAlign w:val="subscript"/>
        </w:rPr>
        <w:t>Channel</w:t>
      </w:r>
      <w:proofErr w:type="spellEnd"/>
      <w:r w:rsidRPr="006B3CCB">
        <w:rPr>
          <w:rFonts w:eastAsia="等线"/>
          <w:bCs/>
        </w:rPr>
        <w:t xml:space="preserve"> x 1000 (kHz) – </w:t>
      </w:r>
      <w:proofErr w:type="gramStart"/>
      <w:r w:rsidRPr="006B3CCB">
        <w:rPr>
          <w:rFonts w:eastAsia="等线"/>
          <w:bCs/>
        </w:rPr>
        <w:t>ceil(</w:t>
      </w:r>
      <w:proofErr w:type="gramEnd"/>
      <w:r w:rsidRPr="006B3CCB">
        <w:rPr>
          <w:rFonts w:eastAsia="等线"/>
          <w:bCs/>
        </w:rPr>
        <w:t>N</w:t>
      </w:r>
      <w:r w:rsidRPr="006B3CCB">
        <w:rPr>
          <w:rFonts w:eastAsia="等线"/>
          <w:bCs/>
          <w:vertAlign w:val="subscript"/>
        </w:rPr>
        <w:t>RB</w:t>
      </w:r>
      <w:r w:rsidRPr="006B3CCB">
        <w:rPr>
          <w:rFonts w:eastAsia="等线"/>
          <w:bCs/>
        </w:rPr>
        <w:t xml:space="preserve">/2) x SCS x 12) -SCS/2], </w:t>
      </w:r>
      <w:proofErr w:type="spellStart"/>
      <w:r w:rsidRPr="006B3CCB">
        <w:rPr>
          <w:rFonts w:eastAsia="等线"/>
          <w:bCs/>
        </w:rPr>
        <w:t>BW</w:t>
      </w:r>
      <w:r w:rsidRPr="006B3CCB">
        <w:rPr>
          <w:rFonts w:eastAsia="等线"/>
          <w:bCs/>
          <w:vertAlign w:val="subscript"/>
        </w:rPr>
        <w:t>Channel</w:t>
      </w:r>
      <w:proofErr w:type="spellEnd"/>
      <w:r w:rsidRPr="006B3CCB">
        <w:rPr>
          <w:rFonts w:eastAsia="等线"/>
          <w:bCs/>
          <w:vertAlign w:val="subscript"/>
        </w:rPr>
        <w:t xml:space="preserve"> </w:t>
      </w:r>
      <w:r w:rsidRPr="006B3CCB">
        <w:rPr>
          <w:rFonts w:eastAsia="等线"/>
          <w:bCs/>
        </w:rPr>
        <w:t>and N</w:t>
      </w:r>
      <w:r w:rsidRPr="006B3CCB">
        <w:rPr>
          <w:rFonts w:eastAsia="等线"/>
          <w:bCs/>
          <w:vertAlign w:val="subscript"/>
        </w:rPr>
        <w:t xml:space="preserve">RB </w:t>
      </w:r>
      <w:r w:rsidRPr="006B3CCB">
        <w:rPr>
          <w:rFonts w:eastAsia="等线"/>
          <w:bCs/>
        </w:rPr>
        <w:t>correspond to the original UE CBW.</w:t>
      </w:r>
    </w:p>
    <w:p w14:paraId="4260BB35" w14:textId="77777777" w:rsidR="006F2A7E" w:rsidRPr="006B3CCB" w:rsidRDefault="006F2A7E" w:rsidP="006F2A7E">
      <w:pPr>
        <w:pStyle w:val="aff7"/>
        <w:numPr>
          <w:ilvl w:val="1"/>
          <w:numId w:val="4"/>
        </w:numPr>
        <w:overflowPunct/>
        <w:autoSpaceDE/>
        <w:autoSpaceDN/>
        <w:adjustRightInd/>
        <w:spacing w:after="120"/>
        <w:ind w:left="1440" w:firstLineChars="0"/>
        <w:jc w:val="both"/>
        <w:textAlignment w:val="auto"/>
        <w:rPr>
          <w:rFonts w:eastAsia="宋体"/>
          <w:bCs/>
          <w:szCs w:val="24"/>
          <w:lang w:eastAsia="zh-CN"/>
        </w:rPr>
      </w:pPr>
      <w:r w:rsidRPr="006B3CCB">
        <w:rPr>
          <w:rFonts w:eastAsia="宋体" w:hint="eastAsia"/>
          <w:bCs/>
          <w:szCs w:val="24"/>
          <w:lang w:eastAsia="zh-CN"/>
        </w:rPr>
        <w:t>O</w:t>
      </w:r>
      <w:r w:rsidRPr="006B3CCB">
        <w:rPr>
          <w:rFonts w:eastAsia="宋体"/>
          <w:bCs/>
          <w:szCs w:val="24"/>
          <w:lang w:eastAsia="zh-CN"/>
        </w:rPr>
        <w:t>thers</w:t>
      </w:r>
    </w:p>
    <w:p w14:paraId="13FAAE56" w14:textId="77777777" w:rsidR="006F2A7E" w:rsidRPr="006B3CCB" w:rsidRDefault="006F2A7E" w:rsidP="006F2A7E">
      <w:pPr>
        <w:spacing w:after="120"/>
        <w:jc w:val="center"/>
        <w:rPr>
          <w:szCs w:val="24"/>
          <w:lang w:eastAsia="zh-CN"/>
        </w:rPr>
      </w:pPr>
      <w:r w:rsidRPr="006B3CCB">
        <w:object w:dxaOrig="9121" w:dyaOrig="5970" w14:anchorId="4A6FE0D6">
          <v:shape id="_x0000_i1028" type="#_x0000_t75" style="width:349.35pt;height:228.35pt" o:ole="">
            <v:imagedata r:id="rId16" o:title=""/>
          </v:shape>
          <o:OLEObject Type="Embed" ProgID="Visio.Drawing.15" ShapeID="_x0000_i1028" DrawAspect="Content" ObjectID="_1801635171" r:id="rId17"/>
        </w:object>
      </w:r>
    </w:p>
    <w:p w14:paraId="1D9F1B32" w14:textId="02428014" w:rsidR="006F2A7E" w:rsidRPr="006B3CCB" w:rsidRDefault="006F2A7E" w:rsidP="006F2A7E">
      <w:pPr>
        <w:pStyle w:val="aff7"/>
        <w:numPr>
          <w:ilvl w:val="0"/>
          <w:numId w:val="4"/>
        </w:numPr>
        <w:overflowPunct/>
        <w:autoSpaceDE/>
        <w:autoSpaceDN/>
        <w:adjustRightInd/>
        <w:spacing w:after="120"/>
        <w:ind w:left="720" w:firstLineChars="0"/>
        <w:textAlignment w:val="auto"/>
        <w:rPr>
          <w:rFonts w:eastAsia="宋体"/>
          <w:szCs w:val="24"/>
          <w:lang w:eastAsia="zh-CN"/>
        </w:rPr>
      </w:pPr>
      <w:r w:rsidRPr="006B3CCB">
        <w:rPr>
          <w:rFonts w:eastAsia="宋体"/>
          <w:szCs w:val="24"/>
          <w:lang w:eastAsia="zh-CN"/>
        </w:rPr>
        <w:t>WF</w:t>
      </w:r>
    </w:p>
    <w:p w14:paraId="52343BDD" w14:textId="7A455961" w:rsidR="006F2A7E" w:rsidRPr="006B3CCB" w:rsidRDefault="006B3CCB" w:rsidP="00570675">
      <w:pPr>
        <w:pStyle w:val="aff7"/>
        <w:numPr>
          <w:ilvl w:val="1"/>
          <w:numId w:val="4"/>
        </w:numPr>
        <w:overflowPunct/>
        <w:autoSpaceDE/>
        <w:autoSpaceDN/>
        <w:adjustRightInd/>
        <w:spacing w:after="120"/>
        <w:ind w:left="1440" w:firstLineChars="0"/>
        <w:textAlignment w:val="auto"/>
        <w:rPr>
          <w:rFonts w:eastAsia="宋体"/>
          <w:szCs w:val="24"/>
          <w:lang w:eastAsia="zh-CN"/>
        </w:rPr>
      </w:pPr>
      <w:r w:rsidRPr="006B3CCB">
        <w:rPr>
          <w:rFonts w:eastAsia="宋体"/>
          <w:szCs w:val="24"/>
          <w:lang w:eastAsia="zh-CN"/>
        </w:rPr>
        <w:t>FFS in next meeting</w:t>
      </w:r>
      <w:r w:rsidR="006F2A7E" w:rsidRPr="006B3CCB">
        <w:rPr>
          <w:rFonts w:eastAsia="宋体"/>
          <w:szCs w:val="24"/>
          <w:lang w:eastAsia="zh-CN"/>
        </w:rPr>
        <w:t xml:space="preserve"> </w:t>
      </w:r>
    </w:p>
    <w:p w14:paraId="38E97ECD" w14:textId="77777777" w:rsidR="006F2A7E" w:rsidRPr="006B3CCB" w:rsidRDefault="006F2A7E" w:rsidP="006F2A7E">
      <w:pPr>
        <w:spacing w:after="120"/>
        <w:rPr>
          <w:iCs/>
          <w:lang w:eastAsia="zh-CN"/>
        </w:rPr>
      </w:pPr>
    </w:p>
    <w:p w14:paraId="70B25F6D" w14:textId="77777777" w:rsidR="006F2A7E" w:rsidRPr="006B3CCB" w:rsidRDefault="006F2A7E" w:rsidP="006F2A7E">
      <w:pPr>
        <w:spacing w:after="120"/>
        <w:rPr>
          <w:iCs/>
          <w:lang w:eastAsia="zh-CN"/>
        </w:rPr>
      </w:pPr>
    </w:p>
    <w:p w14:paraId="0603DA74" w14:textId="469607F0" w:rsidR="006F2A7E" w:rsidRPr="006B3CCB" w:rsidRDefault="006F2A7E" w:rsidP="006F2A7E">
      <w:pPr>
        <w:pStyle w:val="4"/>
        <w:spacing w:before="0" w:after="60"/>
        <w:rPr>
          <w:rFonts w:ascii="Times New Roman" w:hAnsi="Times New Roman"/>
          <w:b/>
          <w:sz w:val="20"/>
          <w:u w:val="single"/>
          <w:lang w:val="en-US" w:eastAsia="ko-KR"/>
        </w:rPr>
      </w:pPr>
      <w:r w:rsidRPr="006B3CCB">
        <w:rPr>
          <w:rFonts w:ascii="Times New Roman" w:hAnsi="Times New Roman"/>
          <w:b/>
          <w:sz w:val="20"/>
          <w:u w:val="single"/>
          <w:lang w:val="en-US" w:eastAsia="ko-KR"/>
        </w:rPr>
        <w:t>Issue 1-2-4: Approaches of deriving the new inner RB region with RBs in extended CBW</w:t>
      </w:r>
    </w:p>
    <w:p w14:paraId="5CE03F5F" w14:textId="77777777" w:rsidR="006F2A7E" w:rsidRPr="006B3CCB" w:rsidRDefault="006F2A7E" w:rsidP="006F2A7E">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sidRPr="006B3CCB">
        <w:rPr>
          <w:rFonts w:eastAsia="宋体"/>
          <w:szCs w:val="24"/>
          <w:lang w:eastAsia="zh-CN"/>
        </w:rPr>
        <w:t xml:space="preserve">Options </w:t>
      </w:r>
    </w:p>
    <w:p w14:paraId="21EC184C" w14:textId="77777777" w:rsidR="006F2A7E" w:rsidRPr="006B3CCB" w:rsidRDefault="006F2A7E" w:rsidP="006F2A7E">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Option 1: Fixed value case with extended CBW</w:t>
      </w:r>
    </w:p>
    <w:p w14:paraId="796CEDF4" w14:textId="77777777" w:rsidR="006F2A7E" w:rsidRPr="006B3CCB" w:rsidRDefault="006F2A7E" w:rsidP="006F2A7E">
      <w:pPr>
        <w:pStyle w:val="aff7"/>
        <w:numPr>
          <w:ilvl w:val="2"/>
          <w:numId w:val="4"/>
        </w:numPr>
        <w:spacing w:after="120"/>
        <w:ind w:firstLineChars="0"/>
        <w:jc w:val="both"/>
        <w:rPr>
          <w:rFonts w:eastAsia="宋体"/>
          <w:szCs w:val="24"/>
          <w:lang w:eastAsia="zh-CN"/>
        </w:rPr>
      </w:pPr>
      <w:r w:rsidRPr="006B3CCB">
        <w:rPr>
          <w:rFonts w:eastAsia="宋体"/>
          <w:szCs w:val="24"/>
          <w:lang w:eastAsia="zh-CN"/>
        </w:rPr>
        <w:t xml:space="preserve">If both sides of the UE extend by 0.5 times the UE CBW, then the entire RB allocation inside the original UE CBW is inner region. </w:t>
      </w:r>
    </w:p>
    <w:p w14:paraId="62F19B61" w14:textId="77777777" w:rsidR="006F2A7E" w:rsidRPr="006B3CCB" w:rsidRDefault="006F2A7E" w:rsidP="006F2A7E">
      <w:pPr>
        <w:pStyle w:val="aff7"/>
        <w:spacing w:after="120"/>
        <w:ind w:left="2376" w:firstLineChars="0" w:firstLine="0"/>
        <w:jc w:val="both"/>
        <w:rPr>
          <w:rFonts w:eastAsia="宋体"/>
          <w:szCs w:val="24"/>
          <w:lang w:eastAsia="zh-CN"/>
        </w:rPr>
      </w:pPr>
      <w:r w:rsidRPr="006B3CCB">
        <w:rPr>
          <w:rFonts w:eastAsia="宋体"/>
          <w:szCs w:val="24"/>
          <w:lang w:eastAsia="zh-CN"/>
        </w:rPr>
        <w:t>If only the higher side of the UE extends by 0.5 times the UE CBW, then the inner RB region should be re-defined as:</w:t>
      </w:r>
    </w:p>
    <w:p w14:paraId="69E2CE40" w14:textId="77777777" w:rsidR="006F2A7E" w:rsidRPr="006B3CCB" w:rsidRDefault="006F2A7E" w:rsidP="006F2A7E">
      <w:pPr>
        <w:pStyle w:val="aff7"/>
        <w:spacing w:after="120"/>
        <w:ind w:left="3096" w:firstLineChars="0" w:firstLine="0"/>
        <w:jc w:val="both"/>
        <w:rPr>
          <w:rFonts w:eastAsia="宋体"/>
          <w:szCs w:val="24"/>
          <w:lang w:eastAsia="zh-CN"/>
        </w:rPr>
      </w:pPr>
      <w:proofErr w:type="spellStart"/>
      <w:r w:rsidRPr="006B3CCB">
        <w:rPr>
          <w:rFonts w:eastAsia="Times New Roman"/>
          <w:szCs w:val="21"/>
        </w:rPr>
        <w:t>RB</w:t>
      </w:r>
      <w:r w:rsidRPr="006B3CCB">
        <w:rPr>
          <w:rFonts w:eastAsia="Times New Roman"/>
          <w:szCs w:val="21"/>
          <w:vertAlign w:val="subscript"/>
        </w:rPr>
        <w:t>Start_</w:t>
      </w:r>
      <w:proofErr w:type="gramStart"/>
      <w:r w:rsidRPr="006B3CCB">
        <w:rPr>
          <w:rFonts w:eastAsia="Times New Roman"/>
          <w:szCs w:val="21"/>
          <w:vertAlign w:val="subscript"/>
        </w:rPr>
        <w:t>Low</w:t>
      </w:r>
      <w:proofErr w:type="spellEnd"/>
      <w:r w:rsidRPr="006B3CCB">
        <w:rPr>
          <w:rFonts w:eastAsia="Times New Roman"/>
          <w:szCs w:val="21"/>
          <w:vertAlign w:val="subscript"/>
        </w:rPr>
        <w:t xml:space="preserve">  </w:t>
      </w:r>
      <w:r w:rsidRPr="006B3CCB">
        <w:rPr>
          <w:rFonts w:eastAsia="Times New Roman"/>
          <w:szCs w:val="21"/>
        </w:rPr>
        <w:t>≤</w:t>
      </w:r>
      <w:proofErr w:type="gramEnd"/>
      <w:r w:rsidRPr="006B3CCB">
        <w:rPr>
          <w:rFonts w:eastAsia="Times New Roman"/>
          <w:szCs w:val="21"/>
        </w:rPr>
        <w:t xml:space="preserve">  </w:t>
      </w:r>
      <w:proofErr w:type="spellStart"/>
      <w:r w:rsidRPr="006B3CCB">
        <w:rPr>
          <w:rFonts w:eastAsia="Times New Roman"/>
          <w:szCs w:val="21"/>
        </w:rPr>
        <w:t>RB</w:t>
      </w:r>
      <w:r w:rsidRPr="006B3CCB">
        <w:rPr>
          <w:rFonts w:eastAsia="Times New Roman"/>
          <w:szCs w:val="21"/>
          <w:vertAlign w:val="subscript"/>
        </w:rPr>
        <w:t>Start</w:t>
      </w:r>
      <w:proofErr w:type="spellEnd"/>
      <w:r w:rsidRPr="006B3CCB">
        <w:rPr>
          <w:rFonts w:eastAsia="Times New Roman"/>
          <w:szCs w:val="21"/>
          <w:vertAlign w:val="subscript"/>
        </w:rPr>
        <w:t xml:space="preserve">  </w:t>
      </w:r>
      <w:r w:rsidRPr="006B3CCB">
        <w:rPr>
          <w:rFonts w:eastAsia="Times New Roman"/>
          <w:szCs w:val="21"/>
        </w:rPr>
        <w:t>≤  N</w:t>
      </w:r>
      <w:r w:rsidRPr="006B3CCB">
        <w:rPr>
          <w:rFonts w:eastAsia="Times New Roman"/>
          <w:szCs w:val="21"/>
          <w:vertAlign w:val="subscript"/>
        </w:rPr>
        <w:t xml:space="preserve">RB </w:t>
      </w:r>
      <w:r w:rsidRPr="006B3CCB">
        <w:rPr>
          <w:rFonts w:eastAsia="Times New Roman"/>
          <w:szCs w:val="21"/>
        </w:rPr>
        <w:t>– L</w:t>
      </w:r>
      <w:r w:rsidRPr="006B3CCB">
        <w:rPr>
          <w:rFonts w:eastAsia="Times New Roman"/>
          <w:szCs w:val="21"/>
          <w:vertAlign w:val="subscript"/>
        </w:rPr>
        <w:t>CRB</w:t>
      </w:r>
      <w:r w:rsidRPr="006B3CCB">
        <w:rPr>
          <w:rFonts w:eastAsia="微软雅黑"/>
          <w:szCs w:val="21"/>
          <w:vertAlign w:val="subscript"/>
        </w:rPr>
        <w:t>,</w:t>
      </w:r>
      <w:r w:rsidRPr="006B3CCB">
        <w:rPr>
          <w:rFonts w:ascii="微软雅黑" w:eastAsia="微软雅黑" w:hAnsi="微软雅黑" w:cs="Calibri"/>
          <w:szCs w:val="21"/>
          <w:vertAlign w:val="subscript"/>
        </w:rPr>
        <w:t xml:space="preserve"> </w:t>
      </w:r>
      <w:r w:rsidRPr="006B3CCB">
        <w:rPr>
          <w:rFonts w:eastAsia="Times New Roman"/>
          <w:szCs w:val="21"/>
        </w:rPr>
        <w:t>and</w:t>
      </w:r>
      <w:r w:rsidRPr="006B3CCB">
        <w:rPr>
          <w:rFonts w:ascii="微软雅黑" w:eastAsia="微软雅黑" w:hAnsi="微软雅黑" w:cs="Calibri" w:hint="eastAsia"/>
          <w:szCs w:val="21"/>
          <w:vertAlign w:val="subscript"/>
        </w:rPr>
        <w:t xml:space="preserve"> </w:t>
      </w:r>
      <w:r w:rsidRPr="006B3CCB">
        <w:rPr>
          <w:rFonts w:eastAsia="Times New Roman"/>
          <w:szCs w:val="21"/>
        </w:rPr>
        <w:t>L</w:t>
      </w:r>
      <w:r w:rsidRPr="006B3CCB">
        <w:rPr>
          <w:rFonts w:eastAsia="Times New Roman"/>
          <w:szCs w:val="21"/>
          <w:vertAlign w:val="subscript"/>
        </w:rPr>
        <w:t xml:space="preserve">CRB  </w:t>
      </w:r>
      <w:r w:rsidRPr="006B3CCB">
        <w:rPr>
          <w:rFonts w:eastAsia="Times New Roman"/>
          <w:szCs w:val="21"/>
        </w:rPr>
        <w:t>≤  ceil(2/3 *N</w:t>
      </w:r>
      <w:r w:rsidRPr="006B3CCB">
        <w:rPr>
          <w:rFonts w:eastAsia="Times New Roman"/>
          <w:szCs w:val="21"/>
          <w:vertAlign w:val="subscript"/>
        </w:rPr>
        <w:t>RB</w:t>
      </w:r>
      <w:r w:rsidRPr="006B3CCB">
        <w:rPr>
          <w:rFonts w:eastAsia="Times New Roman"/>
          <w:szCs w:val="21"/>
        </w:rPr>
        <w:t>)</w:t>
      </w:r>
    </w:p>
    <w:p w14:paraId="3D0F4A50" w14:textId="77777777" w:rsidR="006F2A7E" w:rsidRPr="006B3CCB" w:rsidRDefault="006F2A7E" w:rsidP="006F2A7E">
      <w:pPr>
        <w:pStyle w:val="aff7"/>
        <w:spacing w:after="120"/>
        <w:ind w:left="2376" w:firstLineChars="0" w:firstLine="0"/>
        <w:jc w:val="both"/>
        <w:rPr>
          <w:rFonts w:eastAsia="宋体"/>
          <w:szCs w:val="24"/>
          <w:lang w:eastAsia="zh-CN"/>
        </w:rPr>
      </w:pPr>
      <w:r w:rsidRPr="006B3CCB">
        <w:rPr>
          <w:rFonts w:eastAsia="宋体"/>
          <w:szCs w:val="24"/>
          <w:lang w:eastAsia="zh-CN"/>
        </w:rPr>
        <w:t>If only the lower side of the UE extends by 0.5 times the UE CBW, then the inner RB region should be re-defined as:</w:t>
      </w:r>
    </w:p>
    <w:p w14:paraId="0EA2A978" w14:textId="77777777" w:rsidR="006F2A7E" w:rsidRPr="006B3CCB" w:rsidRDefault="006F2A7E" w:rsidP="006F2A7E">
      <w:pPr>
        <w:pStyle w:val="aff7"/>
        <w:spacing w:after="120"/>
        <w:ind w:left="3096" w:firstLineChars="0" w:firstLine="0"/>
        <w:jc w:val="both"/>
        <w:rPr>
          <w:rFonts w:eastAsia="宋体"/>
          <w:szCs w:val="24"/>
          <w:lang w:eastAsia="zh-CN"/>
        </w:rPr>
      </w:pPr>
      <w:proofErr w:type="spellStart"/>
      <w:proofErr w:type="gramStart"/>
      <w:r w:rsidRPr="006B3CCB">
        <w:rPr>
          <w:rFonts w:eastAsia="Times New Roman"/>
          <w:szCs w:val="21"/>
        </w:rPr>
        <w:t>RB</w:t>
      </w:r>
      <w:r w:rsidRPr="006B3CCB">
        <w:rPr>
          <w:rFonts w:eastAsia="Times New Roman"/>
          <w:szCs w:val="21"/>
          <w:vertAlign w:val="subscript"/>
        </w:rPr>
        <w:t>Start</w:t>
      </w:r>
      <w:proofErr w:type="spellEnd"/>
      <w:r w:rsidRPr="006B3CCB">
        <w:rPr>
          <w:rFonts w:eastAsia="Times New Roman"/>
          <w:szCs w:val="21"/>
          <w:vertAlign w:val="subscript"/>
        </w:rPr>
        <w:t xml:space="preserve">  </w:t>
      </w:r>
      <w:r w:rsidRPr="006B3CCB">
        <w:rPr>
          <w:rFonts w:eastAsia="Times New Roman"/>
          <w:szCs w:val="21"/>
        </w:rPr>
        <w:t>≤</w:t>
      </w:r>
      <w:proofErr w:type="gramEnd"/>
      <w:r w:rsidRPr="006B3CCB">
        <w:rPr>
          <w:rFonts w:eastAsia="Times New Roman"/>
          <w:szCs w:val="21"/>
        </w:rPr>
        <w:t xml:space="preserve">  </w:t>
      </w:r>
      <w:proofErr w:type="spellStart"/>
      <w:r w:rsidRPr="006B3CCB">
        <w:rPr>
          <w:rFonts w:eastAsia="Times New Roman"/>
          <w:szCs w:val="21"/>
        </w:rPr>
        <w:t>RB</w:t>
      </w:r>
      <w:r w:rsidRPr="006B3CCB">
        <w:rPr>
          <w:rFonts w:eastAsia="Times New Roman"/>
          <w:szCs w:val="21"/>
          <w:vertAlign w:val="subscript"/>
        </w:rPr>
        <w:t>Start,High</w:t>
      </w:r>
      <w:proofErr w:type="spellEnd"/>
      <w:r w:rsidRPr="006B3CCB">
        <w:rPr>
          <w:rFonts w:eastAsia="Times New Roman"/>
          <w:szCs w:val="21"/>
        </w:rPr>
        <w:t>, and L</w:t>
      </w:r>
      <w:r w:rsidRPr="006B3CCB">
        <w:rPr>
          <w:rFonts w:eastAsia="Times New Roman"/>
          <w:szCs w:val="21"/>
          <w:vertAlign w:val="subscript"/>
        </w:rPr>
        <w:t xml:space="preserve">CRB  </w:t>
      </w:r>
      <w:r w:rsidRPr="006B3CCB">
        <w:rPr>
          <w:rFonts w:eastAsia="Times New Roman"/>
          <w:szCs w:val="21"/>
        </w:rPr>
        <w:t>≤  ceil(2/3 *N</w:t>
      </w:r>
      <w:r w:rsidRPr="006B3CCB">
        <w:rPr>
          <w:rFonts w:eastAsia="Times New Roman"/>
          <w:szCs w:val="21"/>
          <w:vertAlign w:val="subscript"/>
        </w:rPr>
        <w:t>RB</w:t>
      </w:r>
      <w:r w:rsidRPr="006B3CCB">
        <w:rPr>
          <w:rFonts w:eastAsia="Times New Roman"/>
          <w:szCs w:val="21"/>
        </w:rPr>
        <w:t>)</w:t>
      </w:r>
    </w:p>
    <w:p w14:paraId="114C223C" w14:textId="77777777" w:rsidR="006F2A7E" w:rsidRPr="006B3CCB" w:rsidRDefault="006F2A7E" w:rsidP="006F2A7E">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Option 2: Flexible value case with extended CBW at each side</w:t>
      </w:r>
    </w:p>
    <w:p w14:paraId="30CA0FC5" w14:textId="77777777" w:rsidR="006F2A7E" w:rsidRPr="006B3CCB" w:rsidRDefault="006F2A7E" w:rsidP="006F2A7E">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6B3CCB">
        <w:rPr>
          <w:rFonts w:eastAsia="宋体" w:hint="eastAsia"/>
          <w:szCs w:val="24"/>
          <w:lang w:eastAsia="zh-CN"/>
        </w:rPr>
        <w:t>V</w:t>
      </w:r>
      <w:r w:rsidRPr="006B3CCB">
        <w:rPr>
          <w:rFonts w:eastAsia="宋体"/>
          <w:szCs w:val="24"/>
          <w:lang w:eastAsia="zh-CN"/>
        </w:rPr>
        <w:t>ariety expressions from companies, but essentially are based on the new N</w:t>
      </w:r>
      <w:r w:rsidRPr="006B3CCB">
        <w:rPr>
          <w:rFonts w:eastAsia="宋体"/>
          <w:szCs w:val="24"/>
          <w:vertAlign w:val="subscript"/>
          <w:lang w:eastAsia="zh-CN"/>
        </w:rPr>
        <w:t>RB</w:t>
      </w:r>
      <w:r w:rsidRPr="006B3CCB">
        <w:rPr>
          <w:rFonts w:eastAsia="宋体"/>
          <w:szCs w:val="24"/>
          <w:lang w:eastAsia="zh-CN"/>
        </w:rPr>
        <w:t xml:space="preserve"> to derive the new inner region, e.g. </w:t>
      </w:r>
    </w:p>
    <w:p w14:paraId="52CBC657" w14:textId="77777777" w:rsidR="006F2A7E" w:rsidRPr="006B3CCB" w:rsidRDefault="009F3ECC" w:rsidP="006F2A7E">
      <w:pPr>
        <w:pStyle w:val="aff7"/>
        <w:numPr>
          <w:ilvl w:val="3"/>
          <w:numId w:val="4"/>
        </w:numPr>
        <w:overflowPunct/>
        <w:autoSpaceDE/>
        <w:autoSpaceDN/>
        <w:adjustRightInd/>
        <w:spacing w:after="120"/>
        <w:ind w:firstLineChars="0"/>
        <w:jc w:val="both"/>
        <w:textAlignment w:val="auto"/>
        <w:rPr>
          <w:rFonts w:eastAsia="宋体"/>
          <w:szCs w:val="24"/>
          <w:lang w:eastAsia="zh-CN"/>
        </w:rPr>
      </w:pPr>
      <m:oMath>
        <m:sSub>
          <m:sSubPr>
            <m:ctrlPr>
              <w:rPr>
                <w:rFonts w:ascii="Cambria Math" w:hAnsi="Cambria Math"/>
              </w:rPr>
            </m:ctrlPr>
          </m:sSubPr>
          <m:e>
            <m:r>
              <w:rPr>
                <w:rFonts w:ascii="Cambria Math" w:hAnsi="Cambria Math"/>
              </w:rPr>
              <m:t>N'</m:t>
            </m:r>
          </m:e>
          <m:sub>
            <m:r>
              <w:rPr>
                <w:rFonts w:ascii="Cambria Math" w:hAnsi="Cambria Math"/>
              </w:rPr>
              <m:t>RB</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extended_low</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RB</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extended_high</m:t>
            </m:r>
          </m:sub>
        </m:sSub>
      </m:oMath>
      <w:r w:rsidR="006F2A7E" w:rsidRPr="006B3CCB">
        <w:rPr>
          <w:rFonts w:eastAsia="宋体"/>
          <w:szCs w:val="24"/>
          <w:lang w:eastAsia="zh-CN"/>
        </w:rPr>
        <w:t xml:space="preserve"> </w:t>
      </w:r>
    </w:p>
    <w:p w14:paraId="6E84E646" w14:textId="77777777" w:rsidR="006F2A7E" w:rsidRPr="006B3CCB" w:rsidRDefault="006F2A7E" w:rsidP="006F2A7E">
      <w:pPr>
        <w:pStyle w:val="aff7"/>
        <w:numPr>
          <w:ilvl w:val="1"/>
          <w:numId w:val="4"/>
        </w:numPr>
        <w:overflowPunct/>
        <w:autoSpaceDE/>
        <w:autoSpaceDN/>
        <w:adjustRightInd/>
        <w:spacing w:after="120"/>
        <w:ind w:left="1440" w:firstLineChars="0"/>
        <w:jc w:val="both"/>
        <w:textAlignment w:val="auto"/>
        <w:rPr>
          <w:iCs/>
          <w:lang w:val="en-US" w:eastAsia="zh-CN"/>
        </w:rPr>
      </w:pPr>
      <w:r w:rsidRPr="006B3CCB">
        <w:rPr>
          <w:rFonts w:eastAsia="宋体"/>
          <w:szCs w:val="24"/>
          <w:lang w:eastAsia="zh-CN"/>
        </w:rPr>
        <w:t xml:space="preserve">Option 3: </w:t>
      </w:r>
      <w:r w:rsidRPr="006B3CCB">
        <w:rPr>
          <w:rFonts w:eastAsia="Times New Roman"/>
          <w:lang w:eastAsia="en-GB"/>
        </w:rPr>
        <w:t xml:space="preserve"> Using cell specific CBW to derive the new inner region</w:t>
      </w:r>
    </w:p>
    <w:p w14:paraId="7B82F021" w14:textId="7BA96449" w:rsidR="006F2A7E" w:rsidRPr="006B3CCB" w:rsidRDefault="006F2A7E" w:rsidP="006F2A7E">
      <w:pPr>
        <w:pStyle w:val="aff7"/>
        <w:numPr>
          <w:ilvl w:val="0"/>
          <w:numId w:val="4"/>
        </w:numPr>
        <w:overflowPunct/>
        <w:autoSpaceDE/>
        <w:autoSpaceDN/>
        <w:adjustRightInd/>
        <w:spacing w:after="120"/>
        <w:ind w:left="720" w:firstLineChars="0"/>
        <w:textAlignment w:val="auto"/>
        <w:rPr>
          <w:rFonts w:eastAsia="宋体"/>
          <w:szCs w:val="24"/>
          <w:lang w:eastAsia="zh-CN"/>
        </w:rPr>
      </w:pPr>
      <w:r w:rsidRPr="006B3CCB">
        <w:rPr>
          <w:rFonts w:eastAsia="宋体"/>
          <w:szCs w:val="24"/>
          <w:lang w:eastAsia="zh-CN"/>
        </w:rPr>
        <w:t>WF</w:t>
      </w:r>
    </w:p>
    <w:p w14:paraId="694326FC" w14:textId="65BF6C44" w:rsidR="006F2A7E" w:rsidRPr="006B3CCB" w:rsidRDefault="006B3CCB" w:rsidP="006F2A7E">
      <w:pPr>
        <w:pStyle w:val="aff7"/>
        <w:numPr>
          <w:ilvl w:val="1"/>
          <w:numId w:val="4"/>
        </w:numPr>
        <w:overflowPunct/>
        <w:autoSpaceDE/>
        <w:autoSpaceDN/>
        <w:adjustRightInd/>
        <w:spacing w:after="120"/>
        <w:ind w:left="1440" w:firstLineChars="0"/>
        <w:textAlignment w:val="auto"/>
        <w:rPr>
          <w:rFonts w:eastAsia="宋体"/>
          <w:szCs w:val="24"/>
          <w:lang w:eastAsia="zh-CN"/>
        </w:rPr>
      </w:pPr>
      <w:r w:rsidRPr="006B3CCB">
        <w:rPr>
          <w:rFonts w:eastAsia="宋体"/>
          <w:szCs w:val="24"/>
          <w:lang w:eastAsia="zh-CN"/>
        </w:rPr>
        <w:t>FFS in next meeting</w:t>
      </w:r>
    </w:p>
    <w:p w14:paraId="4A030EDA" w14:textId="77777777" w:rsidR="00D4354B" w:rsidRPr="006B3CCB" w:rsidRDefault="00D4354B" w:rsidP="006D70AB">
      <w:pPr>
        <w:spacing w:after="120"/>
        <w:rPr>
          <w:szCs w:val="24"/>
          <w:lang w:eastAsia="zh-CN"/>
        </w:rPr>
      </w:pPr>
    </w:p>
    <w:p w14:paraId="077DD186" w14:textId="77777777" w:rsidR="008026E3" w:rsidRPr="006B3CCB" w:rsidRDefault="008026E3" w:rsidP="008026E3">
      <w:pPr>
        <w:spacing w:after="120"/>
        <w:rPr>
          <w:szCs w:val="24"/>
          <w:lang w:eastAsia="zh-CN"/>
        </w:rPr>
      </w:pPr>
    </w:p>
    <w:p w14:paraId="1112A023" w14:textId="2FF8970E" w:rsidR="008026E3" w:rsidRPr="006B3CCB" w:rsidRDefault="008026E3" w:rsidP="006F2A7E">
      <w:pPr>
        <w:pStyle w:val="2"/>
        <w:ind w:left="576"/>
        <w:rPr>
          <w:sz w:val="24"/>
          <w:szCs w:val="16"/>
          <w:lang w:val="en-US"/>
        </w:rPr>
      </w:pPr>
      <w:r w:rsidRPr="006B3CCB">
        <w:t>Sub-topic 1-3: Signaling</w:t>
      </w:r>
    </w:p>
    <w:p w14:paraId="4350F5E4" w14:textId="77777777" w:rsidR="008669F5" w:rsidRPr="006B3CCB" w:rsidRDefault="008669F5" w:rsidP="008669F5">
      <w:pPr>
        <w:rPr>
          <w:lang w:eastAsia="zh-CN"/>
        </w:rPr>
      </w:pPr>
    </w:p>
    <w:p w14:paraId="1296180A" w14:textId="72DAD82B" w:rsidR="008026E3" w:rsidRPr="006B3CCB" w:rsidRDefault="008026E3" w:rsidP="008026E3">
      <w:pPr>
        <w:pStyle w:val="4"/>
        <w:spacing w:before="0" w:after="60"/>
        <w:rPr>
          <w:rFonts w:ascii="Times New Roman" w:hAnsi="Times New Roman"/>
          <w:b/>
          <w:sz w:val="20"/>
          <w:u w:val="single"/>
          <w:lang w:val="en-US" w:eastAsia="ko-KR"/>
        </w:rPr>
      </w:pPr>
      <w:r w:rsidRPr="006B3CCB">
        <w:rPr>
          <w:rFonts w:ascii="Times New Roman" w:hAnsi="Times New Roman"/>
          <w:b/>
          <w:sz w:val="20"/>
          <w:u w:val="single"/>
          <w:lang w:val="en-US" w:eastAsia="ko-KR"/>
        </w:rPr>
        <w:t xml:space="preserve">Issue 1-3-1: </w:t>
      </w:r>
      <w:r w:rsidR="00A856D3" w:rsidRPr="006B3CCB">
        <w:rPr>
          <w:rFonts w:ascii="Times New Roman" w:hAnsi="Times New Roman"/>
          <w:b/>
          <w:sz w:val="20"/>
          <w:u w:val="single"/>
          <w:lang w:val="en-US" w:eastAsia="ko-KR"/>
        </w:rPr>
        <w:t xml:space="preserve">NW </w:t>
      </w:r>
      <w:r w:rsidR="00291469" w:rsidRPr="006B3CCB">
        <w:rPr>
          <w:rFonts w:ascii="Times New Roman" w:hAnsi="Times New Roman"/>
          <w:b/>
          <w:sz w:val="20"/>
          <w:u w:val="single"/>
          <w:lang w:val="en-US" w:eastAsia="ko-KR"/>
        </w:rPr>
        <w:t>signaling</w:t>
      </w:r>
    </w:p>
    <w:p w14:paraId="2324E963" w14:textId="77777777" w:rsidR="008026E3" w:rsidRPr="006B3CCB" w:rsidRDefault="008026E3" w:rsidP="00A71498">
      <w:pPr>
        <w:pStyle w:val="aff7"/>
        <w:numPr>
          <w:ilvl w:val="0"/>
          <w:numId w:val="4"/>
        </w:numPr>
        <w:overflowPunct/>
        <w:autoSpaceDE/>
        <w:autoSpaceDN/>
        <w:adjustRightInd/>
        <w:spacing w:after="120"/>
        <w:ind w:left="720" w:firstLineChars="0"/>
        <w:textAlignment w:val="auto"/>
        <w:rPr>
          <w:szCs w:val="24"/>
          <w:lang w:eastAsia="zh-CN"/>
        </w:rPr>
      </w:pPr>
      <w:r w:rsidRPr="006B3CCB">
        <w:rPr>
          <w:rFonts w:eastAsia="宋体"/>
          <w:szCs w:val="24"/>
          <w:lang w:eastAsia="zh-CN"/>
        </w:rPr>
        <w:t>Proposals</w:t>
      </w:r>
    </w:p>
    <w:p w14:paraId="5A1A45D1" w14:textId="372BC433" w:rsidR="008026E3" w:rsidRPr="006B3CCB" w:rsidRDefault="008026E3" w:rsidP="00A71498">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lastRenderedPageBreak/>
        <w:t>Proposal 1: (</w:t>
      </w:r>
      <w:r w:rsidR="00A0215D" w:rsidRPr="006B3CCB">
        <w:rPr>
          <w:rFonts w:eastAsia="宋体" w:hint="eastAsia"/>
          <w:szCs w:val="24"/>
          <w:lang w:eastAsia="zh-CN"/>
        </w:rPr>
        <w:t>NTT</w:t>
      </w:r>
      <w:r w:rsidR="00A0215D" w:rsidRPr="006B3CCB">
        <w:rPr>
          <w:rFonts w:eastAsia="宋体"/>
          <w:szCs w:val="24"/>
          <w:lang w:eastAsia="zh-CN"/>
        </w:rPr>
        <w:t xml:space="preserve"> DOCOMO</w:t>
      </w:r>
      <w:r w:rsidRPr="006B3CCB">
        <w:rPr>
          <w:rFonts w:eastAsia="宋体"/>
          <w:szCs w:val="24"/>
          <w:lang w:eastAsia="zh-CN"/>
        </w:rPr>
        <w:t>)</w:t>
      </w:r>
    </w:p>
    <w:p w14:paraId="7FF8898C" w14:textId="3226F1D6" w:rsidR="00AD69C8" w:rsidRPr="006B3CCB" w:rsidRDefault="00A0215D" w:rsidP="00A71498">
      <w:pPr>
        <w:pStyle w:val="aff7"/>
        <w:numPr>
          <w:ilvl w:val="2"/>
          <w:numId w:val="4"/>
        </w:numPr>
        <w:spacing w:after="120"/>
        <w:ind w:firstLineChars="0"/>
        <w:jc w:val="both"/>
        <w:rPr>
          <w:rFonts w:eastAsia="宋体"/>
          <w:szCs w:val="24"/>
          <w:lang w:eastAsia="zh-CN"/>
        </w:rPr>
      </w:pPr>
      <w:r w:rsidRPr="006B3CCB">
        <w:rPr>
          <w:rFonts w:eastAsia="宋体"/>
          <w:szCs w:val="24"/>
          <w:lang w:eastAsia="zh-CN"/>
        </w:rPr>
        <w:t>BS indication should be designed to allow selection of which ACLR/SEM/spurious emission can be relaxed to fully enable this feature.</w:t>
      </w:r>
    </w:p>
    <w:p w14:paraId="2838D6BC" w14:textId="30CB5B45" w:rsidR="00F266FD" w:rsidRPr="006B3CCB" w:rsidRDefault="00F266FD" w:rsidP="00A71498">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Proposal 2: (</w:t>
      </w:r>
      <w:r w:rsidRPr="006B3CCB">
        <w:rPr>
          <w:rFonts w:eastAsia="宋体" w:hint="eastAsia"/>
          <w:szCs w:val="24"/>
          <w:lang w:eastAsia="zh-CN"/>
        </w:rPr>
        <w:t>MediaTe</w:t>
      </w:r>
      <w:r w:rsidRPr="006B3CCB">
        <w:rPr>
          <w:rFonts w:eastAsia="宋体"/>
          <w:szCs w:val="24"/>
          <w:lang w:eastAsia="zh-CN"/>
        </w:rPr>
        <w:t>k)</w:t>
      </w:r>
    </w:p>
    <w:p w14:paraId="2792B261" w14:textId="77777777" w:rsidR="00F266FD" w:rsidRPr="006B3CCB" w:rsidRDefault="00F266FD" w:rsidP="00A71498">
      <w:pPr>
        <w:pStyle w:val="aff7"/>
        <w:numPr>
          <w:ilvl w:val="2"/>
          <w:numId w:val="4"/>
        </w:numPr>
        <w:spacing w:after="120"/>
        <w:ind w:firstLineChars="0"/>
        <w:jc w:val="both"/>
        <w:rPr>
          <w:rFonts w:eastAsia="宋体"/>
          <w:szCs w:val="24"/>
          <w:lang w:eastAsia="zh-CN"/>
        </w:rPr>
      </w:pPr>
      <w:r w:rsidRPr="006B3CCB">
        <w:rPr>
          <w:rFonts w:eastAsia="宋体"/>
          <w:szCs w:val="24"/>
          <w:lang w:eastAsia="zh-CN"/>
        </w:rPr>
        <w:t>Define RRC signalling from network to UE to permit UE to apply “shifted OOBE + MPR improvement”, in order to allow mobile operators the choice of whether to allow it or not.</w:t>
      </w:r>
    </w:p>
    <w:p w14:paraId="722AE018" w14:textId="7CD87E68" w:rsidR="008D3C86" w:rsidRPr="006B3CCB" w:rsidRDefault="008D3C86" w:rsidP="00A71498">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Proposal 3: (vivo)</w:t>
      </w:r>
    </w:p>
    <w:p w14:paraId="71E3FE9D" w14:textId="77777777" w:rsidR="008D3C86" w:rsidRPr="006B3CCB" w:rsidRDefault="008D3C86" w:rsidP="00A71498">
      <w:pPr>
        <w:pStyle w:val="aff7"/>
        <w:numPr>
          <w:ilvl w:val="2"/>
          <w:numId w:val="4"/>
        </w:numPr>
        <w:spacing w:after="120"/>
        <w:ind w:firstLineChars="0"/>
        <w:jc w:val="both"/>
        <w:rPr>
          <w:rFonts w:eastAsia="宋体"/>
          <w:szCs w:val="24"/>
          <w:lang w:eastAsia="zh-CN"/>
        </w:rPr>
      </w:pPr>
      <w:r w:rsidRPr="006B3CCB">
        <w:rPr>
          <w:rFonts w:eastAsia="宋体"/>
          <w:szCs w:val="24"/>
          <w:lang w:eastAsia="zh-CN"/>
        </w:rPr>
        <w:t xml:space="preserve">Based on the fixed extension ratio, i.e., 0.5* UE CBW on each side, the following </w:t>
      </w:r>
      <w:proofErr w:type="spellStart"/>
      <w:r w:rsidRPr="006B3CCB">
        <w:rPr>
          <w:rFonts w:eastAsia="宋体"/>
          <w:szCs w:val="24"/>
          <w:lang w:eastAsia="zh-CN"/>
        </w:rPr>
        <w:t>signaling</w:t>
      </w:r>
      <w:proofErr w:type="spellEnd"/>
      <w:r w:rsidRPr="006B3CCB">
        <w:rPr>
          <w:rFonts w:eastAsia="宋体"/>
          <w:szCs w:val="24"/>
          <w:lang w:eastAsia="zh-CN"/>
        </w:rPr>
        <w:t xml:space="preserve"> mechanism could be considered:</w:t>
      </w:r>
    </w:p>
    <w:p w14:paraId="52ABBDA7" w14:textId="77777777" w:rsidR="008D3C86" w:rsidRPr="006B3CCB" w:rsidRDefault="008D3C86" w:rsidP="00A71498">
      <w:pPr>
        <w:pStyle w:val="aff7"/>
        <w:numPr>
          <w:ilvl w:val="3"/>
          <w:numId w:val="4"/>
        </w:numPr>
        <w:spacing w:after="120"/>
        <w:ind w:firstLineChars="0"/>
        <w:jc w:val="both"/>
        <w:rPr>
          <w:rFonts w:eastAsia="宋体"/>
          <w:szCs w:val="24"/>
          <w:lang w:eastAsia="zh-CN"/>
        </w:rPr>
      </w:pPr>
      <w:r w:rsidRPr="006B3CCB">
        <w:rPr>
          <w:rFonts w:eastAsia="宋体"/>
          <w:szCs w:val="24"/>
          <w:lang w:eastAsia="zh-CN"/>
        </w:rPr>
        <w:t>It is up to the NW to judge the gap width on both sides of the UE.</w:t>
      </w:r>
    </w:p>
    <w:p w14:paraId="219789CF" w14:textId="77777777" w:rsidR="008D3C86" w:rsidRPr="006B3CCB" w:rsidRDefault="008D3C86" w:rsidP="00A71498">
      <w:pPr>
        <w:pStyle w:val="aff7"/>
        <w:numPr>
          <w:ilvl w:val="3"/>
          <w:numId w:val="4"/>
        </w:numPr>
        <w:spacing w:after="120"/>
        <w:ind w:firstLineChars="0"/>
        <w:jc w:val="both"/>
        <w:rPr>
          <w:rFonts w:eastAsia="宋体"/>
          <w:szCs w:val="24"/>
          <w:lang w:eastAsia="zh-CN"/>
        </w:rPr>
      </w:pPr>
      <w:r w:rsidRPr="006B3CCB">
        <w:rPr>
          <w:rFonts w:eastAsia="宋体" w:hint="eastAsia"/>
          <w:szCs w:val="24"/>
          <w:lang w:eastAsia="zh-CN"/>
        </w:rPr>
        <w:t xml:space="preserve">When the gap on one side is </w:t>
      </w:r>
      <w:r w:rsidRPr="006B3CCB">
        <w:rPr>
          <w:rFonts w:eastAsia="宋体" w:hint="eastAsia"/>
          <w:szCs w:val="24"/>
          <w:lang w:eastAsia="zh-CN"/>
        </w:rPr>
        <w:t>≥</w:t>
      </w:r>
      <w:r w:rsidRPr="006B3CCB">
        <w:rPr>
          <w:rFonts w:eastAsia="宋体" w:hint="eastAsia"/>
          <w:szCs w:val="24"/>
          <w:lang w:eastAsia="zh-CN"/>
        </w:rPr>
        <w:t xml:space="preserve"> 0.5* UE CBW and the UE supports [MPR improvement with BW extension-r19], the NW sends the </w:t>
      </w:r>
      <w:proofErr w:type="spellStart"/>
      <w:r w:rsidRPr="006B3CCB">
        <w:rPr>
          <w:rFonts w:eastAsia="宋体" w:hint="eastAsia"/>
          <w:szCs w:val="24"/>
          <w:lang w:eastAsia="zh-CN"/>
        </w:rPr>
        <w:t>signaling</w:t>
      </w:r>
      <w:proofErr w:type="spellEnd"/>
      <w:r w:rsidRPr="006B3CCB">
        <w:rPr>
          <w:rFonts w:eastAsia="宋体" w:hint="eastAsia"/>
          <w:szCs w:val="24"/>
          <w:lang w:eastAsia="zh-CN"/>
        </w:rPr>
        <w:t xml:space="preserve"> (e.g., </w:t>
      </w:r>
      <w:proofErr w:type="spellStart"/>
      <w:r w:rsidRPr="006B3CCB">
        <w:rPr>
          <w:rFonts w:eastAsia="宋体" w:hint="eastAsia"/>
          <w:szCs w:val="24"/>
          <w:lang w:eastAsia="zh-CN"/>
        </w:rPr>
        <w:t>BWExtension</w:t>
      </w:r>
      <w:proofErr w:type="spellEnd"/>
      <w:r w:rsidRPr="006B3CCB">
        <w:rPr>
          <w:rFonts w:eastAsia="宋体" w:hint="eastAsia"/>
          <w:szCs w:val="24"/>
          <w:lang w:eastAsia="zh-CN"/>
        </w:rPr>
        <w:t xml:space="preserve"> -LowerSide-Rel19, or BWExtension-HigherSide-Rel19) to indicate the extension on the corresponding side.</w:t>
      </w:r>
    </w:p>
    <w:p w14:paraId="716C2581" w14:textId="77777777" w:rsidR="008D3C86" w:rsidRPr="006B3CCB" w:rsidRDefault="008D3C86" w:rsidP="00A71498">
      <w:pPr>
        <w:pStyle w:val="aff7"/>
        <w:numPr>
          <w:ilvl w:val="3"/>
          <w:numId w:val="4"/>
        </w:numPr>
        <w:spacing w:after="120"/>
        <w:ind w:firstLineChars="0"/>
        <w:jc w:val="both"/>
        <w:rPr>
          <w:rFonts w:eastAsia="宋体"/>
          <w:szCs w:val="24"/>
          <w:lang w:eastAsia="zh-CN"/>
        </w:rPr>
      </w:pPr>
      <w:r w:rsidRPr="006B3CCB">
        <w:rPr>
          <w:rFonts w:eastAsia="宋体" w:hint="eastAsia"/>
          <w:szCs w:val="24"/>
          <w:lang w:eastAsia="zh-CN"/>
        </w:rPr>
        <w:t xml:space="preserve">When the gap on both sides is </w:t>
      </w:r>
      <w:r w:rsidRPr="006B3CCB">
        <w:rPr>
          <w:rFonts w:eastAsia="宋体" w:hint="eastAsia"/>
          <w:szCs w:val="24"/>
          <w:lang w:eastAsia="zh-CN"/>
        </w:rPr>
        <w:t>≥</w:t>
      </w:r>
      <w:r w:rsidRPr="006B3CCB">
        <w:rPr>
          <w:rFonts w:eastAsia="宋体" w:hint="eastAsia"/>
          <w:szCs w:val="24"/>
          <w:lang w:eastAsia="zh-CN"/>
        </w:rPr>
        <w:t xml:space="preserve"> 0.5* UE CBW and the UE supports [MPR improvement with BW extension-r19], the NW sends two </w:t>
      </w:r>
      <w:proofErr w:type="spellStart"/>
      <w:r w:rsidRPr="006B3CCB">
        <w:rPr>
          <w:rFonts w:eastAsia="宋体" w:hint="eastAsia"/>
          <w:szCs w:val="24"/>
          <w:lang w:eastAsia="zh-CN"/>
        </w:rPr>
        <w:t>signaling</w:t>
      </w:r>
      <w:proofErr w:type="spellEnd"/>
      <w:r w:rsidRPr="006B3CCB">
        <w:rPr>
          <w:rFonts w:eastAsia="宋体" w:hint="eastAsia"/>
          <w:szCs w:val="24"/>
          <w:lang w:eastAsia="zh-CN"/>
        </w:rPr>
        <w:t xml:space="preserve"> (e.g., </w:t>
      </w:r>
      <w:proofErr w:type="spellStart"/>
      <w:r w:rsidRPr="006B3CCB">
        <w:rPr>
          <w:rFonts w:eastAsia="宋体" w:hint="eastAsia"/>
          <w:szCs w:val="24"/>
          <w:lang w:eastAsia="zh-CN"/>
        </w:rPr>
        <w:t>BWExtension</w:t>
      </w:r>
      <w:proofErr w:type="spellEnd"/>
      <w:r w:rsidRPr="006B3CCB">
        <w:rPr>
          <w:rFonts w:eastAsia="宋体" w:hint="eastAsia"/>
          <w:szCs w:val="24"/>
          <w:lang w:eastAsia="zh-CN"/>
        </w:rPr>
        <w:t xml:space="preserve"> -LowerSide-Rel19 + BWExtension-HigherSide-Rel19) or one combined </w:t>
      </w:r>
      <w:proofErr w:type="spellStart"/>
      <w:r w:rsidRPr="006B3CCB">
        <w:rPr>
          <w:rFonts w:eastAsia="宋体" w:hint="eastAsia"/>
          <w:szCs w:val="24"/>
          <w:lang w:eastAsia="zh-CN"/>
        </w:rPr>
        <w:t>signaling</w:t>
      </w:r>
      <w:proofErr w:type="spellEnd"/>
      <w:r w:rsidRPr="006B3CCB">
        <w:rPr>
          <w:rFonts w:eastAsia="宋体" w:hint="eastAsia"/>
          <w:szCs w:val="24"/>
          <w:lang w:eastAsia="zh-CN"/>
        </w:rPr>
        <w:t xml:space="preserve"> (e.g., </w:t>
      </w:r>
      <w:proofErr w:type="spellStart"/>
      <w:r w:rsidRPr="006B3CCB">
        <w:rPr>
          <w:rFonts w:eastAsia="宋体" w:hint="eastAsia"/>
          <w:szCs w:val="24"/>
          <w:lang w:eastAsia="zh-CN"/>
        </w:rPr>
        <w:t>BWExtension</w:t>
      </w:r>
      <w:proofErr w:type="spellEnd"/>
      <w:r w:rsidRPr="006B3CCB">
        <w:rPr>
          <w:rFonts w:eastAsia="宋体" w:hint="eastAsia"/>
          <w:szCs w:val="24"/>
          <w:lang w:eastAsia="zh-CN"/>
        </w:rPr>
        <w:t xml:space="preserve"> -BothSides-</w:t>
      </w:r>
      <w:r w:rsidRPr="006B3CCB">
        <w:rPr>
          <w:rFonts w:eastAsia="宋体"/>
          <w:szCs w:val="24"/>
          <w:lang w:eastAsia="zh-CN"/>
        </w:rPr>
        <w:t>Rel19) to indicate the extension on both sides.</w:t>
      </w:r>
    </w:p>
    <w:p w14:paraId="1FB8E4F7" w14:textId="593037A1" w:rsidR="00EC38C0" w:rsidRPr="006B3CCB" w:rsidRDefault="00EC38C0" w:rsidP="00A71498">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hint="eastAsia"/>
          <w:szCs w:val="24"/>
          <w:lang w:eastAsia="zh-CN"/>
        </w:rPr>
        <w:t>P</w:t>
      </w:r>
      <w:r w:rsidRPr="006B3CCB">
        <w:rPr>
          <w:rFonts w:eastAsia="宋体"/>
          <w:szCs w:val="24"/>
          <w:lang w:eastAsia="zh-CN"/>
        </w:rPr>
        <w:t xml:space="preserve">roposal 4: </w:t>
      </w:r>
      <w:r w:rsidRPr="006B3CCB">
        <w:rPr>
          <w:rFonts w:eastAsia="宋体" w:hint="eastAsia"/>
          <w:szCs w:val="24"/>
          <w:lang w:eastAsia="zh-CN"/>
        </w:rPr>
        <w:t>(</w:t>
      </w:r>
      <w:r w:rsidRPr="006B3CCB">
        <w:rPr>
          <w:rFonts w:eastAsia="宋体"/>
          <w:szCs w:val="24"/>
          <w:lang w:eastAsia="zh-CN"/>
        </w:rPr>
        <w:t>Skyworks)</w:t>
      </w:r>
    </w:p>
    <w:p w14:paraId="2B346062" w14:textId="77777777" w:rsidR="00EC38C0" w:rsidRPr="006B3CCB" w:rsidRDefault="00EC38C0" w:rsidP="00EC38C0">
      <w:pPr>
        <w:pStyle w:val="aff7"/>
        <w:numPr>
          <w:ilvl w:val="2"/>
          <w:numId w:val="4"/>
        </w:numPr>
        <w:spacing w:after="120"/>
        <w:ind w:firstLineChars="0"/>
        <w:jc w:val="both"/>
        <w:rPr>
          <w:rFonts w:eastAsia="宋体"/>
          <w:szCs w:val="24"/>
          <w:lang w:eastAsia="zh-CN"/>
        </w:rPr>
      </w:pPr>
      <w:r w:rsidRPr="006B3CCB">
        <w:rPr>
          <w:rFonts w:eastAsia="宋体"/>
          <w:szCs w:val="24"/>
          <w:lang w:eastAsia="zh-CN"/>
        </w:rPr>
        <w:t>Proposal on RB extension:</w:t>
      </w:r>
    </w:p>
    <w:p w14:paraId="1362658C" w14:textId="77777777" w:rsidR="00EC38C0" w:rsidRPr="006B3CCB" w:rsidRDefault="00EC38C0" w:rsidP="00EC38C0">
      <w:pPr>
        <w:pStyle w:val="aff7"/>
        <w:numPr>
          <w:ilvl w:val="3"/>
          <w:numId w:val="4"/>
        </w:numPr>
        <w:spacing w:after="120"/>
        <w:ind w:firstLineChars="0"/>
        <w:jc w:val="both"/>
        <w:rPr>
          <w:rFonts w:eastAsia="宋体"/>
          <w:szCs w:val="24"/>
          <w:lang w:eastAsia="zh-CN"/>
        </w:rPr>
      </w:pPr>
      <w:r w:rsidRPr="006B3CCB">
        <w:rPr>
          <w:rFonts w:eastAsia="宋体"/>
          <w:szCs w:val="24"/>
          <w:lang w:eastAsia="zh-CN"/>
        </w:rPr>
        <w:t xml:space="preserve">Bandwidth extensions are signalled by the BS to the UE with the lower side and higher side RB extensions expressed as: </w:t>
      </w:r>
      <w:proofErr w:type="spellStart"/>
      <w:r w:rsidRPr="006B3CCB">
        <w:rPr>
          <w:rFonts w:eastAsia="宋体"/>
          <w:szCs w:val="24"/>
          <w:lang w:eastAsia="zh-CN"/>
        </w:rPr>
        <w:t>RBextL</w:t>
      </w:r>
      <w:proofErr w:type="spellEnd"/>
      <w:r w:rsidRPr="006B3CCB">
        <w:rPr>
          <w:rFonts w:eastAsia="宋体"/>
          <w:szCs w:val="24"/>
          <w:lang w:eastAsia="zh-CN"/>
        </w:rPr>
        <w:t xml:space="preserve"> and </w:t>
      </w:r>
      <w:proofErr w:type="spellStart"/>
      <w:r w:rsidRPr="006B3CCB">
        <w:rPr>
          <w:rFonts w:eastAsia="宋体"/>
          <w:szCs w:val="24"/>
          <w:lang w:eastAsia="zh-CN"/>
        </w:rPr>
        <w:t>RBextH</w:t>
      </w:r>
      <w:proofErr w:type="spellEnd"/>
    </w:p>
    <w:p w14:paraId="40DE6C73" w14:textId="77777777" w:rsidR="00EC38C0" w:rsidRPr="006B3CCB" w:rsidRDefault="00EC38C0" w:rsidP="00EC38C0">
      <w:pPr>
        <w:pStyle w:val="aff7"/>
        <w:numPr>
          <w:ilvl w:val="3"/>
          <w:numId w:val="4"/>
        </w:numPr>
        <w:spacing w:after="120"/>
        <w:ind w:firstLineChars="0"/>
        <w:jc w:val="both"/>
        <w:rPr>
          <w:rFonts w:eastAsia="宋体"/>
          <w:szCs w:val="24"/>
          <w:lang w:eastAsia="zh-CN"/>
        </w:rPr>
      </w:pPr>
      <w:r w:rsidRPr="006B3CCB">
        <w:rPr>
          <w:rFonts w:eastAsia="宋体"/>
          <w:szCs w:val="24"/>
          <w:lang w:eastAsia="zh-CN"/>
        </w:rPr>
        <w:t xml:space="preserve">Maximum </w:t>
      </w:r>
      <w:proofErr w:type="spellStart"/>
      <w:r w:rsidRPr="006B3CCB">
        <w:rPr>
          <w:rFonts w:eastAsia="宋体"/>
          <w:szCs w:val="24"/>
          <w:lang w:eastAsia="zh-CN"/>
        </w:rPr>
        <w:t>RBextL</w:t>
      </w:r>
      <w:proofErr w:type="spellEnd"/>
      <w:r w:rsidRPr="006B3CCB">
        <w:rPr>
          <w:rFonts w:eastAsia="宋体"/>
          <w:szCs w:val="24"/>
          <w:lang w:eastAsia="zh-CN"/>
        </w:rPr>
        <w:t xml:space="preserve"> and </w:t>
      </w:r>
      <w:proofErr w:type="spellStart"/>
      <w:r w:rsidRPr="006B3CCB">
        <w:rPr>
          <w:rFonts w:eastAsia="宋体"/>
          <w:szCs w:val="24"/>
          <w:lang w:eastAsia="zh-CN"/>
        </w:rPr>
        <w:t>RBextH</w:t>
      </w:r>
      <w:proofErr w:type="spellEnd"/>
      <w:r w:rsidRPr="006B3CCB">
        <w:rPr>
          <w:rFonts w:eastAsia="宋体"/>
          <w:szCs w:val="24"/>
          <w:lang w:eastAsia="zh-CN"/>
        </w:rPr>
        <w:t xml:space="preserve"> is NRB_UE/2, and thus for the BS, this is NRB/2 of the largest supported UE CBW.</w:t>
      </w:r>
    </w:p>
    <w:p w14:paraId="2FF34149" w14:textId="77777777" w:rsidR="00EC38C0" w:rsidRPr="006B3CCB" w:rsidRDefault="00EC38C0" w:rsidP="00EC38C0">
      <w:pPr>
        <w:pStyle w:val="aff7"/>
        <w:numPr>
          <w:ilvl w:val="3"/>
          <w:numId w:val="4"/>
        </w:numPr>
        <w:spacing w:after="120"/>
        <w:ind w:firstLineChars="0"/>
        <w:jc w:val="both"/>
        <w:rPr>
          <w:rFonts w:eastAsia="宋体"/>
          <w:szCs w:val="24"/>
          <w:lang w:eastAsia="zh-CN"/>
        </w:rPr>
      </w:pPr>
      <w:r w:rsidRPr="006B3CCB">
        <w:rPr>
          <w:rFonts w:eastAsia="宋体"/>
          <w:szCs w:val="24"/>
          <w:lang w:eastAsia="zh-CN"/>
        </w:rPr>
        <w:t>Inner and outer allocation can be redefined by the UE, using the existing inner/outer allocation equations where:</w:t>
      </w:r>
    </w:p>
    <w:p w14:paraId="221C4844" w14:textId="77777777" w:rsidR="00EC38C0" w:rsidRPr="006B3CCB" w:rsidRDefault="00EC38C0" w:rsidP="00EC38C0">
      <w:pPr>
        <w:pStyle w:val="aff7"/>
        <w:numPr>
          <w:ilvl w:val="4"/>
          <w:numId w:val="4"/>
        </w:numPr>
        <w:spacing w:after="120"/>
        <w:ind w:firstLineChars="0"/>
        <w:jc w:val="both"/>
        <w:rPr>
          <w:rFonts w:eastAsia="宋体"/>
          <w:szCs w:val="24"/>
          <w:lang w:eastAsia="zh-CN"/>
        </w:rPr>
      </w:pPr>
      <w:r w:rsidRPr="006B3CCB">
        <w:rPr>
          <w:rFonts w:eastAsia="宋体"/>
          <w:szCs w:val="24"/>
          <w:lang w:eastAsia="zh-CN"/>
        </w:rPr>
        <w:t xml:space="preserve">NRB is replaced by </w:t>
      </w:r>
      <w:proofErr w:type="spellStart"/>
      <w:r w:rsidRPr="006B3CCB">
        <w:rPr>
          <w:rFonts w:eastAsia="宋体"/>
          <w:szCs w:val="24"/>
          <w:lang w:eastAsia="zh-CN"/>
        </w:rPr>
        <w:t>NRB+RBextL+RBextH</w:t>
      </w:r>
      <w:proofErr w:type="spellEnd"/>
    </w:p>
    <w:p w14:paraId="320D1BC4" w14:textId="77777777" w:rsidR="00EC38C0" w:rsidRPr="006B3CCB" w:rsidRDefault="00EC38C0" w:rsidP="00EC38C0">
      <w:pPr>
        <w:pStyle w:val="aff7"/>
        <w:numPr>
          <w:ilvl w:val="4"/>
          <w:numId w:val="4"/>
        </w:numPr>
        <w:spacing w:after="120"/>
        <w:ind w:firstLineChars="0"/>
        <w:jc w:val="both"/>
        <w:rPr>
          <w:rFonts w:eastAsia="宋体"/>
          <w:szCs w:val="24"/>
          <w:lang w:eastAsia="zh-CN"/>
        </w:rPr>
      </w:pPr>
      <w:proofErr w:type="spellStart"/>
      <w:r w:rsidRPr="006B3CCB">
        <w:rPr>
          <w:rFonts w:eastAsia="宋体"/>
          <w:szCs w:val="24"/>
          <w:lang w:eastAsia="zh-CN"/>
        </w:rPr>
        <w:t>RBstart</w:t>
      </w:r>
      <w:proofErr w:type="spellEnd"/>
      <w:r w:rsidRPr="006B3CCB">
        <w:rPr>
          <w:rFonts w:eastAsia="宋体"/>
          <w:szCs w:val="24"/>
          <w:lang w:eastAsia="zh-CN"/>
        </w:rPr>
        <w:t xml:space="preserve"> is replaced by </w:t>
      </w:r>
      <w:proofErr w:type="spellStart"/>
      <w:r w:rsidRPr="006B3CCB">
        <w:rPr>
          <w:rFonts w:eastAsia="宋体"/>
          <w:szCs w:val="24"/>
          <w:lang w:eastAsia="zh-CN"/>
        </w:rPr>
        <w:t>RBstart+RBextL</w:t>
      </w:r>
      <w:proofErr w:type="spellEnd"/>
    </w:p>
    <w:p w14:paraId="3BEEF77C" w14:textId="77777777" w:rsidR="00EC38C0" w:rsidRPr="006B3CCB" w:rsidRDefault="00EC38C0" w:rsidP="00EC38C0">
      <w:pPr>
        <w:pStyle w:val="aff7"/>
        <w:numPr>
          <w:ilvl w:val="3"/>
          <w:numId w:val="4"/>
        </w:numPr>
        <w:spacing w:after="120"/>
        <w:ind w:firstLineChars="0"/>
        <w:jc w:val="both"/>
        <w:rPr>
          <w:rFonts w:eastAsia="宋体"/>
          <w:szCs w:val="24"/>
          <w:lang w:eastAsia="zh-CN"/>
        </w:rPr>
      </w:pPr>
      <w:r w:rsidRPr="006B3CCB">
        <w:rPr>
          <w:rFonts w:eastAsia="宋体"/>
          <w:szCs w:val="24"/>
          <w:lang w:eastAsia="zh-CN"/>
        </w:rPr>
        <w:t>With 273RB for 100MHz CBW, the maximum RB extension value is 137, thus can be signalled with 8 bits, corresponding to 16bit total for the lower and higher side RB extensions. For 15kHz SCS cases, 50MHz has NRB/2=135, thus the same number of bits.</w:t>
      </w:r>
    </w:p>
    <w:p w14:paraId="59991C3F" w14:textId="77777777" w:rsidR="00EC38C0" w:rsidRPr="006B3CCB" w:rsidRDefault="00EC38C0" w:rsidP="00EC38C0">
      <w:pPr>
        <w:pStyle w:val="aff7"/>
        <w:numPr>
          <w:ilvl w:val="3"/>
          <w:numId w:val="4"/>
        </w:numPr>
        <w:spacing w:after="120"/>
        <w:ind w:firstLineChars="0"/>
        <w:jc w:val="both"/>
        <w:rPr>
          <w:rFonts w:eastAsia="宋体"/>
          <w:szCs w:val="24"/>
          <w:lang w:eastAsia="zh-CN"/>
        </w:rPr>
      </w:pPr>
      <w:r w:rsidRPr="006B3CCB">
        <w:rPr>
          <w:rFonts w:eastAsia="宋体"/>
          <w:szCs w:val="24"/>
          <w:lang w:eastAsia="zh-CN"/>
        </w:rPr>
        <w:t xml:space="preserve">Note that for the 100MHz case in 30kHz SCS and 50MHz in 15kHz SCS, the RB extension would correspond to BS bandwidth cases with DL CA or multiple channels (for example band n41 100+90MHz case in the US, or 100+60MHz case in China)  </w:t>
      </w:r>
    </w:p>
    <w:p w14:paraId="29D30B48" w14:textId="146208BF" w:rsidR="00EC38C0" w:rsidRPr="006B3CCB" w:rsidRDefault="00EC38C0" w:rsidP="00EC38C0">
      <w:pPr>
        <w:pStyle w:val="aff7"/>
        <w:numPr>
          <w:ilvl w:val="3"/>
          <w:numId w:val="4"/>
        </w:numPr>
        <w:spacing w:after="120"/>
        <w:ind w:firstLineChars="0"/>
        <w:jc w:val="both"/>
        <w:rPr>
          <w:rFonts w:eastAsia="宋体"/>
          <w:szCs w:val="24"/>
          <w:lang w:eastAsia="zh-CN"/>
        </w:rPr>
      </w:pPr>
      <w:r w:rsidRPr="006B3CCB">
        <w:rPr>
          <w:rFonts w:eastAsia="宋体"/>
          <w:szCs w:val="24"/>
          <w:lang w:eastAsia="zh-CN"/>
        </w:rPr>
        <w:t>several unused codes can be used as “short-cut” signalling: for example, all 1s would mean that all allocations can be turned to inner.</w:t>
      </w:r>
    </w:p>
    <w:p w14:paraId="1B1862C8" w14:textId="5C9D75B1" w:rsidR="00F266FD" w:rsidRPr="006B3CCB" w:rsidRDefault="008D3C86" w:rsidP="00A71498">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hint="eastAsia"/>
          <w:szCs w:val="24"/>
          <w:lang w:eastAsia="zh-CN"/>
        </w:rPr>
        <w:t>O</w:t>
      </w:r>
      <w:r w:rsidRPr="006B3CCB">
        <w:rPr>
          <w:rFonts w:eastAsia="宋体"/>
          <w:szCs w:val="24"/>
          <w:lang w:eastAsia="zh-CN"/>
        </w:rPr>
        <w:t>thers</w:t>
      </w:r>
    </w:p>
    <w:p w14:paraId="29CC7E7C" w14:textId="77777777" w:rsidR="008026E3" w:rsidRPr="006B3CCB" w:rsidRDefault="008026E3" w:rsidP="008026E3">
      <w:pPr>
        <w:pStyle w:val="aff7"/>
        <w:overflowPunct/>
        <w:autoSpaceDE/>
        <w:autoSpaceDN/>
        <w:adjustRightInd/>
        <w:spacing w:after="120"/>
        <w:ind w:left="1440" w:firstLineChars="0" w:firstLine="0"/>
        <w:textAlignment w:val="auto"/>
        <w:rPr>
          <w:rFonts w:eastAsia="宋体"/>
          <w:szCs w:val="24"/>
          <w:lang w:eastAsia="zh-CN"/>
        </w:rPr>
      </w:pPr>
    </w:p>
    <w:p w14:paraId="251D2B12" w14:textId="258B1751" w:rsidR="008026E3" w:rsidRPr="006B3CCB" w:rsidRDefault="008026E3" w:rsidP="00A71498">
      <w:pPr>
        <w:pStyle w:val="aff7"/>
        <w:numPr>
          <w:ilvl w:val="0"/>
          <w:numId w:val="4"/>
        </w:numPr>
        <w:overflowPunct/>
        <w:autoSpaceDE/>
        <w:autoSpaceDN/>
        <w:adjustRightInd/>
        <w:spacing w:after="120"/>
        <w:ind w:left="720" w:firstLineChars="0"/>
        <w:textAlignment w:val="auto"/>
        <w:rPr>
          <w:rFonts w:eastAsia="宋体"/>
          <w:szCs w:val="24"/>
          <w:lang w:eastAsia="zh-CN"/>
        </w:rPr>
      </w:pPr>
      <w:r w:rsidRPr="006B3CCB">
        <w:rPr>
          <w:rFonts w:eastAsia="宋体"/>
          <w:szCs w:val="24"/>
          <w:lang w:eastAsia="zh-CN"/>
        </w:rPr>
        <w:t>WF</w:t>
      </w:r>
    </w:p>
    <w:p w14:paraId="6B0A2B13" w14:textId="17F4CDE2" w:rsidR="008026E3" w:rsidRPr="006B3CCB" w:rsidRDefault="00B0381F" w:rsidP="00A71498">
      <w:pPr>
        <w:pStyle w:val="aff7"/>
        <w:numPr>
          <w:ilvl w:val="1"/>
          <w:numId w:val="4"/>
        </w:numPr>
        <w:overflowPunct/>
        <w:autoSpaceDE/>
        <w:autoSpaceDN/>
        <w:adjustRightInd/>
        <w:spacing w:after="120"/>
        <w:ind w:left="1440" w:firstLineChars="0"/>
        <w:textAlignment w:val="auto"/>
        <w:rPr>
          <w:rFonts w:eastAsia="宋体"/>
          <w:szCs w:val="24"/>
          <w:lang w:eastAsia="zh-CN"/>
        </w:rPr>
      </w:pPr>
      <w:r w:rsidRPr="006B3CCB">
        <w:rPr>
          <w:rFonts w:eastAsia="宋体"/>
          <w:szCs w:val="24"/>
          <w:lang w:eastAsia="zh-CN"/>
        </w:rPr>
        <w:t>FFS</w:t>
      </w:r>
      <w:r w:rsidR="008D3C86" w:rsidRPr="006B3CCB">
        <w:rPr>
          <w:rFonts w:eastAsia="宋体"/>
          <w:szCs w:val="24"/>
          <w:lang w:eastAsia="zh-CN"/>
        </w:rPr>
        <w:t xml:space="preserve"> whether NW signalling need to consider different requirements or </w:t>
      </w:r>
      <w:r w:rsidR="007139A2" w:rsidRPr="006B3CCB">
        <w:rPr>
          <w:rFonts w:eastAsia="宋体"/>
          <w:szCs w:val="24"/>
          <w:lang w:eastAsia="zh-CN"/>
        </w:rPr>
        <w:t xml:space="preserve">just </w:t>
      </w:r>
      <w:r w:rsidR="008D3C86" w:rsidRPr="006B3CCB">
        <w:rPr>
          <w:rFonts w:eastAsia="宋体"/>
          <w:szCs w:val="24"/>
          <w:lang w:eastAsia="zh-CN"/>
        </w:rPr>
        <w:t xml:space="preserve">a function enabler </w:t>
      </w:r>
      <w:r w:rsidR="00925423" w:rsidRPr="006B3CCB">
        <w:rPr>
          <w:rFonts w:eastAsia="宋体"/>
          <w:szCs w:val="24"/>
          <w:lang w:eastAsia="zh-CN"/>
        </w:rPr>
        <w:t>without considering specific requirements</w:t>
      </w:r>
    </w:p>
    <w:p w14:paraId="55C64DCC" w14:textId="77777777" w:rsidR="00E64C5B" w:rsidRPr="006B3CCB" w:rsidRDefault="00E64C5B" w:rsidP="00463E12">
      <w:pPr>
        <w:spacing w:after="120"/>
        <w:rPr>
          <w:iCs/>
          <w:lang w:eastAsia="zh-CN"/>
        </w:rPr>
      </w:pPr>
    </w:p>
    <w:p w14:paraId="79420400" w14:textId="4BD27378" w:rsidR="00A856D3" w:rsidRPr="006B3CCB" w:rsidRDefault="00A856D3" w:rsidP="00A856D3">
      <w:pPr>
        <w:pStyle w:val="4"/>
        <w:spacing w:before="0" w:after="60"/>
        <w:rPr>
          <w:rFonts w:ascii="Times New Roman" w:hAnsi="Times New Roman"/>
          <w:b/>
          <w:sz w:val="20"/>
          <w:u w:val="single"/>
          <w:lang w:val="en-US" w:eastAsia="ko-KR"/>
        </w:rPr>
      </w:pPr>
      <w:r w:rsidRPr="006B3CCB">
        <w:rPr>
          <w:rFonts w:ascii="Times New Roman" w:hAnsi="Times New Roman"/>
          <w:b/>
          <w:sz w:val="20"/>
          <w:u w:val="single"/>
          <w:lang w:val="en-US" w:eastAsia="ko-KR"/>
        </w:rPr>
        <w:t>Issue 1-3-</w:t>
      </w:r>
      <w:r w:rsidR="00912C33" w:rsidRPr="006B3CCB">
        <w:rPr>
          <w:rFonts w:ascii="Times New Roman" w:hAnsi="Times New Roman"/>
          <w:b/>
          <w:sz w:val="20"/>
          <w:u w:val="single"/>
          <w:lang w:val="en-US" w:eastAsia="ko-KR"/>
        </w:rPr>
        <w:t>2</w:t>
      </w:r>
      <w:r w:rsidRPr="006B3CCB">
        <w:rPr>
          <w:rFonts w:ascii="Times New Roman" w:hAnsi="Times New Roman"/>
          <w:b/>
          <w:sz w:val="20"/>
          <w:u w:val="single"/>
          <w:lang w:val="en-US" w:eastAsia="ko-KR"/>
        </w:rPr>
        <w:t>: UE capability</w:t>
      </w:r>
    </w:p>
    <w:p w14:paraId="74A075EC" w14:textId="77777777" w:rsidR="00A856D3" w:rsidRPr="006B3CCB" w:rsidRDefault="00A856D3" w:rsidP="00A71498">
      <w:pPr>
        <w:pStyle w:val="aff7"/>
        <w:numPr>
          <w:ilvl w:val="0"/>
          <w:numId w:val="4"/>
        </w:numPr>
        <w:overflowPunct/>
        <w:autoSpaceDE/>
        <w:autoSpaceDN/>
        <w:adjustRightInd/>
        <w:spacing w:after="120"/>
        <w:ind w:left="720" w:firstLineChars="0"/>
        <w:textAlignment w:val="auto"/>
        <w:rPr>
          <w:szCs w:val="24"/>
          <w:lang w:eastAsia="zh-CN"/>
        </w:rPr>
      </w:pPr>
      <w:r w:rsidRPr="006B3CCB">
        <w:rPr>
          <w:rFonts w:eastAsia="宋体"/>
          <w:szCs w:val="24"/>
          <w:lang w:eastAsia="zh-CN"/>
        </w:rPr>
        <w:t>Proposals</w:t>
      </w:r>
    </w:p>
    <w:p w14:paraId="4AD8DDBD" w14:textId="06A62816" w:rsidR="00A856D3" w:rsidRPr="006B3CCB" w:rsidRDefault="00A856D3" w:rsidP="00A71498">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 xml:space="preserve">Proposal 1: </w:t>
      </w:r>
    </w:p>
    <w:p w14:paraId="7CBF7100" w14:textId="4085A325" w:rsidR="00A856D3" w:rsidRPr="006B3CCB" w:rsidRDefault="007D3C25" w:rsidP="00A71498">
      <w:pPr>
        <w:pStyle w:val="aff7"/>
        <w:numPr>
          <w:ilvl w:val="2"/>
          <w:numId w:val="4"/>
        </w:numPr>
        <w:spacing w:after="120"/>
        <w:ind w:firstLineChars="0"/>
        <w:jc w:val="both"/>
        <w:rPr>
          <w:rFonts w:eastAsia="宋体"/>
          <w:szCs w:val="24"/>
          <w:lang w:eastAsia="zh-CN"/>
        </w:rPr>
      </w:pPr>
      <w:r w:rsidRPr="006B3CCB">
        <w:rPr>
          <w:rFonts w:eastAsia="Times New Roman"/>
        </w:rPr>
        <w:lastRenderedPageBreak/>
        <w:t>If the UE reports the capability supporting MPR reduction with extended CBW, e.g. [</w:t>
      </w:r>
      <w:r w:rsidRPr="006B3CCB">
        <w:rPr>
          <w:rFonts w:eastAsia="Times New Roman"/>
          <w:i/>
        </w:rPr>
        <w:t>MPR improvement with BW extension-r19</w:t>
      </w:r>
      <w:r w:rsidRPr="006B3CCB">
        <w:rPr>
          <w:rFonts w:eastAsia="Times New Roman"/>
        </w:rPr>
        <w:t xml:space="preserve">], the NW decides whether to allow such feature with specific </w:t>
      </w:r>
      <w:proofErr w:type="spellStart"/>
      <w:r w:rsidRPr="006B3CCB">
        <w:rPr>
          <w:rFonts w:eastAsia="Times New Roman"/>
        </w:rPr>
        <w:t>signaling</w:t>
      </w:r>
      <w:proofErr w:type="spellEnd"/>
      <w:r w:rsidR="00A856D3" w:rsidRPr="006B3CCB">
        <w:rPr>
          <w:rFonts w:eastAsia="宋体"/>
          <w:szCs w:val="24"/>
          <w:lang w:eastAsia="zh-CN"/>
        </w:rPr>
        <w:t>.</w:t>
      </w:r>
      <w:r w:rsidR="0005637D" w:rsidRPr="006B3CCB">
        <w:rPr>
          <w:rFonts w:eastAsia="宋体"/>
          <w:szCs w:val="24"/>
          <w:lang w:eastAsia="zh-CN"/>
        </w:rPr>
        <w:t xml:space="preserve"> </w:t>
      </w:r>
    </w:p>
    <w:p w14:paraId="050598FC" w14:textId="2FD6294B" w:rsidR="000E063A" w:rsidRPr="006B3CCB" w:rsidRDefault="000E063A" w:rsidP="000E063A">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Proposal 2: If any reduction of MPR would be specified in the end, it should be an optional feature for UE with per-band capability</w:t>
      </w:r>
      <w:r w:rsidR="00DD239C" w:rsidRPr="006B3CCB">
        <w:rPr>
          <w:rFonts w:eastAsia="宋体"/>
          <w:szCs w:val="24"/>
          <w:lang w:eastAsia="zh-CN"/>
        </w:rPr>
        <w:t xml:space="preserve"> (Sony)</w:t>
      </w:r>
    </w:p>
    <w:p w14:paraId="49DC5AAE" w14:textId="0FF63219" w:rsidR="007D3C25" w:rsidRPr="006B3CCB" w:rsidRDefault="007D3C25" w:rsidP="00A71498">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 xml:space="preserve">Proposal </w:t>
      </w:r>
      <w:r w:rsidR="000E063A" w:rsidRPr="006B3CCB">
        <w:rPr>
          <w:rFonts w:eastAsia="宋体"/>
          <w:szCs w:val="24"/>
          <w:lang w:eastAsia="zh-CN"/>
        </w:rPr>
        <w:t>3</w:t>
      </w:r>
      <w:r w:rsidRPr="006B3CCB">
        <w:rPr>
          <w:rFonts w:eastAsia="宋体"/>
          <w:szCs w:val="24"/>
          <w:lang w:eastAsia="zh-CN"/>
        </w:rPr>
        <w:t xml:space="preserve">: </w:t>
      </w:r>
      <w:r w:rsidR="008E6F28" w:rsidRPr="006B3CCB">
        <w:rPr>
          <w:rFonts w:eastAsia="宋体"/>
          <w:szCs w:val="24"/>
          <w:lang w:eastAsia="zh-CN"/>
        </w:rPr>
        <w:t xml:space="preserve">Define separate UE capabilities for scenario 1 and scenario 2 </w:t>
      </w:r>
      <w:r w:rsidRPr="006B3CCB">
        <w:rPr>
          <w:rFonts w:eastAsia="宋体"/>
          <w:szCs w:val="24"/>
          <w:lang w:eastAsia="zh-CN"/>
        </w:rPr>
        <w:t>(Nokia)</w:t>
      </w:r>
    </w:p>
    <w:p w14:paraId="72ECB116" w14:textId="1DF33E27" w:rsidR="00EC38C0" w:rsidRPr="006B3CCB" w:rsidRDefault="00EC38C0" w:rsidP="00A71498">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hint="eastAsia"/>
          <w:szCs w:val="24"/>
          <w:lang w:eastAsia="zh-CN"/>
        </w:rPr>
        <w:t>P</w:t>
      </w:r>
      <w:r w:rsidRPr="006B3CCB">
        <w:rPr>
          <w:rFonts w:eastAsia="宋体"/>
          <w:szCs w:val="24"/>
          <w:lang w:eastAsia="zh-CN"/>
        </w:rPr>
        <w:t>roposal 4: (Skyworks)</w:t>
      </w:r>
    </w:p>
    <w:p w14:paraId="0F8D12DA" w14:textId="77777777" w:rsidR="00EC38C0" w:rsidRPr="006B3CCB" w:rsidRDefault="00EC38C0" w:rsidP="00EC38C0">
      <w:pPr>
        <w:pStyle w:val="aff7"/>
        <w:numPr>
          <w:ilvl w:val="2"/>
          <w:numId w:val="4"/>
        </w:numPr>
        <w:spacing w:after="120"/>
        <w:ind w:firstLineChars="0"/>
        <w:jc w:val="both"/>
        <w:rPr>
          <w:rFonts w:eastAsia="宋体"/>
          <w:szCs w:val="24"/>
          <w:lang w:eastAsia="zh-CN"/>
        </w:rPr>
      </w:pPr>
      <w:r w:rsidRPr="006B3CCB">
        <w:rPr>
          <w:rFonts w:eastAsia="宋体"/>
          <w:szCs w:val="24"/>
          <w:lang w:eastAsia="zh-CN"/>
        </w:rPr>
        <w:t>A UE capability is needed to inform the BS that the UE can reassign its outer/edge allocations to inner. Two levels of UE capability may be considered:</w:t>
      </w:r>
    </w:p>
    <w:p w14:paraId="32190080" w14:textId="77777777" w:rsidR="00EC38C0" w:rsidRPr="006B3CCB" w:rsidRDefault="00EC38C0" w:rsidP="00EC38C0">
      <w:pPr>
        <w:pStyle w:val="aff7"/>
        <w:numPr>
          <w:ilvl w:val="3"/>
          <w:numId w:val="4"/>
        </w:numPr>
        <w:spacing w:after="120"/>
        <w:ind w:firstLineChars="0"/>
        <w:jc w:val="both"/>
        <w:rPr>
          <w:rFonts w:eastAsia="宋体"/>
          <w:szCs w:val="24"/>
          <w:lang w:eastAsia="zh-CN"/>
        </w:rPr>
      </w:pPr>
      <w:r w:rsidRPr="006B3CCB">
        <w:rPr>
          <w:rFonts w:eastAsia="宋体"/>
          <w:szCs w:val="24"/>
          <w:lang w:eastAsia="zh-CN"/>
        </w:rPr>
        <w:t>One where the UE is able to reassign outer/edge to inner, based on 1RB granularity of signalled RB extension.</w:t>
      </w:r>
    </w:p>
    <w:p w14:paraId="0434F709" w14:textId="77777777" w:rsidR="00EC38C0" w:rsidRPr="006B3CCB" w:rsidRDefault="00EC38C0" w:rsidP="00EC38C0">
      <w:pPr>
        <w:pStyle w:val="aff7"/>
        <w:numPr>
          <w:ilvl w:val="3"/>
          <w:numId w:val="4"/>
        </w:numPr>
        <w:spacing w:after="120"/>
        <w:ind w:firstLineChars="0"/>
        <w:jc w:val="both"/>
        <w:rPr>
          <w:rFonts w:eastAsia="宋体"/>
          <w:szCs w:val="24"/>
          <w:lang w:eastAsia="zh-CN"/>
        </w:rPr>
      </w:pPr>
      <w:r w:rsidRPr="006B3CCB">
        <w:rPr>
          <w:rFonts w:eastAsia="宋体"/>
          <w:szCs w:val="24"/>
          <w:lang w:eastAsia="zh-CN"/>
        </w:rPr>
        <w:t>One where the UE is only able to turn all or none of its outer/edge RBs into inner (this may be a valid option for RedCap UEs).</w:t>
      </w:r>
    </w:p>
    <w:p w14:paraId="4455F5C8" w14:textId="619C9AA2" w:rsidR="007D3C25" w:rsidRPr="006B3CCB" w:rsidRDefault="007D3C25" w:rsidP="00A71498">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hint="eastAsia"/>
          <w:szCs w:val="24"/>
          <w:lang w:eastAsia="zh-CN"/>
        </w:rPr>
        <w:t>O</w:t>
      </w:r>
      <w:r w:rsidRPr="006B3CCB">
        <w:rPr>
          <w:rFonts w:eastAsia="宋体"/>
          <w:szCs w:val="24"/>
          <w:lang w:eastAsia="zh-CN"/>
        </w:rPr>
        <w:t>thers</w:t>
      </w:r>
    </w:p>
    <w:p w14:paraId="575F08EE" w14:textId="77777777" w:rsidR="00A856D3" w:rsidRPr="006B3CCB" w:rsidRDefault="00A856D3" w:rsidP="00A856D3">
      <w:pPr>
        <w:pStyle w:val="aff7"/>
        <w:overflowPunct/>
        <w:autoSpaceDE/>
        <w:autoSpaceDN/>
        <w:adjustRightInd/>
        <w:spacing w:after="120"/>
        <w:ind w:left="1440" w:firstLineChars="0" w:firstLine="0"/>
        <w:textAlignment w:val="auto"/>
        <w:rPr>
          <w:rFonts w:eastAsia="宋体"/>
          <w:szCs w:val="24"/>
          <w:lang w:eastAsia="zh-CN"/>
        </w:rPr>
      </w:pPr>
    </w:p>
    <w:p w14:paraId="73E67D15" w14:textId="640A4B73" w:rsidR="00A856D3" w:rsidRPr="006B3CCB" w:rsidRDefault="00A856D3" w:rsidP="00A71498">
      <w:pPr>
        <w:pStyle w:val="aff7"/>
        <w:numPr>
          <w:ilvl w:val="0"/>
          <w:numId w:val="4"/>
        </w:numPr>
        <w:overflowPunct/>
        <w:autoSpaceDE/>
        <w:autoSpaceDN/>
        <w:adjustRightInd/>
        <w:spacing w:after="120"/>
        <w:ind w:left="720" w:firstLineChars="0"/>
        <w:textAlignment w:val="auto"/>
        <w:rPr>
          <w:rFonts w:eastAsia="宋体"/>
          <w:szCs w:val="24"/>
          <w:lang w:eastAsia="zh-CN"/>
        </w:rPr>
      </w:pPr>
      <w:r w:rsidRPr="006B3CCB">
        <w:rPr>
          <w:rFonts w:eastAsia="宋体"/>
          <w:szCs w:val="24"/>
          <w:lang w:eastAsia="zh-CN"/>
        </w:rPr>
        <w:t>WF</w:t>
      </w:r>
    </w:p>
    <w:p w14:paraId="717EE144" w14:textId="487671E1" w:rsidR="00595538" w:rsidRPr="006B3CCB" w:rsidRDefault="00595538" w:rsidP="00A71498">
      <w:pPr>
        <w:pStyle w:val="aff7"/>
        <w:numPr>
          <w:ilvl w:val="1"/>
          <w:numId w:val="4"/>
        </w:numPr>
        <w:overflowPunct/>
        <w:autoSpaceDE/>
        <w:autoSpaceDN/>
        <w:adjustRightInd/>
        <w:spacing w:after="120"/>
        <w:ind w:left="1440" w:firstLineChars="0"/>
        <w:textAlignment w:val="auto"/>
        <w:rPr>
          <w:rFonts w:eastAsia="宋体"/>
          <w:szCs w:val="24"/>
          <w:lang w:eastAsia="zh-CN"/>
        </w:rPr>
      </w:pPr>
      <w:r w:rsidRPr="006B3CCB">
        <w:rPr>
          <w:rFonts w:eastAsia="宋体"/>
          <w:szCs w:val="24"/>
          <w:lang w:eastAsia="zh-CN"/>
        </w:rPr>
        <w:t>MPR reduction with extended CBW is an optional feature with UE capability</w:t>
      </w:r>
    </w:p>
    <w:p w14:paraId="6C597AAC" w14:textId="4FD7B8E4" w:rsidR="00A856D3" w:rsidRPr="006B3CCB" w:rsidRDefault="00B0381F" w:rsidP="00595538">
      <w:pPr>
        <w:pStyle w:val="aff7"/>
        <w:numPr>
          <w:ilvl w:val="2"/>
          <w:numId w:val="4"/>
        </w:numPr>
        <w:overflowPunct/>
        <w:autoSpaceDE/>
        <w:autoSpaceDN/>
        <w:adjustRightInd/>
        <w:spacing w:after="120"/>
        <w:ind w:firstLineChars="0"/>
        <w:textAlignment w:val="auto"/>
        <w:rPr>
          <w:rFonts w:eastAsia="宋体"/>
          <w:szCs w:val="24"/>
          <w:lang w:eastAsia="zh-CN"/>
        </w:rPr>
      </w:pPr>
      <w:r w:rsidRPr="006B3CCB">
        <w:rPr>
          <w:rFonts w:eastAsia="宋体"/>
          <w:szCs w:val="24"/>
          <w:lang w:eastAsia="zh-CN"/>
        </w:rPr>
        <w:t>FFS d</w:t>
      </w:r>
      <w:r w:rsidR="00595538" w:rsidRPr="006B3CCB">
        <w:rPr>
          <w:rFonts w:eastAsia="宋体"/>
          <w:szCs w:val="24"/>
          <w:lang w:eastAsia="zh-CN"/>
        </w:rPr>
        <w:t xml:space="preserve">etails of </w:t>
      </w:r>
      <w:r w:rsidR="007D3C25" w:rsidRPr="006B3CCB">
        <w:rPr>
          <w:rFonts w:eastAsia="宋体"/>
          <w:szCs w:val="24"/>
          <w:lang w:eastAsia="zh-CN"/>
        </w:rPr>
        <w:t>UE capability</w:t>
      </w:r>
      <w:r w:rsidR="00A856D3" w:rsidRPr="006B3CCB">
        <w:rPr>
          <w:rFonts w:eastAsia="宋体"/>
          <w:szCs w:val="24"/>
          <w:lang w:eastAsia="zh-CN"/>
        </w:rPr>
        <w:t xml:space="preserve"> </w:t>
      </w:r>
    </w:p>
    <w:p w14:paraId="5CD1D76B" w14:textId="77777777" w:rsidR="00A856D3" w:rsidRPr="006B3CCB" w:rsidRDefault="00A856D3" w:rsidP="00463E12">
      <w:pPr>
        <w:spacing w:after="120"/>
        <w:rPr>
          <w:iCs/>
          <w:lang w:eastAsia="zh-CN"/>
        </w:rPr>
      </w:pPr>
    </w:p>
    <w:p w14:paraId="6CA0FC3E" w14:textId="77777777" w:rsidR="007C2EA6" w:rsidRPr="006B3CCB" w:rsidRDefault="007C2EA6" w:rsidP="007C2EA6">
      <w:pPr>
        <w:spacing w:after="120"/>
        <w:jc w:val="both"/>
        <w:rPr>
          <w:iCs/>
          <w:lang w:eastAsia="zh-CN"/>
        </w:rPr>
      </w:pPr>
    </w:p>
    <w:p w14:paraId="2CB86587" w14:textId="77777777" w:rsidR="005264BB" w:rsidRPr="006B3CCB" w:rsidRDefault="005264BB" w:rsidP="00463E12">
      <w:pPr>
        <w:spacing w:after="120"/>
        <w:rPr>
          <w:iCs/>
          <w:lang w:eastAsia="zh-CN"/>
        </w:rPr>
      </w:pPr>
    </w:p>
    <w:p w14:paraId="2C6CC5F0" w14:textId="6EE6DFCF" w:rsidR="0002003F" w:rsidRPr="006B3CCB" w:rsidRDefault="0002003F" w:rsidP="00A71498">
      <w:pPr>
        <w:pStyle w:val="1"/>
        <w:numPr>
          <w:ilvl w:val="0"/>
          <w:numId w:val="6"/>
        </w:numPr>
        <w:rPr>
          <w:lang w:val="en-US" w:eastAsia="ja-JP"/>
        </w:rPr>
      </w:pPr>
      <w:r w:rsidRPr="006B3CCB">
        <w:rPr>
          <w:lang w:val="en-US" w:eastAsia="ja-JP"/>
        </w:rPr>
        <w:t>Topic #</w:t>
      </w:r>
      <w:r w:rsidR="006F2A7E" w:rsidRPr="006B3CCB">
        <w:rPr>
          <w:lang w:val="en-US" w:eastAsia="ja-JP"/>
        </w:rPr>
        <w:t>2</w:t>
      </w:r>
      <w:r w:rsidRPr="006B3CCB">
        <w:rPr>
          <w:lang w:val="en-US" w:eastAsia="ja-JP"/>
        </w:rPr>
        <w:t>: MPR applicability for FR2</w:t>
      </w:r>
    </w:p>
    <w:p w14:paraId="7218BCB7" w14:textId="241F3AB3" w:rsidR="0002003F" w:rsidRPr="006B3CCB" w:rsidRDefault="0002003F" w:rsidP="0002003F">
      <w:pPr>
        <w:pStyle w:val="3"/>
        <w:rPr>
          <w:sz w:val="24"/>
          <w:szCs w:val="16"/>
          <w:lang w:val="en-US"/>
        </w:rPr>
      </w:pPr>
      <w:r w:rsidRPr="006B3CCB">
        <w:rPr>
          <w:sz w:val="24"/>
          <w:szCs w:val="16"/>
          <w:lang w:val="en-US"/>
        </w:rPr>
        <w:t xml:space="preserve">Sub-topic </w:t>
      </w:r>
      <w:r w:rsidR="006F2A7E" w:rsidRPr="006B3CCB">
        <w:rPr>
          <w:sz w:val="24"/>
          <w:szCs w:val="16"/>
          <w:lang w:val="en-US"/>
        </w:rPr>
        <w:t>2</w:t>
      </w:r>
      <w:r w:rsidRPr="006B3CCB">
        <w:rPr>
          <w:sz w:val="24"/>
          <w:szCs w:val="16"/>
          <w:lang w:val="en-US"/>
        </w:rPr>
        <w:t>-</w:t>
      </w:r>
      <w:r w:rsidR="00DA5916" w:rsidRPr="006B3CCB">
        <w:rPr>
          <w:sz w:val="24"/>
          <w:szCs w:val="16"/>
          <w:lang w:val="en-US"/>
        </w:rPr>
        <w:t>1</w:t>
      </w:r>
      <w:r w:rsidRPr="006B3CCB">
        <w:rPr>
          <w:sz w:val="24"/>
          <w:szCs w:val="16"/>
          <w:lang w:val="en-US"/>
        </w:rPr>
        <w:t xml:space="preserve">: </w:t>
      </w:r>
      <w:r w:rsidR="00ED23F5" w:rsidRPr="006B3CCB">
        <w:rPr>
          <w:sz w:val="24"/>
          <w:szCs w:val="16"/>
          <w:lang w:val="en-US"/>
        </w:rPr>
        <w:t xml:space="preserve">CC </w:t>
      </w:r>
      <w:proofErr w:type="gramStart"/>
      <w:r w:rsidR="00ED23F5" w:rsidRPr="006B3CCB">
        <w:rPr>
          <w:sz w:val="24"/>
          <w:szCs w:val="16"/>
          <w:lang w:val="en-US"/>
        </w:rPr>
        <w:t>activation based</w:t>
      </w:r>
      <w:proofErr w:type="gramEnd"/>
      <w:r w:rsidR="00ED23F5" w:rsidRPr="006B3CCB">
        <w:rPr>
          <w:sz w:val="24"/>
          <w:szCs w:val="16"/>
          <w:lang w:val="en-US"/>
        </w:rPr>
        <w:t xml:space="preserve"> enhancement for FR2</w:t>
      </w:r>
    </w:p>
    <w:p w14:paraId="7C76239B" w14:textId="07461813" w:rsidR="00C63DEF" w:rsidRPr="006B3CCB" w:rsidRDefault="00C63DEF" w:rsidP="00C63DEF">
      <w:pPr>
        <w:pStyle w:val="4"/>
        <w:spacing w:before="0" w:after="60"/>
        <w:rPr>
          <w:rFonts w:ascii="Times New Roman" w:hAnsi="Times New Roman"/>
          <w:b/>
          <w:sz w:val="20"/>
          <w:u w:val="single"/>
          <w:lang w:val="en-US" w:eastAsia="ko-KR"/>
        </w:rPr>
      </w:pPr>
      <w:r w:rsidRPr="006B3CCB">
        <w:rPr>
          <w:rFonts w:ascii="Times New Roman" w:hAnsi="Times New Roman"/>
          <w:b/>
          <w:sz w:val="20"/>
          <w:u w:val="single"/>
          <w:lang w:val="en-US" w:eastAsia="ko-KR"/>
        </w:rPr>
        <w:t xml:space="preserve">Issue </w:t>
      </w:r>
      <w:r w:rsidR="006F2A7E" w:rsidRPr="006B3CCB">
        <w:rPr>
          <w:rFonts w:ascii="Times New Roman" w:hAnsi="Times New Roman"/>
          <w:b/>
          <w:sz w:val="20"/>
          <w:u w:val="single"/>
          <w:lang w:val="en-US" w:eastAsia="ko-KR"/>
        </w:rPr>
        <w:t>2</w:t>
      </w:r>
      <w:r w:rsidRPr="006B3CCB">
        <w:rPr>
          <w:rFonts w:ascii="Times New Roman" w:hAnsi="Times New Roman"/>
          <w:b/>
          <w:sz w:val="20"/>
          <w:u w:val="single"/>
          <w:lang w:val="en-US" w:eastAsia="ko-KR"/>
        </w:rPr>
        <w:t>-</w:t>
      </w:r>
      <w:r w:rsidR="00DA5916" w:rsidRPr="006B3CCB">
        <w:rPr>
          <w:rFonts w:ascii="Times New Roman" w:hAnsi="Times New Roman"/>
          <w:b/>
          <w:sz w:val="20"/>
          <w:u w:val="single"/>
          <w:lang w:val="en-US" w:eastAsia="ko-KR"/>
        </w:rPr>
        <w:t>1</w:t>
      </w:r>
      <w:r w:rsidRPr="006B3CCB">
        <w:rPr>
          <w:rFonts w:ascii="Times New Roman" w:hAnsi="Times New Roman"/>
          <w:b/>
          <w:sz w:val="20"/>
          <w:u w:val="single"/>
          <w:lang w:val="en-US" w:eastAsia="ko-KR"/>
        </w:rPr>
        <w:t>-</w:t>
      </w:r>
      <w:r w:rsidR="00DA5916" w:rsidRPr="006B3CCB">
        <w:rPr>
          <w:rFonts w:ascii="Times New Roman" w:hAnsi="Times New Roman"/>
          <w:b/>
          <w:sz w:val="20"/>
          <w:u w:val="single"/>
          <w:lang w:val="en-US" w:eastAsia="ko-KR"/>
        </w:rPr>
        <w:t>1</w:t>
      </w:r>
      <w:r w:rsidRPr="006B3CCB">
        <w:rPr>
          <w:rFonts w:ascii="Times New Roman" w:hAnsi="Times New Roman"/>
          <w:b/>
          <w:sz w:val="20"/>
          <w:u w:val="single"/>
          <w:lang w:val="en-US" w:eastAsia="ko-KR"/>
        </w:rPr>
        <w:t xml:space="preserve">:  </w:t>
      </w:r>
      <w:r w:rsidR="00281812" w:rsidRPr="006B3CCB">
        <w:rPr>
          <w:rFonts w:ascii="Times New Roman" w:hAnsi="Times New Roman"/>
          <w:b/>
          <w:sz w:val="20"/>
          <w:u w:val="single"/>
          <w:lang w:val="en-US" w:eastAsia="ko-KR"/>
        </w:rPr>
        <w:t>Interaction between configuration-based and activation-based enhancements</w:t>
      </w:r>
    </w:p>
    <w:p w14:paraId="5B40E24D" w14:textId="77777777" w:rsidR="00C63DEF" w:rsidRPr="006B3CCB" w:rsidRDefault="00C63DEF" w:rsidP="00A71498">
      <w:pPr>
        <w:pStyle w:val="aff7"/>
        <w:numPr>
          <w:ilvl w:val="0"/>
          <w:numId w:val="4"/>
        </w:numPr>
        <w:overflowPunct/>
        <w:autoSpaceDE/>
        <w:autoSpaceDN/>
        <w:adjustRightInd/>
        <w:spacing w:after="120"/>
        <w:ind w:left="720" w:firstLineChars="0"/>
        <w:textAlignment w:val="auto"/>
        <w:rPr>
          <w:szCs w:val="24"/>
          <w:lang w:eastAsia="zh-CN"/>
        </w:rPr>
      </w:pPr>
      <w:r w:rsidRPr="006B3CCB">
        <w:rPr>
          <w:rFonts w:eastAsia="宋体"/>
          <w:szCs w:val="24"/>
          <w:lang w:eastAsia="zh-CN"/>
        </w:rPr>
        <w:t xml:space="preserve">Proposals </w:t>
      </w:r>
    </w:p>
    <w:p w14:paraId="63367A83" w14:textId="4FA2D025" w:rsidR="00C63DEF" w:rsidRPr="006B3CCB" w:rsidRDefault="00C63DEF" w:rsidP="00A71498">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 xml:space="preserve">Proposal 1: </w:t>
      </w:r>
      <w:r w:rsidR="00281812" w:rsidRPr="006B3CCB">
        <w:rPr>
          <w:rFonts w:eastAsia="宋体"/>
          <w:szCs w:val="24"/>
          <w:lang w:eastAsia="zh-CN"/>
        </w:rPr>
        <w:t>For Rel-19 FR2 UE MPR enhancement, the capabilities for ‘configuration-based’ enhancements and ‘activation-based’ enhancement are separate and independent.</w:t>
      </w:r>
      <w:r w:rsidRPr="006B3CCB">
        <w:rPr>
          <w:rFonts w:eastAsia="宋体"/>
          <w:szCs w:val="24"/>
          <w:lang w:eastAsia="zh-CN"/>
        </w:rPr>
        <w:t xml:space="preserve"> </w:t>
      </w:r>
      <w:r w:rsidRPr="006B3CCB">
        <w:rPr>
          <w:rFonts w:eastAsia="宋体" w:hint="eastAsia"/>
          <w:szCs w:val="24"/>
          <w:lang w:eastAsia="zh-CN"/>
        </w:rPr>
        <w:t>(</w:t>
      </w:r>
      <w:r w:rsidR="00ED23F5" w:rsidRPr="006B3CCB">
        <w:rPr>
          <w:rFonts w:eastAsia="宋体"/>
          <w:szCs w:val="24"/>
          <w:lang w:eastAsia="zh-CN"/>
        </w:rPr>
        <w:t>Qualcomm</w:t>
      </w:r>
      <w:r w:rsidRPr="006B3CCB">
        <w:rPr>
          <w:rFonts w:eastAsia="宋体"/>
          <w:szCs w:val="24"/>
          <w:lang w:eastAsia="zh-CN"/>
        </w:rPr>
        <w:t>)</w:t>
      </w:r>
    </w:p>
    <w:p w14:paraId="39FF7A69" w14:textId="5395800E" w:rsidR="00D22B98" w:rsidRPr="006B3CCB" w:rsidRDefault="00ED23F5" w:rsidP="00A71498">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 xml:space="preserve">Proposal 2: </w:t>
      </w:r>
      <w:r w:rsidR="00281812" w:rsidRPr="006B3CCB">
        <w:rPr>
          <w:rFonts w:eastAsia="宋体"/>
          <w:szCs w:val="24"/>
          <w:lang w:eastAsia="zh-CN"/>
        </w:rPr>
        <w:t>(Samsung)</w:t>
      </w:r>
    </w:p>
    <w:p w14:paraId="295E6EE1" w14:textId="3F78EE66" w:rsidR="00281812" w:rsidRPr="006B3CCB" w:rsidRDefault="00281812" w:rsidP="00A71498">
      <w:pPr>
        <w:pStyle w:val="aff7"/>
        <w:numPr>
          <w:ilvl w:val="2"/>
          <w:numId w:val="4"/>
        </w:numPr>
        <w:overflowPunct/>
        <w:autoSpaceDE/>
        <w:autoSpaceDN/>
        <w:adjustRightInd/>
        <w:spacing w:after="0"/>
        <w:ind w:firstLineChars="0" w:hanging="357"/>
        <w:jc w:val="both"/>
        <w:textAlignment w:val="auto"/>
        <w:rPr>
          <w:rFonts w:eastAsia="宋体"/>
          <w:szCs w:val="24"/>
          <w:lang w:eastAsia="zh-CN"/>
        </w:rPr>
      </w:pPr>
      <w:r w:rsidRPr="006B3CCB">
        <w:rPr>
          <w:rFonts w:eastAsia="宋体"/>
          <w:szCs w:val="24"/>
          <w:lang w:eastAsia="zh-CN"/>
        </w:rPr>
        <w:t>Introduce new UE capabilities which are not mutually exclusive to reflect the status indicated in table 1.</w:t>
      </w:r>
    </w:p>
    <w:p w14:paraId="1D5E9A05" w14:textId="794C8509" w:rsidR="00281812" w:rsidRPr="006B3CCB" w:rsidRDefault="00281812" w:rsidP="00281812">
      <w:pPr>
        <w:spacing w:after="0"/>
        <w:ind w:leftChars="1208" w:left="2416"/>
        <w:jc w:val="both"/>
        <w:rPr>
          <w:szCs w:val="24"/>
          <w:lang w:eastAsia="zh-CN"/>
        </w:rPr>
      </w:pPr>
      <w:r w:rsidRPr="006B3CCB">
        <w:rPr>
          <w:noProof/>
        </w:rPr>
        <w:drawing>
          <wp:inline distT="0" distB="0" distL="0" distR="0" wp14:anchorId="07989B6A" wp14:editId="5DFB2DE4">
            <wp:extent cx="4152900" cy="947659"/>
            <wp:effectExtent l="57150" t="76200" r="57150" b="812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91298" cy="956421"/>
                    </a:xfrm>
                    <a:prstGeom prst="rect">
                      <a:avLst/>
                    </a:prstGeom>
                    <a:effectLst>
                      <a:outerShdw blurRad="63500" algn="ctr" rotWithShape="0">
                        <a:prstClr val="black">
                          <a:alpha val="40000"/>
                        </a:prstClr>
                      </a:outerShdw>
                    </a:effectLst>
                  </pic:spPr>
                </pic:pic>
              </a:graphicData>
            </a:graphic>
          </wp:inline>
        </w:drawing>
      </w:r>
    </w:p>
    <w:p w14:paraId="3F069DD6" w14:textId="45644E0D" w:rsidR="00281812" w:rsidRPr="006B3CCB" w:rsidRDefault="00281812" w:rsidP="00A71498">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6B3CCB">
        <w:rPr>
          <w:rFonts w:eastAsia="宋体"/>
          <w:szCs w:val="24"/>
          <w:lang w:eastAsia="zh-CN"/>
        </w:rPr>
        <w:t>To avoid misleading, the two levels of MPR enhancements (configuration based &amp; activation based) should be renamed as uplink dependent MPR and activation dependent MPR</w:t>
      </w:r>
    </w:p>
    <w:p w14:paraId="34131A78" w14:textId="069595AD" w:rsidR="00281812" w:rsidRPr="006B3CCB" w:rsidRDefault="00281812" w:rsidP="00A71498">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6B3CCB">
        <w:rPr>
          <w:rFonts w:eastAsia="宋体"/>
          <w:szCs w:val="24"/>
          <w:lang w:eastAsia="zh-CN"/>
        </w:rPr>
        <w:t>Send RAN2 LS to trigger the work early</w:t>
      </w:r>
    </w:p>
    <w:p w14:paraId="6ED08C21" w14:textId="3978EEEE" w:rsidR="00ED23F5" w:rsidRPr="006B3CCB" w:rsidRDefault="00ED23F5" w:rsidP="00A71498">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hint="eastAsia"/>
          <w:szCs w:val="24"/>
          <w:lang w:eastAsia="zh-CN"/>
        </w:rPr>
        <w:t>P</w:t>
      </w:r>
      <w:r w:rsidRPr="006B3CCB">
        <w:rPr>
          <w:rFonts w:eastAsia="宋体"/>
          <w:szCs w:val="24"/>
          <w:lang w:eastAsia="zh-CN"/>
        </w:rPr>
        <w:t>roposal 3:</w:t>
      </w:r>
      <w:r w:rsidR="00A32E4C" w:rsidRPr="006B3CCB">
        <w:rPr>
          <w:rFonts w:eastAsia="宋体"/>
          <w:szCs w:val="24"/>
          <w:lang w:eastAsia="zh-CN"/>
        </w:rPr>
        <w:t xml:space="preserve"> (</w:t>
      </w:r>
      <w:r w:rsidR="003606D6" w:rsidRPr="006B3CCB">
        <w:rPr>
          <w:rFonts w:eastAsia="宋体"/>
          <w:szCs w:val="24"/>
          <w:lang w:eastAsia="zh-CN"/>
        </w:rPr>
        <w:t>vivo</w:t>
      </w:r>
      <w:r w:rsidR="00A32E4C" w:rsidRPr="006B3CCB">
        <w:rPr>
          <w:rFonts w:eastAsia="宋体"/>
          <w:szCs w:val="24"/>
          <w:lang w:eastAsia="zh-CN"/>
        </w:rPr>
        <w:t>)</w:t>
      </w:r>
    </w:p>
    <w:p w14:paraId="6F72FDD2" w14:textId="0E2347BB" w:rsidR="003606D6" w:rsidRPr="006B3CCB" w:rsidRDefault="003606D6" w:rsidP="00A71498">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6B3CCB">
        <w:rPr>
          <w:rFonts w:eastAsia="宋体"/>
          <w:szCs w:val="24"/>
          <w:lang w:eastAsia="zh-CN"/>
        </w:rPr>
        <w:t>The enhancement capabilities for configuration-based and activation-based should be independent but not mutually exclusive.</w:t>
      </w:r>
    </w:p>
    <w:p w14:paraId="7A8382FC" w14:textId="4A14C5AB" w:rsidR="003606D6" w:rsidRPr="006B3CCB" w:rsidRDefault="003606D6" w:rsidP="00A71498">
      <w:pPr>
        <w:pStyle w:val="aff7"/>
        <w:numPr>
          <w:ilvl w:val="2"/>
          <w:numId w:val="4"/>
        </w:numPr>
        <w:overflowPunct/>
        <w:autoSpaceDE/>
        <w:autoSpaceDN/>
        <w:adjustRightInd/>
        <w:spacing w:after="120"/>
        <w:ind w:firstLineChars="0"/>
        <w:jc w:val="both"/>
        <w:textAlignment w:val="auto"/>
        <w:rPr>
          <w:rFonts w:eastAsia="宋体"/>
          <w:bCs/>
          <w:szCs w:val="24"/>
          <w:lang w:eastAsia="zh-CN"/>
        </w:rPr>
      </w:pPr>
      <w:r w:rsidRPr="006B3CCB">
        <w:rPr>
          <w:rFonts w:eastAsia="宋体"/>
          <w:bCs/>
          <w:szCs w:val="21"/>
        </w:rPr>
        <w:t>I</w:t>
      </w:r>
      <w:r w:rsidRPr="006B3CCB">
        <w:rPr>
          <w:rFonts w:eastAsia="宋体" w:hint="eastAsia"/>
          <w:bCs/>
          <w:szCs w:val="21"/>
        </w:rPr>
        <w:t>n</w:t>
      </w:r>
      <w:r w:rsidRPr="006B3CCB">
        <w:rPr>
          <w:rFonts w:eastAsia="宋体"/>
          <w:bCs/>
          <w:i/>
          <w:szCs w:val="21"/>
        </w:rPr>
        <w:t xml:space="preserve"> </w:t>
      </w:r>
      <w:r w:rsidRPr="006B3CCB">
        <w:rPr>
          <w:rFonts w:eastAsia="宋体" w:hint="eastAsia"/>
          <w:bCs/>
          <w:szCs w:val="21"/>
        </w:rPr>
        <w:t>order</w:t>
      </w:r>
      <w:r w:rsidRPr="006B3CCB">
        <w:rPr>
          <w:rFonts w:eastAsia="宋体"/>
          <w:bCs/>
          <w:szCs w:val="21"/>
        </w:rPr>
        <w:t xml:space="preserve"> to perform MPR reduction, w</w:t>
      </w:r>
      <w:r w:rsidRPr="006B3CCB">
        <w:rPr>
          <w:rFonts w:eastAsia="宋体" w:hint="eastAsia"/>
          <w:bCs/>
          <w:szCs w:val="21"/>
        </w:rPr>
        <w:t>he</w:t>
      </w:r>
      <w:r w:rsidRPr="006B3CCB">
        <w:rPr>
          <w:rFonts w:eastAsia="宋体"/>
          <w:bCs/>
          <w:szCs w:val="21"/>
        </w:rPr>
        <w:t xml:space="preserve">ther </w:t>
      </w:r>
      <w:r w:rsidRPr="006B3CCB">
        <w:rPr>
          <w:rFonts w:eastAsia="宋体"/>
          <w:bCs/>
          <w:i/>
          <w:szCs w:val="21"/>
        </w:rPr>
        <w:t xml:space="preserve">extendedDC-LocationReport-r17 </w:t>
      </w:r>
      <w:r w:rsidRPr="006B3CCB">
        <w:rPr>
          <w:rFonts w:eastAsia="宋体"/>
          <w:bCs/>
          <w:szCs w:val="21"/>
        </w:rPr>
        <w:t>must be supported together with the two capabilities needs discussion</w:t>
      </w:r>
    </w:p>
    <w:p w14:paraId="47331921" w14:textId="67D5FBDB" w:rsidR="006B4929" w:rsidRPr="006B3CCB" w:rsidRDefault="006B4929" w:rsidP="00A71498">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hint="eastAsia"/>
          <w:szCs w:val="24"/>
          <w:lang w:eastAsia="zh-CN"/>
        </w:rPr>
        <w:lastRenderedPageBreak/>
        <w:t>P</w:t>
      </w:r>
      <w:r w:rsidRPr="006B3CCB">
        <w:rPr>
          <w:rFonts w:eastAsia="宋体"/>
          <w:szCs w:val="24"/>
          <w:lang w:eastAsia="zh-CN"/>
        </w:rPr>
        <w:t xml:space="preserve">roposal 4: </w:t>
      </w:r>
      <w:r w:rsidR="003606D6" w:rsidRPr="006B3CCB">
        <w:rPr>
          <w:rFonts w:eastAsia="Yu Mincho"/>
          <w:szCs w:val="21"/>
        </w:rPr>
        <w:t xml:space="preserve">RAN4 should </w:t>
      </w:r>
      <w:r w:rsidR="003606D6" w:rsidRPr="006B3CCB">
        <w:rPr>
          <w:rFonts w:eastAsia="Yu Mincho" w:hint="eastAsia"/>
          <w:szCs w:val="21"/>
        </w:rPr>
        <w:t>define</w:t>
      </w:r>
      <w:r w:rsidR="003606D6" w:rsidRPr="006B3CCB">
        <w:rPr>
          <w:rFonts w:eastAsia="Yu Mincho"/>
          <w:szCs w:val="21"/>
        </w:rPr>
        <w:t xml:space="preserve"> distin</w:t>
      </w:r>
      <w:r w:rsidR="003606D6" w:rsidRPr="006B3CCB">
        <w:rPr>
          <w:rFonts w:eastAsia="Yu Mincho" w:hint="eastAsia"/>
          <w:szCs w:val="21"/>
        </w:rPr>
        <w:t>ct</w:t>
      </w:r>
      <w:r w:rsidR="003606D6" w:rsidRPr="006B3CCB">
        <w:rPr>
          <w:rFonts w:eastAsia="Yu Mincho"/>
          <w:szCs w:val="21"/>
        </w:rPr>
        <w:t xml:space="preserve"> UE capabilit</w:t>
      </w:r>
      <w:r w:rsidR="003606D6" w:rsidRPr="006B3CCB">
        <w:rPr>
          <w:rFonts w:eastAsia="Yu Mincho" w:hint="eastAsia"/>
          <w:szCs w:val="21"/>
        </w:rPr>
        <w:t>ies</w:t>
      </w:r>
      <w:r w:rsidR="003606D6" w:rsidRPr="006B3CCB">
        <w:rPr>
          <w:rFonts w:eastAsia="Yu Mincho"/>
          <w:szCs w:val="21"/>
        </w:rPr>
        <w:t xml:space="preserve">, considering cases where </w:t>
      </w:r>
      <w:r w:rsidR="003606D6" w:rsidRPr="006B3CCB">
        <w:rPr>
          <w:rFonts w:eastAsia="Yu Mincho" w:hint="eastAsia"/>
          <w:szCs w:val="21"/>
        </w:rPr>
        <w:t>a</w:t>
      </w:r>
      <w:r w:rsidR="003606D6" w:rsidRPr="006B3CCB">
        <w:rPr>
          <w:rFonts w:eastAsia="Yu Mincho"/>
          <w:szCs w:val="21"/>
        </w:rPr>
        <w:t xml:space="preserve">ctivated CABW is applied in addition to </w:t>
      </w:r>
      <w:r w:rsidR="003606D6" w:rsidRPr="006B3CCB">
        <w:rPr>
          <w:rFonts w:eastAsia="Yu Mincho" w:hint="eastAsia"/>
          <w:szCs w:val="21"/>
        </w:rPr>
        <w:t xml:space="preserve">cases </w:t>
      </w:r>
      <w:r w:rsidR="003606D6" w:rsidRPr="006B3CCB">
        <w:rPr>
          <w:rFonts w:eastAsia="Yu Mincho"/>
          <w:szCs w:val="21"/>
        </w:rPr>
        <w:t>wh</w:t>
      </w:r>
      <w:r w:rsidR="003606D6" w:rsidRPr="006B3CCB">
        <w:rPr>
          <w:rFonts w:eastAsia="Yu Mincho" w:hint="eastAsia"/>
          <w:szCs w:val="21"/>
        </w:rPr>
        <w:t>ere</w:t>
      </w:r>
      <w:r w:rsidR="003606D6" w:rsidRPr="006B3CCB">
        <w:rPr>
          <w:rFonts w:eastAsia="Yu Mincho"/>
          <w:szCs w:val="21"/>
        </w:rPr>
        <w:t xml:space="preserve"> </w:t>
      </w:r>
      <w:r w:rsidR="003606D6" w:rsidRPr="006B3CCB">
        <w:rPr>
          <w:rFonts w:eastAsia="Yu Mincho" w:hint="eastAsia"/>
          <w:szCs w:val="21"/>
        </w:rPr>
        <w:t>c</w:t>
      </w:r>
      <w:r w:rsidR="003606D6" w:rsidRPr="006B3CCB">
        <w:rPr>
          <w:rFonts w:eastAsia="Yu Mincho"/>
          <w:szCs w:val="21"/>
        </w:rPr>
        <w:t>onfigured UL BW</w:t>
      </w:r>
      <w:r w:rsidR="003606D6" w:rsidRPr="006B3CCB">
        <w:rPr>
          <w:rFonts w:eastAsia="Yu Mincho"/>
          <w:szCs w:val="21"/>
          <w:vertAlign w:val="subscript"/>
        </w:rPr>
        <w:t>channel_CA</w:t>
      </w:r>
      <w:r w:rsidR="003606D6" w:rsidRPr="006B3CCB">
        <w:rPr>
          <w:rFonts w:eastAsia="Yu Mincho"/>
          <w:szCs w:val="21"/>
        </w:rPr>
        <w:t xml:space="preserve"> </w:t>
      </w:r>
      <w:r w:rsidR="003606D6" w:rsidRPr="006B3CCB">
        <w:rPr>
          <w:rFonts w:eastAsia="Yu Mincho" w:hint="eastAsia"/>
          <w:szCs w:val="21"/>
        </w:rPr>
        <w:t>or</w:t>
      </w:r>
      <w:r w:rsidR="003606D6" w:rsidRPr="006B3CCB">
        <w:rPr>
          <w:rFonts w:eastAsia="Yu Mincho"/>
          <w:szCs w:val="21"/>
        </w:rPr>
        <w:t xml:space="preserve"> </w:t>
      </w:r>
      <w:r w:rsidR="003606D6" w:rsidRPr="006B3CCB">
        <w:rPr>
          <w:rFonts w:eastAsia="Yu Mincho" w:hint="eastAsia"/>
          <w:szCs w:val="21"/>
        </w:rPr>
        <w:t>a</w:t>
      </w:r>
      <w:r w:rsidR="003606D6" w:rsidRPr="006B3CCB">
        <w:rPr>
          <w:rFonts w:eastAsia="Yu Mincho"/>
          <w:szCs w:val="21"/>
        </w:rPr>
        <w:t xml:space="preserve">ctivated UL CCs </w:t>
      </w:r>
      <w:r w:rsidR="003606D6" w:rsidRPr="006B3CCB">
        <w:rPr>
          <w:rFonts w:eastAsia="Yu Mincho" w:hint="eastAsia"/>
          <w:szCs w:val="21"/>
        </w:rPr>
        <w:t>bandwidth</w:t>
      </w:r>
      <w:r w:rsidR="003606D6" w:rsidRPr="006B3CCB">
        <w:rPr>
          <w:rFonts w:eastAsia="Yu Mincho"/>
          <w:szCs w:val="21"/>
        </w:rPr>
        <w:t xml:space="preserve"> are used as the bandwidth basis</w:t>
      </w:r>
      <w:r w:rsidR="003606D6" w:rsidRPr="006B3CCB">
        <w:rPr>
          <w:rFonts w:eastAsia="Yu Mincho" w:hint="eastAsia"/>
          <w:szCs w:val="21"/>
        </w:rPr>
        <w:t xml:space="preserve"> for FR2 CA MPR table</w:t>
      </w:r>
      <w:r w:rsidRPr="006B3CCB">
        <w:rPr>
          <w:rFonts w:eastAsia="宋体"/>
          <w:szCs w:val="24"/>
          <w:lang w:eastAsia="zh-CN"/>
        </w:rPr>
        <w:t>. (NTT DOCOMO)</w:t>
      </w:r>
    </w:p>
    <w:p w14:paraId="172BF513" w14:textId="59494BBD" w:rsidR="00427AAF" w:rsidRPr="006B3CCB" w:rsidRDefault="00427AAF" w:rsidP="00A71498">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hint="eastAsia"/>
          <w:szCs w:val="24"/>
          <w:lang w:eastAsia="zh-CN"/>
        </w:rPr>
        <w:t>P</w:t>
      </w:r>
      <w:r w:rsidRPr="006B3CCB">
        <w:rPr>
          <w:rFonts w:eastAsia="宋体"/>
          <w:szCs w:val="24"/>
          <w:lang w:eastAsia="zh-CN"/>
        </w:rPr>
        <w:t>roposal 5: As the implementation assumption behind the capabilities on configuration-based and activation-based could be the support of separate Tx/Rx LO and LO tuning respectively, these two capabilities do not need to be mutually exclusive (Huawei)</w:t>
      </w:r>
    </w:p>
    <w:p w14:paraId="3D5DE6A2" w14:textId="6C27CE2A" w:rsidR="00C63DEF" w:rsidRPr="006B3CCB" w:rsidRDefault="00C63DEF" w:rsidP="00A71498">
      <w:pPr>
        <w:pStyle w:val="aff7"/>
        <w:numPr>
          <w:ilvl w:val="0"/>
          <w:numId w:val="4"/>
        </w:numPr>
        <w:overflowPunct/>
        <w:autoSpaceDE/>
        <w:autoSpaceDN/>
        <w:adjustRightInd/>
        <w:spacing w:after="120"/>
        <w:ind w:left="720" w:firstLineChars="0"/>
        <w:textAlignment w:val="auto"/>
        <w:rPr>
          <w:rFonts w:eastAsia="宋体"/>
          <w:szCs w:val="24"/>
          <w:lang w:eastAsia="zh-CN"/>
        </w:rPr>
      </w:pPr>
      <w:r w:rsidRPr="006B3CCB">
        <w:rPr>
          <w:rFonts w:eastAsia="宋体"/>
          <w:szCs w:val="24"/>
          <w:highlight w:val="yellow"/>
          <w:lang w:eastAsia="zh-CN"/>
        </w:rPr>
        <w:t>Recommended WF</w:t>
      </w:r>
      <w:r w:rsidR="006B3CCB" w:rsidRPr="006B3CCB">
        <w:rPr>
          <w:rFonts w:eastAsia="宋体"/>
          <w:color w:val="0070C0"/>
          <w:szCs w:val="24"/>
          <w:lang w:eastAsia="zh-CN"/>
        </w:rPr>
        <w:t xml:space="preserve"> (to be discussed in main session)</w:t>
      </w:r>
    </w:p>
    <w:p w14:paraId="5665AA32" w14:textId="49D54A1B" w:rsidR="00C63DEF" w:rsidRPr="00DD08BA" w:rsidRDefault="001F5B59" w:rsidP="00A71498">
      <w:pPr>
        <w:pStyle w:val="aff7"/>
        <w:numPr>
          <w:ilvl w:val="1"/>
          <w:numId w:val="4"/>
        </w:numPr>
        <w:overflowPunct/>
        <w:autoSpaceDE/>
        <w:autoSpaceDN/>
        <w:adjustRightInd/>
        <w:spacing w:after="120"/>
        <w:ind w:left="1440" w:firstLineChars="0"/>
        <w:textAlignment w:val="auto"/>
        <w:rPr>
          <w:highlight w:val="green"/>
          <w:lang w:eastAsia="zh-CN"/>
        </w:rPr>
      </w:pPr>
      <w:r w:rsidRPr="00DD08BA">
        <w:rPr>
          <w:bCs/>
          <w:highlight w:val="green"/>
        </w:rPr>
        <w:t>For Rel-19 FR2 UE MPR enhancement, the capabilities for ‘configuration-based’ enhancements and ‘activation-based’ enhancement are separate and independent</w:t>
      </w:r>
      <w:r w:rsidR="00A32E4C" w:rsidRPr="00DD08BA">
        <w:rPr>
          <w:bCs/>
          <w:highlight w:val="green"/>
        </w:rPr>
        <w:t>.</w:t>
      </w:r>
    </w:p>
    <w:p w14:paraId="1688C8A0" w14:textId="6AFD314F" w:rsidR="001F5B59" w:rsidRPr="00DD08BA" w:rsidRDefault="001F5B59" w:rsidP="00A71498">
      <w:pPr>
        <w:pStyle w:val="aff7"/>
        <w:numPr>
          <w:ilvl w:val="2"/>
          <w:numId w:val="4"/>
        </w:numPr>
        <w:overflowPunct/>
        <w:autoSpaceDE/>
        <w:autoSpaceDN/>
        <w:adjustRightInd/>
        <w:spacing w:after="120"/>
        <w:ind w:firstLineChars="0"/>
        <w:textAlignment w:val="auto"/>
        <w:rPr>
          <w:highlight w:val="green"/>
          <w:lang w:eastAsia="zh-CN"/>
        </w:rPr>
      </w:pPr>
      <w:r w:rsidRPr="00DD08BA">
        <w:rPr>
          <w:rFonts w:eastAsiaTheme="minorEastAsia" w:hint="eastAsia"/>
          <w:bCs/>
          <w:strike/>
          <w:highlight w:val="green"/>
          <w:lang w:eastAsia="zh-CN"/>
        </w:rPr>
        <w:t>F</w:t>
      </w:r>
      <w:r w:rsidRPr="00DD08BA">
        <w:rPr>
          <w:rFonts w:eastAsiaTheme="minorEastAsia"/>
          <w:bCs/>
          <w:strike/>
          <w:highlight w:val="green"/>
          <w:lang w:eastAsia="zh-CN"/>
        </w:rPr>
        <w:t>FS whether to</w:t>
      </w:r>
      <w:r w:rsidRPr="00DD08BA">
        <w:rPr>
          <w:rFonts w:eastAsiaTheme="minorEastAsia"/>
          <w:bCs/>
          <w:highlight w:val="green"/>
          <w:lang w:eastAsia="zh-CN"/>
        </w:rPr>
        <w:t xml:space="preserve"> </w:t>
      </w:r>
      <w:proofErr w:type="spellStart"/>
      <w:proofErr w:type="gramStart"/>
      <w:r w:rsidR="00864D8B" w:rsidRPr="00DD08BA">
        <w:rPr>
          <w:rFonts w:eastAsiaTheme="minorEastAsia"/>
          <w:bCs/>
          <w:highlight w:val="green"/>
          <w:lang w:eastAsia="zh-CN"/>
        </w:rPr>
        <w:t>To</w:t>
      </w:r>
      <w:proofErr w:type="spellEnd"/>
      <w:proofErr w:type="gramEnd"/>
      <w:r w:rsidR="00864D8B" w:rsidRPr="00DD08BA">
        <w:rPr>
          <w:rFonts w:eastAsiaTheme="minorEastAsia"/>
          <w:bCs/>
          <w:highlight w:val="green"/>
          <w:lang w:eastAsia="zh-CN"/>
        </w:rPr>
        <w:t xml:space="preserve"> </w:t>
      </w:r>
      <w:r w:rsidRPr="00DD08BA">
        <w:rPr>
          <w:rFonts w:eastAsiaTheme="minorEastAsia"/>
          <w:bCs/>
          <w:highlight w:val="green"/>
          <w:lang w:eastAsia="zh-CN"/>
        </w:rPr>
        <w:t xml:space="preserve">rename the capabilities as </w:t>
      </w:r>
      <w:r w:rsidR="00E2661D" w:rsidRPr="00DD08BA">
        <w:rPr>
          <w:rFonts w:eastAsiaTheme="minorEastAsia"/>
          <w:bCs/>
          <w:highlight w:val="green"/>
          <w:lang w:eastAsia="zh-CN"/>
        </w:rPr>
        <w:t>[</w:t>
      </w:r>
      <w:r w:rsidRPr="00DD08BA">
        <w:rPr>
          <w:rFonts w:eastAsiaTheme="minorEastAsia"/>
          <w:bCs/>
          <w:highlight w:val="green"/>
          <w:lang w:eastAsia="zh-CN"/>
        </w:rPr>
        <w:t>uplink dependent MPR</w:t>
      </w:r>
      <w:r w:rsidR="00E2661D" w:rsidRPr="00DD08BA">
        <w:rPr>
          <w:rFonts w:eastAsiaTheme="minorEastAsia"/>
          <w:bCs/>
          <w:highlight w:val="green"/>
          <w:lang w:eastAsia="zh-CN"/>
        </w:rPr>
        <w:t>]</w:t>
      </w:r>
      <w:r w:rsidRPr="00DD08BA">
        <w:rPr>
          <w:rFonts w:eastAsiaTheme="minorEastAsia"/>
          <w:bCs/>
          <w:highlight w:val="green"/>
          <w:lang w:eastAsia="zh-CN"/>
        </w:rPr>
        <w:t xml:space="preserve"> and </w:t>
      </w:r>
      <w:r w:rsidR="00E2661D" w:rsidRPr="00DD08BA">
        <w:rPr>
          <w:rFonts w:eastAsiaTheme="minorEastAsia"/>
          <w:bCs/>
          <w:highlight w:val="green"/>
          <w:lang w:eastAsia="zh-CN"/>
        </w:rPr>
        <w:t>[</w:t>
      </w:r>
      <w:r w:rsidRPr="00DD08BA">
        <w:rPr>
          <w:rFonts w:eastAsiaTheme="minorEastAsia"/>
          <w:bCs/>
          <w:highlight w:val="green"/>
          <w:lang w:eastAsia="zh-CN"/>
        </w:rPr>
        <w:t>activation dependent MPR</w:t>
      </w:r>
      <w:r w:rsidR="00E2661D" w:rsidRPr="00DD08BA">
        <w:rPr>
          <w:rFonts w:eastAsiaTheme="minorEastAsia"/>
          <w:bCs/>
          <w:highlight w:val="green"/>
          <w:lang w:eastAsia="zh-CN"/>
        </w:rPr>
        <w:t>]</w:t>
      </w:r>
    </w:p>
    <w:p w14:paraId="5F87E9D2" w14:textId="0E599F8F" w:rsidR="004712FE" w:rsidRPr="00DD08BA" w:rsidRDefault="004712FE" w:rsidP="004712FE">
      <w:pPr>
        <w:pStyle w:val="aff7"/>
        <w:numPr>
          <w:ilvl w:val="3"/>
          <w:numId w:val="4"/>
        </w:numPr>
        <w:overflowPunct/>
        <w:autoSpaceDE/>
        <w:autoSpaceDN/>
        <w:adjustRightInd/>
        <w:spacing w:after="120"/>
        <w:ind w:firstLineChars="0"/>
        <w:textAlignment w:val="auto"/>
        <w:rPr>
          <w:highlight w:val="green"/>
          <w:lang w:eastAsia="zh-CN"/>
        </w:rPr>
      </w:pPr>
      <w:r w:rsidRPr="00DD08BA">
        <w:rPr>
          <w:rFonts w:eastAsia="宋体"/>
          <w:szCs w:val="24"/>
          <w:highlight w:val="green"/>
          <w:lang w:eastAsia="zh-CN"/>
        </w:rPr>
        <w:t>T</w:t>
      </w:r>
      <w:r w:rsidRPr="00DD08BA">
        <w:rPr>
          <w:rFonts w:eastAsia="宋体"/>
          <w:szCs w:val="24"/>
          <w:highlight w:val="green"/>
          <w:lang w:eastAsia="zh-CN"/>
        </w:rPr>
        <w:t>he</w:t>
      </w:r>
      <w:r w:rsidRPr="00DD08BA">
        <w:rPr>
          <w:rFonts w:eastAsia="宋体"/>
          <w:szCs w:val="24"/>
          <w:highlight w:val="green"/>
          <w:lang w:eastAsia="zh-CN"/>
        </w:rPr>
        <w:t xml:space="preserve"> </w:t>
      </w:r>
      <w:r w:rsidR="00A07B51" w:rsidRPr="00DD08BA">
        <w:rPr>
          <w:rFonts w:eastAsia="宋体"/>
          <w:szCs w:val="24"/>
          <w:highlight w:val="green"/>
          <w:lang w:eastAsia="zh-CN"/>
        </w:rPr>
        <w:t xml:space="preserve">two </w:t>
      </w:r>
      <w:r w:rsidRPr="00DD08BA">
        <w:rPr>
          <w:rFonts w:eastAsia="宋体"/>
          <w:szCs w:val="24"/>
          <w:highlight w:val="green"/>
          <w:lang w:eastAsia="zh-CN"/>
        </w:rPr>
        <w:t>capabilities</w:t>
      </w:r>
      <w:r w:rsidRPr="00DD08BA">
        <w:rPr>
          <w:rFonts w:eastAsia="宋体"/>
          <w:szCs w:val="24"/>
          <w:highlight w:val="green"/>
          <w:lang w:eastAsia="zh-CN"/>
        </w:rPr>
        <w:t xml:space="preserve"> </w:t>
      </w:r>
      <w:r w:rsidRPr="00DD08BA">
        <w:rPr>
          <w:rFonts w:eastAsia="宋体"/>
          <w:szCs w:val="24"/>
          <w:highlight w:val="green"/>
          <w:lang w:eastAsia="zh-CN"/>
        </w:rPr>
        <w:t>do not need to be mutually exclusive</w:t>
      </w:r>
    </w:p>
    <w:p w14:paraId="2FCE3790" w14:textId="7A2DAF64" w:rsidR="001F5B59" w:rsidRPr="004712FE" w:rsidRDefault="001F5B59" w:rsidP="00A71498">
      <w:pPr>
        <w:pStyle w:val="aff7"/>
        <w:numPr>
          <w:ilvl w:val="2"/>
          <w:numId w:val="4"/>
        </w:numPr>
        <w:overflowPunct/>
        <w:autoSpaceDE/>
        <w:autoSpaceDN/>
        <w:adjustRightInd/>
        <w:spacing w:after="120"/>
        <w:ind w:firstLineChars="0"/>
        <w:textAlignment w:val="auto"/>
        <w:rPr>
          <w:strike/>
          <w:lang w:eastAsia="zh-CN"/>
        </w:rPr>
      </w:pPr>
      <w:r w:rsidRPr="004712FE">
        <w:rPr>
          <w:strike/>
          <w:lang w:eastAsia="zh-CN"/>
        </w:rPr>
        <w:t>FFS whether distinct UE capabilities to be defined considering cases where activated CABW is applied in addition to cases where configured UL BW</w:t>
      </w:r>
      <w:r w:rsidRPr="004712FE">
        <w:rPr>
          <w:strike/>
          <w:vertAlign w:val="subscript"/>
          <w:lang w:eastAsia="zh-CN"/>
        </w:rPr>
        <w:t>channel_CA</w:t>
      </w:r>
      <w:r w:rsidRPr="004712FE">
        <w:rPr>
          <w:strike/>
          <w:lang w:eastAsia="zh-CN"/>
        </w:rPr>
        <w:t xml:space="preserve"> or activated UL CCs bandwidth are used</w:t>
      </w:r>
    </w:p>
    <w:p w14:paraId="240B9320" w14:textId="48C772EC" w:rsidR="001F5B59" w:rsidRPr="00DD08BA" w:rsidRDefault="001F5B59" w:rsidP="00A71498">
      <w:pPr>
        <w:pStyle w:val="aff7"/>
        <w:numPr>
          <w:ilvl w:val="1"/>
          <w:numId w:val="4"/>
        </w:numPr>
        <w:overflowPunct/>
        <w:autoSpaceDE/>
        <w:autoSpaceDN/>
        <w:adjustRightInd/>
        <w:spacing w:after="120"/>
        <w:ind w:left="1440" w:firstLineChars="0"/>
        <w:textAlignment w:val="auto"/>
        <w:rPr>
          <w:strike/>
          <w:lang w:eastAsia="zh-CN"/>
        </w:rPr>
      </w:pPr>
      <w:r w:rsidRPr="00DD08BA">
        <w:rPr>
          <w:rFonts w:eastAsiaTheme="minorEastAsia"/>
          <w:strike/>
          <w:lang w:eastAsia="zh-CN"/>
        </w:rPr>
        <w:t>To further discuss whether LS could be sent to RAN2 on the capabilities to be introduced for the FR2 MPR enhancement</w:t>
      </w:r>
    </w:p>
    <w:p w14:paraId="2690A7CB" w14:textId="77777777" w:rsidR="00A713A5" w:rsidRPr="006B3CCB" w:rsidRDefault="00A713A5" w:rsidP="00A713A5">
      <w:pPr>
        <w:spacing w:after="120"/>
        <w:rPr>
          <w:rFonts w:hint="eastAsia"/>
          <w:lang w:eastAsia="zh-CN"/>
        </w:rPr>
      </w:pPr>
    </w:p>
    <w:p w14:paraId="30319168" w14:textId="497626DB" w:rsidR="00C63DEF" w:rsidRDefault="004D3035" w:rsidP="00C63DEF">
      <w:pPr>
        <w:spacing w:after="120"/>
        <w:rPr>
          <w:iCs/>
          <w:lang w:val="en-US" w:eastAsia="zh-CN"/>
        </w:rPr>
      </w:pPr>
      <w:r>
        <w:rPr>
          <w:rFonts w:hint="eastAsia"/>
          <w:iCs/>
          <w:lang w:val="en-US" w:eastAsia="zh-CN"/>
        </w:rPr>
        <w:t>N</w:t>
      </w:r>
      <w:r>
        <w:rPr>
          <w:iCs/>
          <w:lang w:val="en-US" w:eastAsia="zh-CN"/>
        </w:rPr>
        <w:t>TT DOCOMO: agree with Recommend WF. We agree with proposal2.</w:t>
      </w:r>
    </w:p>
    <w:p w14:paraId="54BD7833" w14:textId="636EA014" w:rsidR="004D3035" w:rsidRDefault="004D3035" w:rsidP="00C63DEF">
      <w:pPr>
        <w:spacing w:after="120"/>
        <w:rPr>
          <w:iCs/>
          <w:lang w:val="en-US" w:eastAsia="zh-CN"/>
        </w:rPr>
      </w:pPr>
      <w:r>
        <w:rPr>
          <w:rFonts w:hint="eastAsia"/>
          <w:iCs/>
          <w:lang w:val="en-US" w:eastAsia="zh-CN"/>
        </w:rPr>
        <w:t>S</w:t>
      </w:r>
      <w:r>
        <w:rPr>
          <w:iCs/>
          <w:lang w:val="en-US" w:eastAsia="zh-CN"/>
        </w:rPr>
        <w:t>amsung: The main bullet is agreeable. For the first bullet, we should rename.</w:t>
      </w:r>
    </w:p>
    <w:p w14:paraId="7AC13A0A" w14:textId="16D1EB2C" w:rsidR="002B26B4" w:rsidRDefault="00611A47" w:rsidP="00C63DEF">
      <w:pPr>
        <w:spacing w:after="120"/>
        <w:rPr>
          <w:iCs/>
          <w:lang w:val="en-US" w:eastAsia="zh-CN"/>
        </w:rPr>
      </w:pPr>
      <w:r>
        <w:rPr>
          <w:rFonts w:hint="eastAsia"/>
          <w:iCs/>
          <w:lang w:val="en-US" w:eastAsia="zh-CN"/>
        </w:rPr>
        <w:t>Q</w:t>
      </w:r>
      <w:r>
        <w:rPr>
          <w:iCs/>
          <w:lang w:val="en-US" w:eastAsia="zh-CN"/>
        </w:rPr>
        <w:t xml:space="preserve">ualcomm: General support to make something </w:t>
      </w:r>
      <w:proofErr w:type="gramStart"/>
      <w:r>
        <w:rPr>
          <w:iCs/>
          <w:lang w:val="en-US" w:eastAsia="zh-CN"/>
        </w:rPr>
        <w:t>more clear</w:t>
      </w:r>
      <w:proofErr w:type="gramEnd"/>
      <w:r>
        <w:rPr>
          <w:iCs/>
          <w:lang w:val="en-US" w:eastAsia="zh-CN"/>
        </w:rPr>
        <w:t xml:space="preserve">. </w:t>
      </w:r>
      <w:r w:rsidR="00DD4782">
        <w:rPr>
          <w:iCs/>
          <w:lang w:val="en-US" w:eastAsia="zh-CN"/>
        </w:rPr>
        <w:t>We do not need the second sub-bullet.</w:t>
      </w:r>
    </w:p>
    <w:p w14:paraId="0E37BBC6" w14:textId="01DD3314" w:rsidR="00673E16" w:rsidRPr="006B3CCB" w:rsidRDefault="00673E16" w:rsidP="00C63DEF">
      <w:pPr>
        <w:spacing w:after="120"/>
        <w:rPr>
          <w:rFonts w:hint="eastAsia"/>
          <w:iCs/>
          <w:lang w:val="en-US" w:eastAsia="zh-CN"/>
        </w:rPr>
      </w:pPr>
      <w:r>
        <w:rPr>
          <w:rFonts w:hint="eastAsia"/>
          <w:iCs/>
          <w:lang w:val="en-US" w:eastAsia="zh-CN"/>
        </w:rPr>
        <w:t>A</w:t>
      </w:r>
      <w:r>
        <w:rPr>
          <w:iCs/>
          <w:lang w:val="en-US" w:eastAsia="zh-CN"/>
        </w:rPr>
        <w:t>pple: the activation case, configuration cases should be taken into account.</w:t>
      </w:r>
    </w:p>
    <w:p w14:paraId="5AB6463C" w14:textId="0B100BE2" w:rsidR="00D67169" w:rsidRPr="006B3CCB" w:rsidRDefault="00D67169" w:rsidP="00D67169">
      <w:pPr>
        <w:spacing w:after="120"/>
        <w:rPr>
          <w:iCs/>
          <w:lang w:val="en-US" w:eastAsia="zh-CN"/>
        </w:rPr>
      </w:pPr>
    </w:p>
    <w:p w14:paraId="2629E537" w14:textId="1A16A843" w:rsidR="00D67169" w:rsidRPr="006B3CCB" w:rsidRDefault="00D67169" w:rsidP="00D67169">
      <w:pPr>
        <w:pStyle w:val="4"/>
        <w:spacing w:before="0" w:after="60"/>
        <w:rPr>
          <w:rFonts w:ascii="Times New Roman" w:hAnsi="Times New Roman"/>
          <w:b/>
          <w:sz w:val="20"/>
          <w:u w:val="single"/>
          <w:lang w:val="en-US" w:eastAsia="ko-KR"/>
        </w:rPr>
      </w:pPr>
      <w:r w:rsidRPr="006B3CCB">
        <w:rPr>
          <w:rFonts w:ascii="Times New Roman" w:hAnsi="Times New Roman"/>
          <w:b/>
          <w:sz w:val="20"/>
          <w:u w:val="single"/>
          <w:lang w:val="en-US" w:eastAsia="ko-KR"/>
        </w:rPr>
        <w:t xml:space="preserve">Issue </w:t>
      </w:r>
      <w:r w:rsidR="006F2A7E" w:rsidRPr="006B3CCB">
        <w:rPr>
          <w:rFonts w:ascii="Times New Roman" w:hAnsi="Times New Roman"/>
          <w:b/>
          <w:sz w:val="20"/>
          <w:u w:val="single"/>
          <w:lang w:val="en-US" w:eastAsia="ko-KR"/>
        </w:rPr>
        <w:t>2</w:t>
      </w:r>
      <w:r w:rsidRPr="006B3CCB">
        <w:rPr>
          <w:rFonts w:ascii="Times New Roman" w:hAnsi="Times New Roman"/>
          <w:b/>
          <w:sz w:val="20"/>
          <w:u w:val="single"/>
          <w:lang w:val="en-US" w:eastAsia="ko-KR"/>
        </w:rPr>
        <w:t>-</w:t>
      </w:r>
      <w:r w:rsidR="00D54C3F" w:rsidRPr="006B3CCB">
        <w:rPr>
          <w:rFonts w:ascii="Times New Roman" w:hAnsi="Times New Roman"/>
          <w:b/>
          <w:sz w:val="20"/>
          <w:u w:val="single"/>
          <w:lang w:val="en-US" w:eastAsia="ko-KR"/>
        </w:rPr>
        <w:t>1</w:t>
      </w:r>
      <w:r w:rsidRPr="006B3CCB">
        <w:rPr>
          <w:rFonts w:ascii="Times New Roman" w:hAnsi="Times New Roman"/>
          <w:b/>
          <w:sz w:val="20"/>
          <w:u w:val="single"/>
          <w:lang w:val="en-US" w:eastAsia="ko-KR"/>
        </w:rPr>
        <w:t>-</w:t>
      </w:r>
      <w:r w:rsidR="00D54C3F" w:rsidRPr="006B3CCB">
        <w:rPr>
          <w:rFonts w:ascii="Times New Roman" w:hAnsi="Times New Roman"/>
          <w:b/>
          <w:sz w:val="20"/>
          <w:u w:val="single"/>
          <w:lang w:val="en-US" w:eastAsia="ko-KR"/>
        </w:rPr>
        <w:t>2</w:t>
      </w:r>
      <w:r w:rsidRPr="006B3CCB">
        <w:rPr>
          <w:rFonts w:ascii="Times New Roman" w:hAnsi="Times New Roman"/>
          <w:b/>
          <w:sz w:val="20"/>
          <w:u w:val="single"/>
          <w:lang w:val="en-US" w:eastAsia="ko-KR"/>
        </w:rPr>
        <w:t xml:space="preserve">:  </w:t>
      </w:r>
      <w:r w:rsidR="00281812" w:rsidRPr="006B3CCB">
        <w:rPr>
          <w:rFonts w:ascii="Times New Roman" w:hAnsi="Times New Roman" w:hint="eastAsia"/>
          <w:b/>
          <w:sz w:val="20"/>
          <w:u w:val="single"/>
          <w:lang w:val="en-US"/>
        </w:rPr>
        <w:t>Applicable</w:t>
      </w:r>
      <w:r w:rsidR="00281812" w:rsidRPr="006B3CCB">
        <w:rPr>
          <w:rFonts w:ascii="Times New Roman" w:hAnsi="Times New Roman"/>
          <w:b/>
          <w:sz w:val="20"/>
          <w:u w:val="single"/>
          <w:lang w:val="en-US" w:eastAsia="ko-KR"/>
        </w:rPr>
        <w:t xml:space="preserve"> emission requirements for CC </w:t>
      </w:r>
      <w:proofErr w:type="gramStart"/>
      <w:r w:rsidR="00281812" w:rsidRPr="006B3CCB">
        <w:rPr>
          <w:rFonts w:ascii="Times New Roman" w:hAnsi="Times New Roman"/>
          <w:b/>
          <w:sz w:val="20"/>
          <w:u w:val="single"/>
          <w:lang w:val="en-US" w:eastAsia="ko-KR"/>
        </w:rPr>
        <w:t>activation based</w:t>
      </w:r>
      <w:proofErr w:type="gramEnd"/>
      <w:r w:rsidR="00281812" w:rsidRPr="006B3CCB">
        <w:rPr>
          <w:rFonts w:ascii="Times New Roman" w:hAnsi="Times New Roman"/>
          <w:b/>
          <w:sz w:val="20"/>
          <w:u w:val="single"/>
          <w:lang w:val="en-US" w:eastAsia="ko-KR"/>
        </w:rPr>
        <w:t xml:space="preserve"> enhancement</w:t>
      </w:r>
      <w:r w:rsidRPr="006B3CCB">
        <w:rPr>
          <w:rFonts w:ascii="Times New Roman" w:hAnsi="Times New Roman"/>
          <w:b/>
          <w:sz w:val="20"/>
          <w:u w:val="single"/>
          <w:lang w:val="en-US" w:eastAsia="ko-KR"/>
        </w:rPr>
        <w:t xml:space="preserve">  </w:t>
      </w:r>
    </w:p>
    <w:p w14:paraId="304B2A06" w14:textId="77777777" w:rsidR="00D67169" w:rsidRPr="006B3CCB" w:rsidRDefault="00D67169" w:rsidP="00A71498">
      <w:pPr>
        <w:pStyle w:val="aff7"/>
        <w:numPr>
          <w:ilvl w:val="0"/>
          <w:numId w:val="4"/>
        </w:numPr>
        <w:overflowPunct/>
        <w:autoSpaceDE/>
        <w:autoSpaceDN/>
        <w:adjustRightInd/>
        <w:spacing w:after="120"/>
        <w:ind w:left="720" w:firstLineChars="0"/>
        <w:textAlignment w:val="auto"/>
        <w:rPr>
          <w:szCs w:val="24"/>
          <w:lang w:eastAsia="zh-CN"/>
        </w:rPr>
      </w:pPr>
      <w:r w:rsidRPr="006B3CCB">
        <w:rPr>
          <w:rFonts w:eastAsia="宋体"/>
          <w:szCs w:val="24"/>
          <w:lang w:eastAsia="zh-CN"/>
        </w:rPr>
        <w:t xml:space="preserve">Proposals </w:t>
      </w:r>
    </w:p>
    <w:p w14:paraId="4E98071D" w14:textId="2907CBAD" w:rsidR="00D67169" w:rsidRPr="006B3CCB" w:rsidRDefault="00D67169" w:rsidP="00A71498">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 xml:space="preserve">Proposal 1: </w:t>
      </w:r>
      <w:r w:rsidR="00281812" w:rsidRPr="006B3CCB">
        <w:rPr>
          <w:rFonts w:eastAsia="宋体"/>
          <w:szCs w:val="24"/>
          <w:lang w:eastAsia="zh-CN"/>
        </w:rPr>
        <w:t>For the agreed Rel-19 ‘activation based’ enhancements, the emissions requirements are unchanged from legacy CA, whether the feature is supported or not</w:t>
      </w:r>
      <w:r w:rsidRPr="006B3CCB">
        <w:rPr>
          <w:rFonts w:eastAsia="宋体"/>
          <w:szCs w:val="24"/>
          <w:lang w:eastAsia="zh-CN"/>
        </w:rPr>
        <w:t>. (</w:t>
      </w:r>
      <w:r w:rsidR="00ED23F5" w:rsidRPr="006B3CCB">
        <w:rPr>
          <w:rFonts w:eastAsia="宋体"/>
          <w:szCs w:val="24"/>
          <w:lang w:eastAsia="zh-CN"/>
        </w:rPr>
        <w:t>Qualcomm</w:t>
      </w:r>
      <w:r w:rsidRPr="006B3CCB">
        <w:rPr>
          <w:rFonts w:eastAsia="宋体"/>
          <w:szCs w:val="24"/>
          <w:lang w:eastAsia="zh-CN"/>
        </w:rPr>
        <w:t>)</w:t>
      </w:r>
    </w:p>
    <w:p w14:paraId="0BCE2019" w14:textId="79C0D132" w:rsidR="00A32E4C" w:rsidRPr="006B3CCB" w:rsidRDefault="00A32E4C" w:rsidP="00A71498">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 xml:space="preserve">Proposal 2: </w:t>
      </w:r>
      <w:r w:rsidR="00281812" w:rsidRPr="006B3CCB">
        <w:rPr>
          <w:rFonts w:eastAsia="宋体"/>
          <w:szCs w:val="24"/>
          <w:lang w:eastAsia="zh-CN"/>
        </w:rPr>
        <w:t>No change is needed to existing emission requirements for enhanced MPR feature</w:t>
      </w:r>
      <w:r w:rsidRPr="006B3CCB">
        <w:rPr>
          <w:rFonts w:eastAsia="宋体"/>
          <w:szCs w:val="24"/>
          <w:lang w:eastAsia="zh-CN"/>
        </w:rPr>
        <w:t xml:space="preserve"> (Samsung)</w:t>
      </w:r>
    </w:p>
    <w:p w14:paraId="01D72469" w14:textId="16A35DB9" w:rsidR="00510F5C" w:rsidRPr="006B3CCB" w:rsidRDefault="00510F5C" w:rsidP="00A71498">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 xml:space="preserve">Proposal 3: </w:t>
      </w:r>
      <w:r w:rsidR="00572BCC" w:rsidRPr="006B3CCB">
        <w:rPr>
          <w:rFonts w:eastAsia="宋体"/>
          <w:szCs w:val="24"/>
          <w:lang w:eastAsia="zh-CN"/>
        </w:rPr>
        <w:t>For Rel-19 FR2 intra-band contiguous UL CA MPR improvement (both configuration based and activation based), the OOB requirements are still based on UL aggregated channel bandwidth as defined in TS 38.101-2</w:t>
      </w:r>
      <w:r w:rsidRPr="006B3CCB">
        <w:rPr>
          <w:rFonts w:eastAsia="宋体"/>
          <w:szCs w:val="24"/>
          <w:lang w:eastAsia="zh-CN"/>
        </w:rPr>
        <w:t>. (</w:t>
      </w:r>
      <w:r w:rsidR="00572BCC" w:rsidRPr="006B3CCB">
        <w:rPr>
          <w:rFonts w:eastAsia="宋体"/>
          <w:szCs w:val="24"/>
          <w:lang w:eastAsia="zh-CN"/>
        </w:rPr>
        <w:t>Huawei</w:t>
      </w:r>
      <w:r w:rsidRPr="006B3CCB">
        <w:rPr>
          <w:rFonts w:eastAsia="宋体"/>
          <w:szCs w:val="24"/>
          <w:lang w:eastAsia="zh-CN"/>
        </w:rPr>
        <w:t>)</w:t>
      </w:r>
    </w:p>
    <w:p w14:paraId="71172CDE" w14:textId="0AD152F7" w:rsidR="00D67169" w:rsidRPr="00EA3B70" w:rsidRDefault="00D67169" w:rsidP="00A71498">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EA3B70">
        <w:rPr>
          <w:rFonts w:eastAsia="宋体"/>
          <w:szCs w:val="24"/>
          <w:highlight w:val="green"/>
          <w:lang w:eastAsia="zh-CN"/>
        </w:rPr>
        <w:t>WF</w:t>
      </w:r>
    </w:p>
    <w:p w14:paraId="21214546" w14:textId="69D8D279" w:rsidR="00D67169" w:rsidRPr="00EA3B70" w:rsidRDefault="00572BCC" w:rsidP="00A71498">
      <w:pPr>
        <w:pStyle w:val="aff7"/>
        <w:numPr>
          <w:ilvl w:val="1"/>
          <w:numId w:val="4"/>
        </w:numPr>
        <w:overflowPunct/>
        <w:autoSpaceDE/>
        <w:autoSpaceDN/>
        <w:adjustRightInd/>
        <w:spacing w:after="120"/>
        <w:ind w:left="1440" w:firstLineChars="0"/>
        <w:textAlignment w:val="auto"/>
        <w:rPr>
          <w:highlight w:val="green"/>
          <w:lang w:eastAsia="zh-CN"/>
        </w:rPr>
      </w:pPr>
      <w:r w:rsidRPr="00EA3B70">
        <w:rPr>
          <w:rFonts w:eastAsiaTheme="minorEastAsia"/>
          <w:highlight w:val="green"/>
          <w:lang w:eastAsia="zh-CN"/>
        </w:rPr>
        <w:t>No change is needed to existing emission requirements for enhanced MPR feature</w:t>
      </w:r>
    </w:p>
    <w:p w14:paraId="10709F1D" w14:textId="06A5395F" w:rsidR="00DA5916" w:rsidRPr="006B3CCB" w:rsidRDefault="00DA5916" w:rsidP="00DA5916">
      <w:pPr>
        <w:spacing w:after="120"/>
        <w:rPr>
          <w:rFonts w:eastAsiaTheme="minorEastAsia" w:hint="eastAsia"/>
          <w:lang w:eastAsia="zh-CN"/>
        </w:rPr>
      </w:pPr>
    </w:p>
    <w:p w14:paraId="2BE2D0D6" w14:textId="13D34525" w:rsidR="00281812" w:rsidRPr="006B3CCB" w:rsidRDefault="00281812" w:rsidP="00281812">
      <w:pPr>
        <w:pStyle w:val="4"/>
        <w:spacing w:before="0" w:after="60"/>
        <w:rPr>
          <w:rFonts w:ascii="Times New Roman" w:hAnsi="Times New Roman"/>
          <w:b/>
          <w:sz w:val="20"/>
          <w:u w:val="single"/>
          <w:lang w:val="en-US" w:eastAsia="ko-KR"/>
        </w:rPr>
      </w:pPr>
      <w:r w:rsidRPr="006B3CCB">
        <w:rPr>
          <w:rFonts w:ascii="Times New Roman" w:hAnsi="Times New Roman"/>
          <w:b/>
          <w:sz w:val="20"/>
          <w:u w:val="single"/>
          <w:lang w:val="en-US" w:eastAsia="ko-KR"/>
        </w:rPr>
        <w:t xml:space="preserve">Issue </w:t>
      </w:r>
      <w:r w:rsidR="006F2A7E" w:rsidRPr="006B3CCB">
        <w:rPr>
          <w:rFonts w:ascii="Times New Roman" w:hAnsi="Times New Roman"/>
          <w:b/>
          <w:sz w:val="20"/>
          <w:u w:val="single"/>
          <w:lang w:val="en-US" w:eastAsia="ko-KR"/>
        </w:rPr>
        <w:t>2-</w:t>
      </w:r>
      <w:r w:rsidRPr="006B3CCB">
        <w:rPr>
          <w:rFonts w:ascii="Times New Roman" w:hAnsi="Times New Roman"/>
          <w:b/>
          <w:sz w:val="20"/>
          <w:u w:val="single"/>
          <w:lang w:val="en-US" w:eastAsia="ko-KR"/>
        </w:rPr>
        <w:t xml:space="preserve">1-3:  </w:t>
      </w:r>
      <w:r w:rsidRPr="006B3CCB">
        <w:rPr>
          <w:rFonts w:ascii="Times New Roman" w:hAnsi="Times New Roman"/>
          <w:b/>
          <w:sz w:val="20"/>
          <w:u w:val="single"/>
          <w:lang w:val="en-US"/>
        </w:rPr>
        <w:t>Bandwidth basis applicability</w:t>
      </w:r>
      <w:r w:rsidRPr="006B3CCB">
        <w:rPr>
          <w:rFonts w:ascii="Times New Roman" w:hAnsi="Times New Roman"/>
          <w:b/>
          <w:sz w:val="20"/>
          <w:u w:val="single"/>
          <w:lang w:val="en-US" w:eastAsia="ko-KR"/>
        </w:rPr>
        <w:t xml:space="preserve">  </w:t>
      </w:r>
    </w:p>
    <w:p w14:paraId="37725BD0" w14:textId="77777777" w:rsidR="00281812" w:rsidRPr="006B3CCB" w:rsidRDefault="00281812" w:rsidP="00A71498">
      <w:pPr>
        <w:pStyle w:val="aff7"/>
        <w:numPr>
          <w:ilvl w:val="0"/>
          <w:numId w:val="4"/>
        </w:numPr>
        <w:overflowPunct/>
        <w:autoSpaceDE/>
        <w:autoSpaceDN/>
        <w:adjustRightInd/>
        <w:spacing w:after="120"/>
        <w:ind w:left="720" w:firstLineChars="0"/>
        <w:textAlignment w:val="auto"/>
        <w:rPr>
          <w:szCs w:val="24"/>
          <w:lang w:eastAsia="zh-CN"/>
        </w:rPr>
      </w:pPr>
      <w:r w:rsidRPr="006B3CCB">
        <w:rPr>
          <w:rFonts w:eastAsia="宋体"/>
          <w:szCs w:val="24"/>
          <w:lang w:eastAsia="zh-CN"/>
        </w:rPr>
        <w:t xml:space="preserve">Proposals </w:t>
      </w:r>
    </w:p>
    <w:p w14:paraId="39390BA3" w14:textId="40804491" w:rsidR="00281812" w:rsidRPr="006B3CCB" w:rsidRDefault="00281812" w:rsidP="00A71498">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Proposal 1:</w:t>
      </w:r>
      <w:r w:rsidR="003606D6" w:rsidRPr="006B3CCB">
        <w:rPr>
          <w:rFonts w:eastAsia="宋体"/>
          <w:szCs w:val="24"/>
          <w:lang w:eastAsia="zh-CN"/>
        </w:rPr>
        <w:t xml:space="preserve"> </w:t>
      </w:r>
      <w:r w:rsidRPr="006B3CCB">
        <w:rPr>
          <w:rFonts w:eastAsia="宋体"/>
          <w:szCs w:val="24"/>
          <w:lang w:eastAsia="zh-CN"/>
        </w:rPr>
        <w:t>(</w:t>
      </w:r>
      <w:r w:rsidR="003606D6" w:rsidRPr="006B3CCB">
        <w:rPr>
          <w:rFonts w:eastAsia="宋体"/>
          <w:szCs w:val="24"/>
          <w:lang w:eastAsia="zh-CN"/>
        </w:rPr>
        <w:t>Samsung</w:t>
      </w:r>
      <w:r w:rsidRPr="006B3CCB">
        <w:rPr>
          <w:rFonts w:eastAsia="宋体"/>
          <w:szCs w:val="24"/>
          <w:lang w:eastAsia="zh-CN"/>
        </w:rPr>
        <w:t>)</w:t>
      </w:r>
      <w:r w:rsidR="006F2A7E" w:rsidRPr="006B3CCB">
        <w:rPr>
          <w:rFonts w:eastAsia="宋体"/>
          <w:szCs w:val="24"/>
          <w:lang w:eastAsia="zh-CN"/>
        </w:rPr>
        <w:t>-</w:t>
      </w:r>
    </w:p>
    <w:p w14:paraId="19CA07B3" w14:textId="52B98132" w:rsidR="003606D6" w:rsidRPr="006B3CCB" w:rsidRDefault="003606D6" w:rsidP="00A71498">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6B3CCB">
        <w:t>Correct the applicable MPR when bandwidth basis=400 MHz or 800MHz</w:t>
      </w:r>
    </w:p>
    <w:p w14:paraId="319E3681" w14:textId="3895C58A" w:rsidR="003606D6" w:rsidRPr="006B3CCB" w:rsidRDefault="003606D6" w:rsidP="00A71498">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6B3CCB">
        <w:rPr>
          <w:rFonts w:eastAsia="宋体"/>
          <w:szCs w:val="24"/>
          <w:lang w:eastAsia="zh-CN"/>
        </w:rPr>
        <w:t>800MHz upper limit of uplink aggregated bandwidth can be addressed in Table 5.5A.1-1 of TS 38.101-2</w:t>
      </w:r>
    </w:p>
    <w:p w14:paraId="5C803438" w14:textId="3234F72B" w:rsidR="00281812" w:rsidRPr="006B3CCB" w:rsidRDefault="00281812" w:rsidP="00A71498">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6B3CCB">
        <w:rPr>
          <w:rFonts w:eastAsia="宋体"/>
          <w:szCs w:val="24"/>
          <w:lang w:eastAsia="zh-CN"/>
        </w:rPr>
        <w:t xml:space="preserve">Proposal 2: </w:t>
      </w:r>
      <w:r w:rsidR="003606D6" w:rsidRPr="006B3CCB">
        <w:rPr>
          <w:rFonts w:eastAsia="Yu Mincho"/>
        </w:rPr>
        <w:t>Since the PC3 CA MPR Table was intentionally changed to ≤400 MHz based on technical rationale, the boundary should not be altered</w:t>
      </w:r>
      <w:r w:rsidR="003606D6" w:rsidRPr="006B3CCB">
        <w:rPr>
          <w:rFonts w:eastAsia="Yu Mincho"/>
          <w:b/>
          <w:bCs/>
        </w:rPr>
        <w:t>.</w:t>
      </w:r>
      <w:r w:rsidRPr="006B3CCB">
        <w:rPr>
          <w:rFonts w:eastAsia="宋体"/>
          <w:szCs w:val="24"/>
          <w:lang w:eastAsia="zh-CN"/>
        </w:rPr>
        <w:t xml:space="preserve"> (</w:t>
      </w:r>
      <w:r w:rsidR="003606D6" w:rsidRPr="006B3CCB">
        <w:rPr>
          <w:rFonts w:eastAsia="宋体"/>
          <w:szCs w:val="24"/>
          <w:lang w:eastAsia="zh-CN"/>
        </w:rPr>
        <w:t>NTT DOCOMO</w:t>
      </w:r>
      <w:r w:rsidRPr="006B3CCB">
        <w:rPr>
          <w:rFonts w:eastAsia="宋体"/>
          <w:szCs w:val="24"/>
          <w:lang w:eastAsia="zh-CN"/>
        </w:rPr>
        <w:t>)</w:t>
      </w:r>
    </w:p>
    <w:p w14:paraId="2F3F71E4" w14:textId="79FD707D" w:rsidR="00281812" w:rsidRPr="00137427" w:rsidRDefault="00281812" w:rsidP="00A71498">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137427">
        <w:rPr>
          <w:rFonts w:eastAsia="宋体"/>
          <w:szCs w:val="24"/>
          <w:highlight w:val="green"/>
          <w:lang w:eastAsia="zh-CN"/>
        </w:rPr>
        <w:t>WF</w:t>
      </w:r>
    </w:p>
    <w:p w14:paraId="3000F99E" w14:textId="19151C08" w:rsidR="00281812" w:rsidRPr="00137427" w:rsidRDefault="0090145F" w:rsidP="00A71498">
      <w:pPr>
        <w:pStyle w:val="aff7"/>
        <w:numPr>
          <w:ilvl w:val="1"/>
          <w:numId w:val="4"/>
        </w:numPr>
        <w:overflowPunct/>
        <w:autoSpaceDE/>
        <w:autoSpaceDN/>
        <w:adjustRightInd/>
        <w:spacing w:after="120"/>
        <w:ind w:left="1440" w:firstLineChars="0"/>
        <w:textAlignment w:val="auto"/>
        <w:rPr>
          <w:highlight w:val="green"/>
          <w:lang w:eastAsia="zh-CN"/>
        </w:rPr>
      </w:pPr>
      <w:r w:rsidRPr="00137427">
        <w:rPr>
          <w:rFonts w:eastAsiaTheme="minorEastAsia"/>
          <w:highlight w:val="green"/>
          <w:lang w:eastAsia="zh-CN"/>
        </w:rPr>
        <w:t>No change is needed to existing requirements in terms of bandwidth basis applicability</w:t>
      </w:r>
    </w:p>
    <w:p w14:paraId="0D8853D3" w14:textId="53C54208" w:rsidR="00395CE4" w:rsidRPr="006B3CCB" w:rsidRDefault="00395CE4" w:rsidP="00395CE4">
      <w:pPr>
        <w:spacing w:after="120"/>
        <w:rPr>
          <w:rFonts w:eastAsiaTheme="minorEastAsia"/>
          <w:lang w:eastAsia="zh-CN"/>
        </w:rPr>
      </w:pPr>
    </w:p>
    <w:p w14:paraId="579B62B1" w14:textId="1E02F20A" w:rsidR="00DA5916" w:rsidRPr="006B3CCB" w:rsidRDefault="00DA5916">
      <w:pPr>
        <w:spacing w:after="0"/>
        <w:rPr>
          <w:lang w:eastAsia="zh-CN"/>
        </w:rPr>
      </w:pPr>
    </w:p>
    <w:sectPr w:rsidR="00DA5916" w:rsidRPr="006B3CCB" w:rsidSect="00A6542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B5608" w14:textId="77777777" w:rsidR="009F3ECC" w:rsidRDefault="009F3ECC">
      <w:pPr>
        <w:spacing w:after="0"/>
      </w:pPr>
      <w:r>
        <w:separator/>
      </w:r>
    </w:p>
  </w:endnote>
  <w:endnote w:type="continuationSeparator" w:id="0">
    <w:p w14:paraId="2CCC762E" w14:textId="77777777" w:rsidR="009F3ECC" w:rsidRDefault="009F3E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0224D" w14:textId="77777777" w:rsidR="009F3ECC" w:rsidRDefault="009F3ECC">
      <w:pPr>
        <w:spacing w:after="0"/>
      </w:pPr>
      <w:r>
        <w:separator/>
      </w:r>
    </w:p>
  </w:footnote>
  <w:footnote w:type="continuationSeparator" w:id="0">
    <w:p w14:paraId="6308CFC9" w14:textId="77777777" w:rsidR="009F3ECC" w:rsidRDefault="009F3E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2AA7"/>
    <w:multiLevelType w:val="hybridMultilevel"/>
    <w:tmpl w:val="05306DB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 w15:restartNumberingAfterBreak="0">
    <w:nsid w:val="26D1541F"/>
    <w:multiLevelType w:val="hybridMultilevel"/>
    <w:tmpl w:val="1A220FA6"/>
    <w:lvl w:ilvl="0" w:tplc="79E0FA9E">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C625550"/>
    <w:multiLevelType w:val="hybridMultilevel"/>
    <w:tmpl w:val="466C248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E5D5C33"/>
    <w:multiLevelType w:val="hybridMultilevel"/>
    <w:tmpl w:val="95F8AF6C"/>
    <w:lvl w:ilvl="0" w:tplc="CA30497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D37A3D"/>
    <w:multiLevelType w:val="multilevel"/>
    <w:tmpl w:val="37447528"/>
    <w:lvl w:ilvl="0">
      <w:numFmt w:val="decimal"/>
      <w:pStyle w:val="1"/>
      <w:lvlText w:val="%1"/>
      <w:lvlJc w:val="left"/>
      <w:pPr>
        <w:ind w:left="10071" w:hanging="432"/>
      </w:pPr>
      <w:rPr>
        <w:rFonts w:hint="eastAsia"/>
      </w:rPr>
    </w:lvl>
    <w:lvl w:ilvl="1">
      <w:start w:val="1"/>
      <w:numFmt w:val="decimal"/>
      <w:pStyle w:val="2"/>
      <w:lvlText w:val="%1.%2"/>
      <w:lvlJc w:val="left"/>
      <w:pPr>
        <w:ind w:left="1851"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48A235B1"/>
    <w:multiLevelType w:val="multilevel"/>
    <w:tmpl w:val="48A235B1"/>
    <w:lvl w:ilvl="0">
      <w:start w:val="1"/>
      <w:numFmt w:val="bullet"/>
      <w:lvlText w:val="•"/>
      <w:lvlJc w:val="left"/>
      <w:pPr>
        <w:ind w:left="620" w:hanging="420"/>
      </w:pPr>
      <w:rPr>
        <w:rFonts w:ascii="Arial" w:hAnsi="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abstractNumId w:val="5"/>
  </w:num>
  <w:num w:numId="2">
    <w:abstractNumId w:val="1"/>
  </w:num>
  <w:num w:numId="3">
    <w:abstractNumId w:val="6"/>
  </w:num>
  <w:num w:numId="4">
    <w:abstractNumId w:val="7"/>
  </w:num>
  <w:num w:numId="5">
    <w:abstractNumId w:val="2"/>
  </w:num>
  <w:num w:numId="6">
    <w:abstractNumId w:val="4"/>
  </w:num>
  <w:num w:numId="7">
    <w:abstractNumId w:val="0"/>
  </w:num>
  <w:num w:numId="8">
    <w:abstractNumId w:val="3"/>
  </w:num>
  <w:num w:numId="9">
    <w:abstractNumId w:val="5"/>
  </w:num>
  <w:num w:numId="10">
    <w:abstractNumId w:val="5"/>
  </w:num>
  <w:num w:numId="11">
    <w:abstractNumId w:val="5"/>
  </w:num>
  <w:num w:numId="12">
    <w:abstractNumId w:val="5"/>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52C"/>
    <w:rsid w:val="0000078B"/>
    <w:rsid w:val="000009DE"/>
    <w:rsid w:val="00001AC5"/>
    <w:rsid w:val="00001BFE"/>
    <w:rsid w:val="00001CA8"/>
    <w:rsid w:val="00001EBF"/>
    <w:rsid w:val="0000223C"/>
    <w:rsid w:val="00003C68"/>
    <w:rsid w:val="00004165"/>
    <w:rsid w:val="00004466"/>
    <w:rsid w:val="00005E56"/>
    <w:rsid w:val="000061BF"/>
    <w:rsid w:val="00006548"/>
    <w:rsid w:val="00007D82"/>
    <w:rsid w:val="000108E7"/>
    <w:rsid w:val="00010A72"/>
    <w:rsid w:val="00010CB7"/>
    <w:rsid w:val="000125A3"/>
    <w:rsid w:val="00012B8B"/>
    <w:rsid w:val="00015C86"/>
    <w:rsid w:val="00017727"/>
    <w:rsid w:val="000179E3"/>
    <w:rsid w:val="0002003F"/>
    <w:rsid w:val="00020C56"/>
    <w:rsid w:val="00021332"/>
    <w:rsid w:val="00022DB1"/>
    <w:rsid w:val="00023D7B"/>
    <w:rsid w:val="00024BCD"/>
    <w:rsid w:val="00025C01"/>
    <w:rsid w:val="00025E6A"/>
    <w:rsid w:val="000263F1"/>
    <w:rsid w:val="00026ACC"/>
    <w:rsid w:val="000271D0"/>
    <w:rsid w:val="000272AD"/>
    <w:rsid w:val="000274A9"/>
    <w:rsid w:val="00030C58"/>
    <w:rsid w:val="00030EF6"/>
    <w:rsid w:val="000313B7"/>
    <w:rsid w:val="0003171D"/>
    <w:rsid w:val="00031C1D"/>
    <w:rsid w:val="00032766"/>
    <w:rsid w:val="000343BC"/>
    <w:rsid w:val="00035C50"/>
    <w:rsid w:val="00041D9C"/>
    <w:rsid w:val="00042F86"/>
    <w:rsid w:val="000439F6"/>
    <w:rsid w:val="00044B3B"/>
    <w:rsid w:val="00044BC3"/>
    <w:rsid w:val="000457A1"/>
    <w:rsid w:val="000457CD"/>
    <w:rsid w:val="00046F32"/>
    <w:rsid w:val="00046FF2"/>
    <w:rsid w:val="000477EE"/>
    <w:rsid w:val="00047961"/>
    <w:rsid w:val="00050001"/>
    <w:rsid w:val="00052041"/>
    <w:rsid w:val="00052585"/>
    <w:rsid w:val="0005326A"/>
    <w:rsid w:val="00053BB9"/>
    <w:rsid w:val="000543C4"/>
    <w:rsid w:val="00055709"/>
    <w:rsid w:val="0005637D"/>
    <w:rsid w:val="00056697"/>
    <w:rsid w:val="000571AB"/>
    <w:rsid w:val="000572BB"/>
    <w:rsid w:val="0006266D"/>
    <w:rsid w:val="00065506"/>
    <w:rsid w:val="00070256"/>
    <w:rsid w:val="00070729"/>
    <w:rsid w:val="000731A8"/>
    <w:rsid w:val="0007382E"/>
    <w:rsid w:val="00073E41"/>
    <w:rsid w:val="00073F07"/>
    <w:rsid w:val="00075A14"/>
    <w:rsid w:val="000764EB"/>
    <w:rsid w:val="000766E1"/>
    <w:rsid w:val="00077632"/>
    <w:rsid w:val="00077F4F"/>
    <w:rsid w:val="00077FF6"/>
    <w:rsid w:val="0008051D"/>
    <w:rsid w:val="00080D82"/>
    <w:rsid w:val="00081692"/>
    <w:rsid w:val="000829BB"/>
    <w:rsid w:val="00082C46"/>
    <w:rsid w:val="00083362"/>
    <w:rsid w:val="000840F1"/>
    <w:rsid w:val="00085A0E"/>
    <w:rsid w:val="00085AAD"/>
    <w:rsid w:val="00086AB6"/>
    <w:rsid w:val="000871D5"/>
    <w:rsid w:val="00087548"/>
    <w:rsid w:val="00087D95"/>
    <w:rsid w:val="00090A09"/>
    <w:rsid w:val="00090D14"/>
    <w:rsid w:val="00091EFF"/>
    <w:rsid w:val="000933AA"/>
    <w:rsid w:val="000937F9"/>
    <w:rsid w:val="00093E7E"/>
    <w:rsid w:val="00093ECF"/>
    <w:rsid w:val="0009605D"/>
    <w:rsid w:val="0009676D"/>
    <w:rsid w:val="000969CB"/>
    <w:rsid w:val="000A0FD2"/>
    <w:rsid w:val="000A1830"/>
    <w:rsid w:val="000A19F3"/>
    <w:rsid w:val="000A1EF8"/>
    <w:rsid w:val="000A4121"/>
    <w:rsid w:val="000A44C5"/>
    <w:rsid w:val="000A4AA3"/>
    <w:rsid w:val="000A550E"/>
    <w:rsid w:val="000A67E2"/>
    <w:rsid w:val="000B0960"/>
    <w:rsid w:val="000B1A55"/>
    <w:rsid w:val="000B20BB"/>
    <w:rsid w:val="000B2EF6"/>
    <w:rsid w:val="000B2FA6"/>
    <w:rsid w:val="000B3043"/>
    <w:rsid w:val="000B3136"/>
    <w:rsid w:val="000B4549"/>
    <w:rsid w:val="000B4AA0"/>
    <w:rsid w:val="000B5620"/>
    <w:rsid w:val="000B5BBD"/>
    <w:rsid w:val="000B7A09"/>
    <w:rsid w:val="000C0A0E"/>
    <w:rsid w:val="000C2553"/>
    <w:rsid w:val="000C38C3"/>
    <w:rsid w:val="000C4549"/>
    <w:rsid w:val="000C4802"/>
    <w:rsid w:val="000C4EC0"/>
    <w:rsid w:val="000C69EF"/>
    <w:rsid w:val="000C6B5A"/>
    <w:rsid w:val="000D09FD"/>
    <w:rsid w:val="000D19DE"/>
    <w:rsid w:val="000D2EAE"/>
    <w:rsid w:val="000D307E"/>
    <w:rsid w:val="000D319D"/>
    <w:rsid w:val="000D3667"/>
    <w:rsid w:val="000D3CC8"/>
    <w:rsid w:val="000D44FB"/>
    <w:rsid w:val="000D476D"/>
    <w:rsid w:val="000D574B"/>
    <w:rsid w:val="000D6CFC"/>
    <w:rsid w:val="000E063A"/>
    <w:rsid w:val="000E47B3"/>
    <w:rsid w:val="000E537B"/>
    <w:rsid w:val="000E57D0"/>
    <w:rsid w:val="000E6616"/>
    <w:rsid w:val="000E7858"/>
    <w:rsid w:val="000F0037"/>
    <w:rsid w:val="000F0286"/>
    <w:rsid w:val="000F0492"/>
    <w:rsid w:val="000F2294"/>
    <w:rsid w:val="000F2856"/>
    <w:rsid w:val="000F3639"/>
    <w:rsid w:val="000F39CA"/>
    <w:rsid w:val="000F4BA1"/>
    <w:rsid w:val="000F5ADB"/>
    <w:rsid w:val="000F6099"/>
    <w:rsid w:val="000F7AA1"/>
    <w:rsid w:val="00100AF9"/>
    <w:rsid w:val="00101295"/>
    <w:rsid w:val="001019CD"/>
    <w:rsid w:val="00103AB2"/>
    <w:rsid w:val="0010416E"/>
    <w:rsid w:val="0010465E"/>
    <w:rsid w:val="00104ABC"/>
    <w:rsid w:val="00104B11"/>
    <w:rsid w:val="0010519F"/>
    <w:rsid w:val="001055EB"/>
    <w:rsid w:val="00105D63"/>
    <w:rsid w:val="00106014"/>
    <w:rsid w:val="00106F58"/>
    <w:rsid w:val="00107927"/>
    <w:rsid w:val="001079D8"/>
    <w:rsid w:val="00107ABB"/>
    <w:rsid w:val="00107F06"/>
    <w:rsid w:val="00110E26"/>
    <w:rsid w:val="00111321"/>
    <w:rsid w:val="001118D7"/>
    <w:rsid w:val="00111907"/>
    <w:rsid w:val="001128E7"/>
    <w:rsid w:val="0011397F"/>
    <w:rsid w:val="00117BD6"/>
    <w:rsid w:val="00117BED"/>
    <w:rsid w:val="001206C2"/>
    <w:rsid w:val="0012089A"/>
    <w:rsid w:val="00120D02"/>
    <w:rsid w:val="001214FE"/>
    <w:rsid w:val="00121978"/>
    <w:rsid w:val="00122BC3"/>
    <w:rsid w:val="00123422"/>
    <w:rsid w:val="001236B5"/>
    <w:rsid w:val="00123978"/>
    <w:rsid w:val="00124171"/>
    <w:rsid w:val="00124B6A"/>
    <w:rsid w:val="00127BA4"/>
    <w:rsid w:val="00130462"/>
    <w:rsid w:val="0013192A"/>
    <w:rsid w:val="00132113"/>
    <w:rsid w:val="00132308"/>
    <w:rsid w:val="001357EA"/>
    <w:rsid w:val="001359A4"/>
    <w:rsid w:val="00136D4C"/>
    <w:rsid w:val="00137427"/>
    <w:rsid w:val="00137652"/>
    <w:rsid w:val="001424F3"/>
    <w:rsid w:val="00142538"/>
    <w:rsid w:val="00142BB9"/>
    <w:rsid w:val="0014359F"/>
    <w:rsid w:val="001440F7"/>
    <w:rsid w:val="00144F96"/>
    <w:rsid w:val="00146003"/>
    <w:rsid w:val="00147037"/>
    <w:rsid w:val="001473E0"/>
    <w:rsid w:val="00147DDD"/>
    <w:rsid w:val="001503B1"/>
    <w:rsid w:val="00150798"/>
    <w:rsid w:val="00151D76"/>
    <w:rsid w:val="00151EAC"/>
    <w:rsid w:val="0015202D"/>
    <w:rsid w:val="00152D33"/>
    <w:rsid w:val="00153528"/>
    <w:rsid w:val="00153AB5"/>
    <w:rsid w:val="00154E68"/>
    <w:rsid w:val="0015519A"/>
    <w:rsid w:val="00156F11"/>
    <w:rsid w:val="0016140E"/>
    <w:rsid w:val="00161531"/>
    <w:rsid w:val="00162548"/>
    <w:rsid w:val="00162D0F"/>
    <w:rsid w:val="001634CC"/>
    <w:rsid w:val="001636CA"/>
    <w:rsid w:val="00163816"/>
    <w:rsid w:val="00166FCF"/>
    <w:rsid w:val="00167741"/>
    <w:rsid w:val="00170636"/>
    <w:rsid w:val="00171234"/>
    <w:rsid w:val="00172183"/>
    <w:rsid w:val="00173180"/>
    <w:rsid w:val="00173601"/>
    <w:rsid w:val="0017371C"/>
    <w:rsid w:val="00174798"/>
    <w:rsid w:val="00174F6C"/>
    <w:rsid w:val="001751AB"/>
    <w:rsid w:val="00175A3F"/>
    <w:rsid w:val="00175C0F"/>
    <w:rsid w:val="00176786"/>
    <w:rsid w:val="00176C04"/>
    <w:rsid w:val="001775D0"/>
    <w:rsid w:val="00180E09"/>
    <w:rsid w:val="00181CD8"/>
    <w:rsid w:val="001822FB"/>
    <w:rsid w:val="00183D4C"/>
    <w:rsid w:val="00183F6D"/>
    <w:rsid w:val="001853D5"/>
    <w:rsid w:val="00185949"/>
    <w:rsid w:val="00185A3A"/>
    <w:rsid w:val="001864EC"/>
    <w:rsid w:val="0018670E"/>
    <w:rsid w:val="001873E5"/>
    <w:rsid w:val="00190320"/>
    <w:rsid w:val="001908A8"/>
    <w:rsid w:val="00190B83"/>
    <w:rsid w:val="00190EA8"/>
    <w:rsid w:val="00191C50"/>
    <w:rsid w:val="0019219A"/>
    <w:rsid w:val="00192B57"/>
    <w:rsid w:val="001931A5"/>
    <w:rsid w:val="00194539"/>
    <w:rsid w:val="00195077"/>
    <w:rsid w:val="00195632"/>
    <w:rsid w:val="00196347"/>
    <w:rsid w:val="001963B4"/>
    <w:rsid w:val="00197223"/>
    <w:rsid w:val="00197DF9"/>
    <w:rsid w:val="001A033F"/>
    <w:rsid w:val="001A08AA"/>
    <w:rsid w:val="001A0A35"/>
    <w:rsid w:val="001A0ECA"/>
    <w:rsid w:val="001A1543"/>
    <w:rsid w:val="001A41C6"/>
    <w:rsid w:val="001A58EF"/>
    <w:rsid w:val="001A59CB"/>
    <w:rsid w:val="001A61AC"/>
    <w:rsid w:val="001B08D0"/>
    <w:rsid w:val="001B0E90"/>
    <w:rsid w:val="001B4249"/>
    <w:rsid w:val="001B4A05"/>
    <w:rsid w:val="001B56D5"/>
    <w:rsid w:val="001B5AA3"/>
    <w:rsid w:val="001B6625"/>
    <w:rsid w:val="001B7887"/>
    <w:rsid w:val="001B7991"/>
    <w:rsid w:val="001C01EB"/>
    <w:rsid w:val="001C1409"/>
    <w:rsid w:val="001C275B"/>
    <w:rsid w:val="001C2AE6"/>
    <w:rsid w:val="001C3599"/>
    <w:rsid w:val="001C3C92"/>
    <w:rsid w:val="001C4A89"/>
    <w:rsid w:val="001C5718"/>
    <w:rsid w:val="001C6177"/>
    <w:rsid w:val="001C6782"/>
    <w:rsid w:val="001D0363"/>
    <w:rsid w:val="001D0FAA"/>
    <w:rsid w:val="001D12B4"/>
    <w:rsid w:val="001D1B06"/>
    <w:rsid w:val="001D1B07"/>
    <w:rsid w:val="001D320A"/>
    <w:rsid w:val="001D59B5"/>
    <w:rsid w:val="001D7D94"/>
    <w:rsid w:val="001E0A28"/>
    <w:rsid w:val="001E2890"/>
    <w:rsid w:val="001E2E11"/>
    <w:rsid w:val="001E324F"/>
    <w:rsid w:val="001E4218"/>
    <w:rsid w:val="001E6C4D"/>
    <w:rsid w:val="001E74DC"/>
    <w:rsid w:val="001F0B20"/>
    <w:rsid w:val="001F1AD0"/>
    <w:rsid w:val="001F3180"/>
    <w:rsid w:val="001F39E2"/>
    <w:rsid w:val="001F499B"/>
    <w:rsid w:val="001F50C6"/>
    <w:rsid w:val="001F5B59"/>
    <w:rsid w:val="001F6E11"/>
    <w:rsid w:val="00200A62"/>
    <w:rsid w:val="00200AC8"/>
    <w:rsid w:val="0020217E"/>
    <w:rsid w:val="0020238D"/>
    <w:rsid w:val="00203740"/>
    <w:rsid w:val="0020445A"/>
    <w:rsid w:val="002047D3"/>
    <w:rsid w:val="00204A6B"/>
    <w:rsid w:val="0020527B"/>
    <w:rsid w:val="002053E5"/>
    <w:rsid w:val="00205821"/>
    <w:rsid w:val="00205AC5"/>
    <w:rsid w:val="00205BFD"/>
    <w:rsid w:val="00207367"/>
    <w:rsid w:val="00207BBF"/>
    <w:rsid w:val="002103AB"/>
    <w:rsid w:val="0021051F"/>
    <w:rsid w:val="00211BF8"/>
    <w:rsid w:val="00211D3E"/>
    <w:rsid w:val="002138EA"/>
    <w:rsid w:val="002139EA"/>
    <w:rsid w:val="00213F84"/>
    <w:rsid w:val="00214D77"/>
    <w:rsid w:val="00214FBD"/>
    <w:rsid w:val="002151C1"/>
    <w:rsid w:val="002159AF"/>
    <w:rsid w:val="0021707E"/>
    <w:rsid w:val="002217A4"/>
    <w:rsid w:val="00221E08"/>
    <w:rsid w:val="00222897"/>
    <w:rsid w:val="00222B0C"/>
    <w:rsid w:val="00223A5C"/>
    <w:rsid w:val="00225B0A"/>
    <w:rsid w:val="002307F3"/>
    <w:rsid w:val="00231868"/>
    <w:rsid w:val="0023281A"/>
    <w:rsid w:val="00232B7C"/>
    <w:rsid w:val="00233B5A"/>
    <w:rsid w:val="00234503"/>
    <w:rsid w:val="00235394"/>
    <w:rsid w:val="00235577"/>
    <w:rsid w:val="00235EC1"/>
    <w:rsid w:val="002371B2"/>
    <w:rsid w:val="00237A94"/>
    <w:rsid w:val="002435CA"/>
    <w:rsid w:val="0024469F"/>
    <w:rsid w:val="00250B5B"/>
    <w:rsid w:val="00250E4E"/>
    <w:rsid w:val="002513E0"/>
    <w:rsid w:val="00251DFB"/>
    <w:rsid w:val="0025252E"/>
    <w:rsid w:val="00252653"/>
    <w:rsid w:val="00252DB8"/>
    <w:rsid w:val="002537BC"/>
    <w:rsid w:val="00253B71"/>
    <w:rsid w:val="00255117"/>
    <w:rsid w:val="00255C58"/>
    <w:rsid w:val="002562BC"/>
    <w:rsid w:val="002579AD"/>
    <w:rsid w:val="00260EC7"/>
    <w:rsid w:val="002611C7"/>
    <w:rsid w:val="00261539"/>
    <w:rsid w:val="0026179F"/>
    <w:rsid w:val="00263696"/>
    <w:rsid w:val="002636C9"/>
    <w:rsid w:val="002642E2"/>
    <w:rsid w:val="00264A2E"/>
    <w:rsid w:val="00265FE3"/>
    <w:rsid w:val="002666AE"/>
    <w:rsid w:val="00270B53"/>
    <w:rsid w:val="00271C51"/>
    <w:rsid w:val="00272E52"/>
    <w:rsid w:val="00273B09"/>
    <w:rsid w:val="00274E1A"/>
    <w:rsid w:val="00274E25"/>
    <w:rsid w:val="002752F7"/>
    <w:rsid w:val="002766B7"/>
    <w:rsid w:val="00277585"/>
    <w:rsid w:val="002775B1"/>
    <w:rsid w:val="002775B9"/>
    <w:rsid w:val="00277FCD"/>
    <w:rsid w:val="00280FFA"/>
    <w:rsid w:val="002811C4"/>
    <w:rsid w:val="00281812"/>
    <w:rsid w:val="00282213"/>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A0CED"/>
    <w:rsid w:val="002A2889"/>
    <w:rsid w:val="002A3C10"/>
    <w:rsid w:val="002A4720"/>
    <w:rsid w:val="002A4CD0"/>
    <w:rsid w:val="002A5BED"/>
    <w:rsid w:val="002A612D"/>
    <w:rsid w:val="002A65F6"/>
    <w:rsid w:val="002A734A"/>
    <w:rsid w:val="002A7DA6"/>
    <w:rsid w:val="002B06E8"/>
    <w:rsid w:val="002B26B4"/>
    <w:rsid w:val="002B3957"/>
    <w:rsid w:val="002B40A5"/>
    <w:rsid w:val="002B516C"/>
    <w:rsid w:val="002B52A4"/>
    <w:rsid w:val="002B5E1D"/>
    <w:rsid w:val="002B60C1"/>
    <w:rsid w:val="002B63D6"/>
    <w:rsid w:val="002B6A7E"/>
    <w:rsid w:val="002C003E"/>
    <w:rsid w:val="002C00AC"/>
    <w:rsid w:val="002C3053"/>
    <w:rsid w:val="002C317B"/>
    <w:rsid w:val="002C3A46"/>
    <w:rsid w:val="002C3EF3"/>
    <w:rsid w:val="002C47FF"/>
    <w:rsid w:val="002C4B52"/>
    <w:rsid w:val="002C6CC1"/>
    <w:rsid w:val="002D03E5"/>
    <w:rsid w:val="002D26FC"/>
    <w:rsid w:val="002D2B3A"/>
    <w:rsid w:val="002D36EB"/>
    <w:rsid w:val="002D5E42"/>
    <w:rsid w:val="002D6BDF"/>
    <w:rsid w:val="002D6D75"/>
    <w:rsid w:val="002D71D7"/>
    <w:rsid w:val="002D7FBF"/>
    <w:rsid w:val="002E00B2"/>
    <w:rsid w:val="002E1A64"/>
    <w:rsid w:val="002E1C46"/>
    <w:rsid w:val="002E2CE9"/>
    <w:rsid w:val="002E2CEC"/>
    <w:rsid w:val="002E3BF7"/>
    <w:rsid w:val="002E403E"/>
    <w:rsid w:val="002E4C74"/>
    <w:rsid w:val="002E4F12"/>
    <w:rsid w:val="002E7C0E"/>
    <w:rsid w:val="002F158C"/>
    <w:rsid w:val="002F2A79"/>
    <w:rsid w:val="002F4093"/>
    <w:rsid w:val="002F5636"/>
    <w:rsid w:val="002F6616"/>
    <w:rsid w:val="002F696E"/>
    <w:rsid w:val="002F6F5F"/>
    <w:rsid w:val="003003DC"/>
    <w:rsid w:val="00300DFF"/>
    <w:rsid w:val="003018BF"/>
    <w:rsid w:val="00301EDF"/>
    <w:rsid w:val="003022A5"/>
    <w:rsid w:val="00302D8F"/>
    <w:rsid w:val="0030561A"/>
    <w:rsid w:val="00305A7C"/>
    <w:rsid w:val="00306072"/>
    <w:rsid w:val="00306341"/>
    <w:rsid w:val="00307E51"/>
    <w:rsid w:val="00311363"/>
    <w:rsid w:val="003118A6"/>
    <w:rsid w:val="00312CEC"/>
    <w:rsid w:val="00312D96"/>
    <w:rsid w:val="00312F66"/>
    <w:rsid w:val="0031424F"/>
    <w:rsid w:val="003149C5"/>
    <w:rsid w:val="00315344"/>
    <w:rsid w:val="00315867"/>
    <w:rsid w:val="0031606D"/>
    <w:rsid w:val="003168E0"/>
    <w:rsid w:val="00317223"/>
    <w:rsid w:val="00321150"/>
    <w:rsid w:val="00324F4D"/>
    <w:rsid w:val="00325B09"/>
    <w:rsid w:val="003260D7"/>
    <w:rsid w:val="00327628"/>
    <w:rsid w:val="0033052D"/>
    <w:rsid w:val="003308E3"/>
    <w:rsid w:val="00331448"/>
    <w:rsid w:val="00332149"/>
    <w:rsid w:val="00334087"/>
    <w:rsid w:val="00335277"/>
    <w:rsid w:val="00336697"/>
    <w:rsid w:val="003367F4"/>
    <w:rsid w:val="003416D8"/>
    <w:rsid w:val="003418CB"/>
    <w:rsid w:val="00341C88"/>
    <w:rsid w:val="003449FF"/>
    <w:rsid w:val="0034546A"/>
    <w:rsid w:val="003455F6"/>
    <w:rsid w:val="00347078"/>
    <w:rsid w:val="00350EEB"/>
    <w:rsid w:val="00352C79"/>
    <w:rsid w:val="00352EDD"/>
    <w:rsid w:val="00353834"/>
    <w:rsid w:val="00355873"/>
    <w:rsid w:val="00355FB3"/>
    <w:rsid w:val="0035660F"/>
    <w:rsid w:val="00356870"/>
    <w:rsid w:val="00357349"/>
    <w:rsid w:val="0035738D"/>
    <w:rsid w:val="003600E8"/>
    <w:rsid w:val="003606D6"/>
    <w:rsid w:val="003611F2"/>
    <w:rsid w:val="003616AD"/>
    <w:rsid w:val="00362041"/>
    <w:rsid w:val="003628B9"/>
    <w:rsid w:val="00362D8F"/>
    <w:rsid w:val="003641FD"/>
    <w:rsid w:val="00364BBC"/>
    <w:rsid w:val="00364E24"/>
    <w:rsid w:val="00365F7D"/>
    <w:rsid w:val="00366ED9"/>
    <w:rsid w:val="003672EE"/>
    <w:rsid w:val="00367724"/>
    <w:rsid w:val="003710BA"/>
    <w:rsid w:val="00373B8C"/>
    <w:rsid w:val="00374F6B"/>
    <w:rsid w:val="0037589A"/>
    <w:rsid w:val="003770F6"/>
    <w:rsid w:val="003774A2"/>
    <w:rsid w:val="0038099D"/>
    <w:rsid w:val="003813BD"/>
    <w:rsid w:val="00382D66"/>
    <w:rsid w:val="003833D3"/>
    <w:rsid w:val="00383E37"/>
    <w:rsid w:val="003844F0"/>
    <w:rsid w:val="0038460E"/>
    <w:rsid w:val="003851E8"/>
    <w:rsid w:val="00385E17"/>
    <w:rsid w:val="00387A3F"/>
    <w:rsid w:val="00387EF9"/>
    <w:rsid w:val="00390F94"/>
    <w:rsid w:val="0039264A"/>
    <w:rsid w:val="00393042"/>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83A"/>
    <w:rsid w:val="003A5A23"/>
    <w:rsid w:val="003A6784"/>
    <w:rsid w:val="003A75CA"/>
    <w:rsid w:val="003A7617"/>
    <w:rsid w:val="003B0158"/>
    <w:rsid w:val="003B0FEA"/>
    <w:rsid w:val="003B1B65"/>
    <w:rsid w:val="003B1EFD"/>
    <w:rsid w:val="003B22E8"/>
    <w:rsid w:val="003B2E6F"/>
    <w:rsid w:val="003B40B6"/>
    <w:rsid w:val="003B4963"/>
    <w:rsid w:val="003B56DB"/>
    <w:rsid w:val="003B58EF"/>
    <w:rsid w:val="003B5C53"/>
    <w:rsid w:val="003B755E"/>
    <w:rsid w:val="003C1FD8"/>
    <w:rsid w:val="003C228E"/>
    <w:rsid w:val="003C43A8"/>
    <w:rsid w:val="003C51E7"/>
    <w:rsid w:val="003C6748"/>
    <w:rsid w:val="003C6893"/>
    <w:rsid w:val="003C6DE2"/>
    <w:rsid w:val="003D05DA"/>
    <w:rsid w:val="003D1EFD"/>
    <w:rsid w:val="003D28BF"/>
    <w:rsid w:val="003D2BDB"/>
    <w:rsid w:val="003D2D04"/>
    <w:rsid w:val="003D333F"/>
    <w:rsid w:val="003D4215"/>
    <w:rsid w:val="003D4241"/>
    <w:rsid w:val="003D4C47"/>
    <w:rsid w:val="003D607D"/>
    <w:rsid w:val="003D660F"/>
    <w:rsid w:val="003D7719"/>
    <w:rsid w:val="003E0322"/>
    <w:rsid w:val="003E0634"/>
    <w:rsid w:val="003E1438"/>
    <w:rsid w:val="003E386F"/>
    <w:rsid w:val="003E3972"/>
    <w:rsid w:val="003E4099"/>
    <w:rsid w:val="003E40EE"/>
    <w:rsid w:val="003E4343"/>
    <w:rsid w:val="003E45EA"/>
    <w:rsid w:val="003E6223"/>
    <w:rsid w:val="003E65C1"/>
    <w:rsid w:val="003E7908"/>
    <w:rsid w:val="003F1B51"/>
    <w:rsid w:val="003F1C1B"/>
    <w:rsid w:val="003F32D4"/>
    <w:rsid w:val="003F3A2F"/>
    <w:rsid w:val="003F424A"/>
    <w:rsid w:val="003F632C"/>
    <w:rsid w:val="003F6ABB"/>
    <w:rsid w:val="003F753E"/>
    <w:rsid w:val="00401144"/>
    <w:rsid w:val="0040182C"/>
    <w:rsid w:val="00403A6C"/>
    <w:rsid w:val="004046D5"/>
    <w:rsid w:val="00404831"/>
    <w:rsid w:val="00404D83"/>
    <w:rsid w:val="00405656"/>
    <w:rsid w:val="00405766"/>
    <w:rsid w:val="0040673C"/>
    <w:rsid w:val="00407661"/>
    <w:rsid w:val="00407765"/>
    <w:rsid w:val="004102AE"/>
    <w:rsid w:val="00410314"/>
    <w:rsid w:val="00411074"/>
    <w:rsid w:val="00412063"/>
    <w:rsid w:val="00412211"/>
    <w:rsid w:val="0041282B"/>
    <w:rsid w:val="00412E31"/>
    <w:rsid w:val="00412EB1"/>
    <w:rsid w:val="00413DDE"/>
    <w:rsid w:val="00414118"/>
    <w:rsid w:val="0041527E"/>
    <w:rsid w:val="00416084"/>
    <w:rsid w:val="00416713"/>
    <w:rsid w:val="00416845"/>
    <w:rsid w:val="00417F87"/>
    <w:rsid w:val="0042186C"/>
    <w:rsid w:val="00422588"/>
    <w:rsid w:val="00422F8E"/>
    <w:rsid w:val="004238F9"/>
    <w:rsid w:val="00424F8C"/>
    <w:rsid w:val="00426275"/>
    <w:rsid w:val="00426ECB"/>
    <w:rsid w:val="004271BA"/>
    <w:rsid w:val="0042759F"/>
    <w:rsid w:val="0042786E"/>
    <w:rsid w:val="0042795A"/>
    <w:rsid w:val="00427AAF"/>
    <w:rsid w:val="00427AF6"/>
    <w:rsid w:val="00427DA7"/>
    <w:rsid w:val="00430497"/>
    <w:rsid w:val="00430EA5"/>
    <w:rsid w:val="004313C1"/>
    <w:rsid w:val="0043195E"/>
    <w:rsid w:val="00431AE1"/>
    <w:rsid w:val="00431BB3"/>
    <w:rsid w:val="00431D60"/>
    <w:rsid w:val="00433107"/>
    <w:rsid w:val="00434423"/>
    <w:rsid w:val="00434DC1"/>
    <w:rsid w:val="004350F4"/>
    <w:rsid w:val="0043514C"/>
    <w:rsid w:val="00435AF0"/>
    <w:rsid w:val="004412A0"/>
    <w:rsid w:val="004414BF"/>
    <w:rsid w:val="00442337"/>
    <w:rsid w:val="00445E35"/>
    <w:rsid w:val="00446408"/>
    <w:rsid w:val="0044763E"/>
    <w:rsid w:val="00450F02"/>
    <w:rsid w:val="00450F27"/>
    <w:rsid w:val="004510E5"/>
    <w:rsid w:val="00451B89"/>
    <w:rsid w:val="00452DE5"/>
    <w:rsid w:val="0045456B"/>
    <w:rsid w:val="004546AF"/>
    <w:rsid w:val="004548FA"/>
    <w:rsid w:val="00455A8A"/>
    <w:rsid w:val="004560D3"/>
    <w:rsid w:val="00456A75"/>
    <w:rsid w:val="00456DAC"/>
    <w:rsid w:val="00460A75"/>
    <w:rsid w:val="00461568"/>
    <w:rsid w:val="004617A6"/>
    <w:rsid w:val="00461E39"/>
    <w:rsid w:val="004620FD"/>
    <w:rsid w:val="00462D3A"/>
    <w:rsid w:val="004633A4"/>
    <w:rsid w:val="00463521"/>
    <w:rsid w:val="00463E12"/>
    <w:rsid w:val="004643B8"/>
    <w:rsid w:val="004657F7"/>
    <w:rsid w:val="00465B86"/>
    <w:rsid w:val="004677BE"/>
    <w:rsid w:val="00467D4D"/>
    <w:rsid w:val="00471125"/>
    <w:rsid w:val="004712FE"/>
    <w:rsid w:val="0047166C"/>
    <w:rsid w:val="00471AFF"/>
    <w:rsid w:val="00471D78"/>
    <w:rsid w:val="00472135"/>
    <w:rsid w:val="004723F1"/>
    <w:rsid w:val="004725F4"/>
    <w:rsid w:val="004729A1"/>
    <w:rsid w:val="004731C2"/>
    <w:rsid w:val="00473842"/>
    <w:rsid w:val="004739DA"/>
    <w:rsid w:val="00473F1E"/>
    <w:rsid w:val="0047437A"/>
    <w:rsid w:val="00474B2B"/>
    <w:rsid w:val="004753C9"/>
    <w:rsid w:val="00475E71"/>
    <w:rsid w:val="004769BE"/>
    <w:rsid w:val="004774B3"/>
    <w:rsid w:val="00480E42"/>
    <w:rsid w:val="00482949"/>
    <w:rsid w:val="004835B5"/>
    <w:rsid w:val="0048387E"/>
    <w:rsid w:val="00484917"/>
    <w:rsid w:val="00484C5D"/>
    <w:rsid w:val="0048543E"/>
    <w:rsid w:val="0048618E"/>
    <w:rsid w:val="004868C1"/>
    <w:rsid w:val="004872C0"/>
    <w:rsid w:val="00487420"/>
    <w:rsid w:val="0048750F"/>
    <w:rsid w:val="004875D4"/>
    <w:rsid w:val="00490C82"/>
    <w:rsid w:val="00490F77"/>
    <w:rsid w:val="004915A2"/>
    <w:rsid w:val="00492563"/>
    <w:rsid w:val="0049271B"/>
    <w:rsid w:val="0049367E"/>
    <w:rsid w:val="00494F1B"/>
    <w:rsid w:val="00495AC6"/>
    <w:rsid w:val="0049617C"/>
    <w:rsid w:val="004969A0"/>
    <w:rsid w:val="00497A87"/>
    <w:rsid w:val="004A100B"/>
    <w:rsid w:val="004A17E9"/>
    <w:rsid w:val="004A2627"/>
    <w:rsid w:val="004A495F"/>
    <w:rsid w:val="004A4E7F"/>
    <w:rsid w:val="004A6856"/>
    <w:rsid w:val="004A7544"/>
    <w:rsid w:val="004B0D46"/>
    <w:rsid w:val="004B17DB"/>
    <w:rsid w:val="004B1A55"/>
    <w:rsid w:val="004B2508"/>
    <w:rsid w:val="004B323A"/>
    <w:rsid w:val="004B5FF0"/>
    <w:rsid w:val="004B6B0F"/>
    <w:rsid w:val="004B709B"/>
    <w:rsid w:val="004C1028"/>
    <w:rsid w:val="004C26D9"/>
    <w:rsid w:val="004C2D18"/>
    <w:rsid w:val="004C47EC"/>
    <w:rsid w:val="004C540D"/>
    <w:rsid w:val="004C54E5"/>
    <w:rsid w:val="004C5B6C"/>
    <w:rsid w:val="004C6E08"/>
    <w:rsid w:val="004C7CD4"/>
    <w:rsid w:val="004C7DC8"/>
    <w:rsid w:val="004D17EF"/>
    <w:rsid w:val="004D21B0"/>
    <w:rsid w:val="004D3035"/>
    <w:rsid w:val="004D420E"/>
    <w:rsid w:val="004D45EF"/>
    <w:rsid w:val="004D4CAC"/>
    <w:rsid w:val="004D4D72"/>
    <w:rsid w:val="004D6B98"/>
    <w:rsid w:val="004D737D"/>
    <w:rsid w:val="004E2659"/>
    <w:rsid w:val="004E360D"/>
    <w:rsid w:val="004E39EE"/>
    <w:rsid w:val="004E3A0C"/>
    <w:rsid w:val="004E3C8A"/>
    <w:rsid w:val="004E3DD0"/>
    <w:rsid w:val="004E475C"/>
    <w:rsid w:val="004E56E0"/>
    <w:rsid w:val="004E63B5"/>
    <w:rsid w:val="004E7329"/>
    <w:rsid w:val="004E7590"/>
    <w:rsid w:val="004F0B1A"/>
    <w:rsid w:val="004F1F93"/>
    <w:rsid w:val="004F2CB0"/>
    <w:rsid w:val="004F7392"/>
    <w:rsid w:val="004F7738"/>
    <w:rsid w:val="0050170D"/>
    <w:rsid w:val="005017F7"/>
    <w:rsid w:val="00501FA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D4"/>
    <w:rsid w:val="0051272E"/>
    <w:rsid w:val="0051359F"/>
    <w:rsid w:val="00515CAA"/>
    <w:rsid w:val="00515CBE"/>
    <w:rsid w:val="00515E2B"/>
    <w:rsid w:val="00516DD7"/>
    <w:rsid w:val="005173FA"/>
    <w:rsid w:val="00517E9E"/>
    <w:rsid w:val="005207DD"/>
    <w:rsid w:val="00522A7E"/>
    <w:rsid w:val="00522F20"/>
    <w:rsid w:val="0052395B"/>
    <w:rsid w:val="00523BA9"/>
    <w:rsid w:val="00525E73"/>
    <w:rsid w:val="005264BB"/>
    <w:rsid w:val="0052796D"/>
    <w:rsid w:val="005308DB"/>
    <w:rsid w:val="00530A2E"/>
    <w:rsid w:val="00530FBE"/>
    <w:rsid w:val="0053103B"/>
    <w:rsid w:val="005311E8"/>
    <w:rsid w:val="005323CC"/>
    <w:rsid w:val="00532918"/>
    <w:rsid w:val="00533159"/>
    <w:rsid w:val="005339DB"/>
    <w:rsid w:val="00533D5F"/>
    <w:rsid w:val="00534C89"/>
    <w:rsid w:val="00540E5E"/>
    <w:rsid w:val="00541573"/>
    <w:rsid w:val="00542BCD"/>
    <w:rsid w:val="005430A3"/>
    <w:rsid w:val="005431DF"/>
    <w:rsid w:val="0054348A"/>
    <w:rsid w:val="005449B3"/>
    <w:rsid w:val="00544E33"/>
    <w:rsid w:val="00547263"/>
    <w:rsid w:val="0054767F"/>
    <w:rsid w:val="005529B6"/>
    <w:rsid w:val="00554010"/>
    <w:rsid w:val="005545E9"/>
    <w:rsid w:val="005630B7"/>
    <w:rsid w:val="0056346B"/>
    <w:rsid w:val="00563B9D"/>
    <w:rsid w:val="00563FD3"/>
    <w:rsid w:val="00565122"/>
    <w:rsid w:val="00565DD7"/>
    <w:rsid w:val="005665AA"/>
    <w:rsid w:val="00567527"/>
    <w:rsid w:val="00571777"/>
    <w:rsid w:val="00571A2F"/>
    <w:rsid w:val="00572BCC"/>
    <w:rsid w:val="00572F0E"/>
    <w:rsid w:val="0057472F"/>
    <w:rsid w:val="0057517D"/>
    <w:rsid w:val="0057545B"/>
    <w:rsid w:val="00575576"/>
    <w:rsid w:val="00576264"/>
    <w:rsid w:val="00580FF5"/>
    <w:rsid w:val="0058141C"/>
    <w:rsid w:val="00581C69"/>
    <w:rsid w:val="00584152"/>
    <w:rsid w:val="00585181"/>
    <w:rsid w:val="0058519C"/>
    <w:rsid w:val="00585851"/>
    <w:rsid w:val="0058770D"/>
    <w:rsid w:val="005879E5"/>
    <w:rsid w:val="00587D9A"/>
    <w:rsid w:val="0059021D"/>
    <w:rsid w:val="00590423"/>
    <w:rsid w:val="0059149A"/>
    <w:rsid w:val="00593288"/>
    <w:rsid w:val="00593CF2"/>
    <w:rsid w:val="00595538"/>
    <w:rsid w:val="005956EE"/>
    <w:rsid w:val="00595D70"/>
    <w:rsid w:val="00597DA0"/>
    <w:rsid w:val="005A00C4"/>
    <w:rsid w:val="005A083E"/>
    <w:rsid w:val="005A2D2A"/>
    <w:rsid w:val="005A30E7"/>
    <w:rsid w:val="005A474B"/>
    <w:rsid w:val="005A4F17"/>
    <w:rsid w:val="005A57BA"/>
    <w:rsid w:val="005A5BA4"/>
    <w:rsid w:val="005A6762"/>
    <w:rsid w:val="005A7AE7"/>
    <w:rsid w:val="005B1A38"/>
    <w:rsid w:val="005B389C"/>
    <w:rsid w:val="005B4802"/>
    <w:rsid w:val="005B62E2"/>
    <w:rsid w:val="005B7344"/>
    <w:rsid w:val="005C084A"/>
    <w:rsid w:val="005C14D9"/>
    <w:rsid w:val="005C1D9E"/>
    <w:rsid w:val="005C1EA6"/>
    <w:rsid w:val="005C3A4C"/>
    <w:rsid w:val="005C3BDB"/>
    <w:rsid w:val="005C4896"/>
    <w:rsid w:val="005C4B36"/>
    <w:rsid w:val="005C4FA5"/>
    <w:rsid w:val="005C66E1"/>
    <w:rsid w:val="005C7B88"/>
    <w:rsid w:val="005D0B99"/>
    <w:rsid w:val="005D0EB1"/>
    <w:rsid w:val="005D249E"/>
    <w:rsid w:val="005D268A"/>
    <w:rsid w:val="005D308E"/>
    <w:rsid w:val="005D3978"/>
    <w:rsid w:val="005D3A48"/>
    <w:rsid w:val="005D5E70"/>
    <w:rsid w:val="005D6AB3"/>
    <w:rsid w:val="005D7AF8"/>
    <w:rsid w:val="005E0A88"/>
    <w:rsid w:val="005E17BF"/>
    <w:rsid w:val="005E3463"/>
    <w:rsid w:val="005E366A"/>
    <w:rsid w:val="005E3DDD"/>
    <w:rsid w:val="005E3F5C"/>
    <w:rsid w:val="005E4815"/>
    <w:rsid w:val="005E5913"/>
    <w:rsid w:val="005E6AB5"/>
    <w:rsid w:val="005E752D"/>
    <w:rsid w:val="005E790F"/>
    <w:rsid w:val="005F0FA0"/>
    <w:rsid w:val="005F1432"/>
    <w:rsid w:val="005F14B2"/>
    <w:rsid w:val="005F2145"/>
    <w:rsid w:val="005F39B0"/>
    <w:rsid w:val="005F409D"/>
    <w:rsid w:val="005F40C0"/>
    <w:rsid w:val="005F54CE"/>
    <w:rsid w:val="005F7EED"/>
    <w:rsid w:val="00600C06"/>
    <w:rsid w:val="00600C78"/>
    <w:rsid w:val="006016E1"/>
    <w:rsid w:val="0060194C"/>
    <w:rsid w:val="00602B7F"/>
    <w:rsid w:val="00602BB4"/>
    <w:rsid w:val="00602D27"/>
    <w:rsid w:val="006037B6"/>
    <w:rsid w:val="006057EA"/>
    <w:rsid w:val="0061134B"/>
    <w:rsid w:val="00611A47"/>
    <w:rsid w:val="00611E59"/>
    <w:rsid w:val="00612523"/>
    <w:rsid w:val="00612963"/>
    <w:rsid w:val="006143F4"/>
    <w:rsid w:val="006144A1"/>
    <w:rsid w:val="00615EBB"/>
    <w:rsid w:val="00616096"/>
    <w:rsid w:val="006160A2"/>
    <w:rsid w:val="0062306B"/>
    <w:rsid w:val="006231B6"/>
    <w:rsid w:val="0062437B"/>
    <w:rsid w:val="00626DBD"/>
    <w:rsid w:val="006277CA"/>
    <w:rsid w:val="006302AA"/>
    <w:rsid w:val="00631D03"/>
    <w:rsid w:val="00632642"/>
    <w:rsid w:val="00632C32"/>
    <w:rsid w:val="006342AC"/>
    <w:rsid w:val="00634752"/>
    <w:rsid w:val="006361C9"/>
    <w:rsid w:val="006363BD"/>
    <w:rsid w:val="00636FAB"/>
    <w:rsid w:val="006373F9"/>
    <w:rsid w:val="006412DC"/>
    <w:rsid w:val="006418C7"/>
    <w:rsid w:val="00642274"/>
    <w:rsid w:val="0064295E"/>
    <w:rsid w:val="00642BC6"/>
    <w:rsid w:val="00643626"/>
    <w:rsid w:val="00644790"/>
    <w:rsid w:val="00646363"/>
    <w:rsid w:val="00646730"/>
    <w:rsid w:val="00646BAB"/>
    <w:rsid w:val="006472A6"/>
    <w:rsid w:val="006501AF"/>
    <w:rsid w:val="00650DDE"/>
    <w:rsid w:val="006512CB"/>
    <w:rsid w:val="00652438"/>
    <w:rsid w:val="00653BCF"/>
    <w:rsid w:val="0065505B"/>
    <w:rsid w:val="006550E8"/>
    <w:rsid w:val="00655BA8"/>
    <w:rsid w:val="00656046"/>
    <w:rsid w:val="006628F8"/>
    <w:rsid w:val="00662E2A"/>
    <w:rsid w:val="006634B1"/>
    <w:rsid w:val="006664A0"/>
    <w:rsid w:val="00666A12"/>
    <w:rsid w:val="006670AC"/>
    <w:rsid w:val="00671B90"/>
    <w:rsid w:val="00672307"/>
    <w:rsid w:val="00672D0F"/>
    <w:rsid w:val="00673C37"/>
    <w:rsid w:val="00673E16"/>
    <w:rsid w:val="00674324"/>
    <w:rsid w:val="00674767"/>
    <w:rsid w:val="00674BF2"/>
    <w:rsid w:val="006755CF"/>
    <w:rsid w:val="0067638C"/>
    <w:rsid w:val="006803AA"/>
    <w:rsid w:val="00680501"/>
    <w:rsid w:val="006808C6"/>
    <w:rsid w:val="006815C4"/>
    <w:rsid w:val="0068184C"/>
    <w:rsid w:val="00682222"/>
    <w:rsid w:val="00682668"/>
    <w:rsid w:val="00682914"/>
    <w:rsid w:val="0068386A"/>
    <w:rsid w:val="00684DBF"/>
    <w:rsid w:val="00684FDB"/>
    <w:rsid w:val="00686568"/>
    <w:rsid w:val="00686BEE"/>
    <w:rsid w:val="00686BF1"/>
    <w:rsid w:val="006878A6"/>
    <w:rsid w:val="0069117A"/>
    <w:rsid w:val="00691258"/>
    <w:rsid w:val="00691388"/>
    <w:rsid w:val="00691648"/>
    <w:rsid w:val="00692A68"/>
    <w:rsid w:val="006946AC"/>
    <w:rsid w:val="006949D6"/>
    <w:rsid w:val="00695D85"/>
    <w:rsid w:val="0069635D"/>
    <w:rsid w:val="00697EE1"/>
    <w:rsid w:val="006A02F7"/>
    <w:rsid w:val="006A30A2"/>
    <w:rsid w:val="006A3116"/>
    <w:rsid w:val="006A4AF1"/>
    <w:rsid w:val="006A5A9F"/>
    <w:rsid w:val="006A644D"/>
    <w:rsid w:val="006A667E"/>
    <w:rsid w:val="006A6859"/>
    <w:rsid w:val="006A6D23"/>
    <w:rsid w:val="006A70BA"/>
    <w:rsid w:val="006A7B38"/>
    <w:rsid w:val="006B0DE1"/>
    <w:rsid w:val="006B25DE"/>
    <w:rsid w:val="006B3052"/>
    <w:rsid w:val="006B32B9"/>
    <w:rsid w:val="006B3BE6"/>
    <w:rsid w:val="006B3CCB"/>
    <w:rsid w:val="006B4929"/>
    <w:rsid w:val="006B4D84"/>
    <w:rsid w:val="006B5187"/>
    <w:rsid w:val="006B60A8"/>
    <w:rsid w:val="006B6117"/>
    <w:rsid w:val="006B690D"/>
    <w:rsid w:val="006B6F78"/>
    <w:rsid w:val="006C0221"/>
    <w:rsid w:val="006C1C3B"/>
    <w:rsid w:val="006C3067"/>
    <w:rsid w:val="006C4A29"/>
    <w:rsid w:val="006C4E43"/>
    <w:rsid w:val="006C643E"/>
    <w:rsid w:val="006D2932"/>
    <w:rsid w:val="006D3671"/>
    <w:rsid w:val="006D3CEE"/>
    <w:rsid w:val="006D4176"/>
    <w:rsid w:val="006D60E9"/>
    <w:rsid w:val="006D6190"/>
    <w:rsid w:val="006D6434"/>
    <w:rsid w:val="006D70AB"/>
    <w:rsid w:val="006D75DE"/>
    <w:rsid w:val="006E03C1"/>
    <w:rsid w:val="006E0A73"/>
    <w:rsid w:val="006E0AA9"/>
    <w:rsid w:val="006E0FEE"/>
    <w:rsid w:val="006E1E69"/>
    <w:rsid w:val="006E492C"/>
    <w:rsid w:val="006E4FFA"/>
    <w:rsid w:val="006E559A"/>
    <w:rsid w:val="006E6118"/>
    <w:rsid w:val="006E6A61"/>
    <w:rsid w:val="006E6C11"/>
    <w:rsid w:val="006F05BA"/>
    <w:rsid w:val="006F0CB9"/>
    <w:rsid w:val="006F2A7E"/>
    <w:rsid w:val="006F376F"/>
    <w:rsid w:val="006F4DBB"/>
    <w:rsid w:val="006F7956"/>
    <w:rsid w:val="006F7C0C"/>
    <w:rsid w:val="00700755"/>
    <w:rsid w:val="0070334E"/>
    <w:rsid w:val="00704600"/>
    <w:rsid w:val="0070464C"/>
    <w:rsid w:val="00704DE3"/>
    <w:rsid w:val="0070554E"/>
    <w:rsid w:val="0070646B"/>
    <w:rsid w:val="00706BBB"/>
    <w:rsid w:val="00707E25"/>
    <w:rsid w:val="00710338"/>
    <w:rsid w:val="007117EF"/>
    <w:rsid w:val="007130A2"/>
    <w:rsid w:val="007139A2"/>
    <w:rsid w:val="00715463"/>
    <w:rsid w:val="007209F0"/>
    <w:rsid w:val="00721150"/>
    <w:rsid w:val="007222F9"/>
    <w:rsid w:val="00722D2A"/>
    <w:rsid w:val="00723A74"/>
    <w:rsid w:val="00725F94"/>
    <w:rsid w:val="007264BE"/>
    <w:rsid w:val="007272A4"/>
    <w:rsid w:val="00730655"/>
    <w:rsid w:val="00731D77"/>
    <w:rsid w:val="00732360"/>
    <w:rsid w:val="00733314"/>
    <w:rsid w:val="0073390A"/>
    <w:rsid w:val="00733E15"/>
    <w:rsid w:val="00734E64"/>
    <w:rsid w:val="007357B1"/>
    <w:rsid w:val="00735D1C"/>
    <w:rsid w:val="00736B37"/>
    <w:rsid w:val="00736CCA"/>
    <w:rsid w:val="007378BB"/>
    <w:rsid w:val="00740A35"/>
    <w:rsid w:val="00741DCE"/>
    <w:rsid w:val="00741FD6"/>
    <w:rsid w:val="0074304E"/>
    <w:rsid w:val="0074450C"/>
    <w:rsid w:val="00746164"/>
    <w:rsid w:val="00747248"/>
    <w:rsid w:val="007500CF"/>
    <w:rsid w:val="00751156"/>
    <w:rsid w:val="007520B4"/>
    <w:rsid w:val="00752292"/>
    <w:rsid w:val="0075263B"/>
    <w:rsid w:val="00752D01"/>
    <w:rsid w:val="00756566"/>
    <w:rsid w:val="0076043B"/>
    <w:rsid w:val="007613F4"/>
    <w:rsid w:val="007614F8"/>
    <w:rsid w:val="007617E4"/>
    <w:rsid w:val="00761C1E"/>
    <w:rsid w:val="007622D1"/>
    <w:rsid w:val="007625ED"/>
    <w:rsid w:val="00763D01"/>
    <w:rsid w:val="007643AB"/>
    <w:rsid w:val="007655D5"/>
    <w:rsid w:val="00766EE0"/>
    <w:rsid w:val="00771610"/>
    <w:rsid w:val="007734A4"/>
    <w:rsid w:val="00773F7D"/>
    <w:rsid w:val="007741BA"/>
    <w:rsid w:val="00774429"/>
    <w:rsid w:val="007763C1"/>
    <w:rsid w:val="00777137"/>
    <w:rsid w:val="007774A1"/>
    <w:rsid w:val="00777570"/>
    <w:rsid w:val="00777E82"/>
    <w:rsid w:val="00780951"/>
    <w:rsid w:val="00780DFD"/>
    <w:rsid w:val="00781359"/>
    <w:rsid w:val="00781470"/>
    <w:rsid w:val="00783426"/>
    <w:rsid w:val="00783FD2"/>
    <w:rsid w:val="00785566"/>
    <w:rsid w:val="00785B86"/>
    <w:rsid w:val="00786921"/>
    <w:rsid w:val="0078715E"/>
    <w:rsid w:val="007901E8"/>
    <w:rsid w:val="00791947"/>
    <w:rsid w:val="00792755"/>
    <w:rsid w:val="00792C04"/>
    <w:rsid w:val="00792F83"/>
    <w:rsid w:val="007938E4"/>
    <w:rsid w:val="00793EAE"/>
    <w:rsid w:val="00794053"/>
    <w:rsid w:val="00795506"/>
    <w:rsid w:val="00796F26"/>
    <w:rsid w:val="007A0FB3"/>
    <w:rsid w:val="007A1EAA"/>
    <w:rsid w:val="007A3EB4"/>
    <w:rsid w:val="007A451F"/>
    <w:rsid w:val="007A5EE7"/>
    <w:rsid w:val="007A757C"/>
    <w:rsid w:val="007A79FD"/>
    <w:rsid w:val="007B048F"/>
    <w:rsid w:val="007B0B9D"/>
    <w:rsid w:val="007B0C51"/>
    <w:rsid w:val="007B0EAB"/>
    <w:rsid w:val="007B0ED5"/>
    <w:rsid w:val="007B11F1"/>
    <w:rsid w:val="007B1EAB"/>
    <w:rsid w:val="007B26E3"/>
    <w:rsid w:val="007B27B9"/>
    <w:rsid w:val="007B2ED8"/>
    <w:rsid w:val="007B3690"/>
    <w:rsid w:val="007B3A95"/>
    <w:rsid w:val="007B5A43"/>
    <w:rsid w:val="007B6076"/>
    <w:rsid w:val="007B691C"/>
    <w:rsid w:val="007B6C78"/>
    <w:rsid w:val="007B709B"/>
    <w:rsid w:val="007C03BB"/>
    <w:rsid w:val="007C0A37"/>
    <w:rsid w:val="007C1343"/>
    <w:rsid w:val="007C2BA0"/>
    <w:rsid w:val="007C2EA6"/>
    <w:rsid w:val="007C51C2"/>
    <w:rsid w:val="007C5EF1"/>
    <w:rsid w:val="007C7BF5"/>
    <w:rsid w:val="007D0150"/>
    <w:rsid w:val="007D042C"/>
    <w:rsid w:val="007D19B7"/>
    <w:rsid w:val="007D2926"/>
    <w:rsid w:val="007D32E9"/>
    <w:rsid w:val="007D3C25"/>
    <w:rsid w:val="007D5CA1"/>
    <w:rsid w:val="007D75E5"/>
    <w:rsid w:val="007D7644"/>
    <w:rsid w:val="007D773E"/>
    <w:rsid w:val="007E066E"/>
    <w:rsid w:val="007E1356"/>
    <w:rsid w:val="007E1D29"/>
    <w:rsid w:val="007E20FC"/>
    <w:rsid w:val="007E2D27"/>
    <w:rsid w:val="007E2EC1"/>
    <w:rsid w:val="007E5576"/>
    <w:rsid w:val="007E67A8"/>
    <w:rsid w:val="007E7062"/>
    <w:rsid w:val="007F0D97"/>
    <w:rsid w:val="007F0E1E"/>
    <w:rsid w:val="007F0E20"/>
    <w:rsid w:val="007F1ED7"/>
    <w:rsid w:val="007F29A7"/>
    <w:rsid w:val="007F3A82"/>
    <w:rsid w:val="007F58DE"/>
    <w:rsid w:val="007F755F"/>
    <w:rsid w:val="008004B4"/>
    <w:rsid w:val="008026E3"/>
    <w:rsid w:val="00802A27"/>
    <w:rsid w:val="00803B20"/>
    <w:rsid w:val="00805BE8"/>
    <w:rsid w:val="00806FD5"/>
    <w:rsid w:val="00811CF5"/>
    <w:rsid w:val="00812811"/>
    <w:rsid w:val="00813AF9"/>
    <w:rsid w:val="008151FF"/>
    <w:rsid w:val="00815654"/>
    <w:rsid w:val="00816078"/>
    <w:rsid w:val="008177E3"/>
    <w:rsid w:val="008202AA"/>
    <w:rsid w:val="00823AA9"/>
    <w:rsid w:val="00823B83"/>
    <w:rsid w:val="00824A26"/>
    <w:rsid w:val="00824D9B"/>
    <w:rsid w:val="008255B9"/>
    <w:rsid w:val="0082572D"/>
    <w:rsid w:val="00825CD8"/>
    <w:rsid w:val="00827324"/>
    <w:rsid w:val="00830DDF"/>
    <w:rsid w:val="00832C1D"/>
    <w:rsid w:val="0083319A"/>
    <w:rsid w:val="008352B6"/>
    <w:rsid w:val="008355C8"/>
    <w:rsid w:val="008355EA"/>
    <w:rsid w:val="00836148"/>
    <w:rsid w:val="00837458"/>
    <w:rsid w:val="008379B2"/>
    <w:rsid w:val="00837AAE"/>
    <w:rsid w:val="0084053F"/>
    <w:rsid w:val="00840DCB"/>
    <w:rsid w:val="00842891"/>
    <w:rsid w:val="008428AB"/>
    <w:rsid w:val="008429AD"/>
    <w:rsid w:val="008429DB"/>
    <w:rsid w:val="00844176"/>
    <w:rsid w:val="008444FC"/>
    <w:rsid w:val="00845188"/>
    <w:rsid w:val="00846569"/>
    <w:rsid w:val="00846AAB"/>
    <w:rsid w:val="00846E86"/>
    <w:rsid w:val="0085009E"/>
    <w:rsid w:val="00850390"/>
    <w:rsid w:val="00850C75"/>
    <w:rsid w:val="00850E39"/>
    <w:rsid w:val="0085152F"/>
    <w:rsid w:val="0085185F"/>
    <w:rsid w:val="0085214D"/>
    <w:rsid w:val="00852F8A"/>
    <w:rsid w:val="00853C5A"/>
    <w:rsid w:val="00853DA2"/>
    <w:rsid w:val="008543BD"/>
    <w:rsid w:val="0085477A"/>
    <w:rsid w:val="00855107"/>
    <w:rsid w:val="00855173"/>
    <w:rsid w:val="00855622"/>
    <w:rsid w:val="008557D9"/>
    <w:rsid w:val="00855BF7"/>
    <w:rsid w:val="00856214"/>
    <w:rsid w:val="00856A26"/>
    <w:rsid w:val="0086001F"/>
    <w:rsid w:val="00861B33"/>
    <w:rsid w:val="00862089"/>
    <w:rsid w:val="008631E4"/>
    <w:rsid w:val="00864D8B"/>
    <w:rsid w:val="008652AA"/>
    <w:rsid w:val="00865322"/>
    <w:rsid w:val="008662EC"/>
    <w:rsid w:val="008669F5"/>
    <w:rsid w:val="00866D5B"/>
    <w:rsid w:val="00866D8E"/>
    <w:rsid w:val="00866FF5"/>
    <w:rsid w:val="0087029F"/>
    <w:rsid w:val="00870BF1"/>
    <w:rsid w:val="008714E1"/>
    <w:rsid w:val="008715CA"/>
    <w:rsid w:val="008716DC"/>
    <w:rsid w:val="0087332D"/>
    <w:rsid w:val="00873E1F"/>
    <w:rsid w:val="00874C16"/>
    <w:rsid w:val="00875012"/>
    <w:rsid w:val="008751F6"/>
    <w:rsid w:val="008764AB"/>
    <w:rsid w:val="00876791"/>
    <w:rsid w:val="008805DE"/>
    <w:rsid w:val="008806DB"/>
    <w:rsid w:val="008823CC"/>
    <w:rsid w:val="0088371C"/>
    <w:rsid w:val="00884488"/>
    <w:rsid w:val="00884F4F"/>
    <w:rsid w:val="00885DF5"/>
    <w:rsid w:val="008863DB"/>
    <w:rsid w:val="008866BE"/>
    <w:rsid w:val="00886B81"/>
    <w:rsid w:val="00886D1F"/>
    <w:rsid w:val="00887297"/>
    <w:rsid w:val="00887AD1"/>
    <w:rsid w:val="008905B7"/>
    <w:rsid w:val="00891EE1"/>
    <w:rsid w:val="00893408"/>
    <w:rsid w:val="00893987"/>
    <w:rsid w:val="0089431B"/>
    <w:rsid w:val="00894A5E"/>
    <w:rsid w:val="0089507A"/>
    <w:rsid w:val="00896266"/>
    <w:rsid w:val="008963EF"/>
    <w:rsid w:val="0089688E"/>
    <w:rsid w:val="008A02E7"/>
    <w:rsid w:val="008A05AA"/>
    <w:rsid w:val="008A1110"/>
    <w:rsid w:val="008A1437"/>
    <w:rsid w:val="008A1FBE"/>
    <w:rsid w:val="008A5BBA"/>
    <w:rsid w:val="008A7082"/>
    <w:rsid w:val="008A713F"/>
    <w:rsid w:val="008A78F4"/>
    <w:rsid w:val="008B0173"/>
    <w:rsid w:val="008B1A69"/>
    <w:rsid w:val="008B1F9F"/>
    <w:rsid w:val="008B2555"/>
    <w:rsid w:val="008B3194"/>
    <w:rsid w:val="008B4564"/>
    <w:rsid w:val="008B5664"/>
    <w:rsid w:val="008B5AE7"/>
    <w:rsid w:val="008B64E8"/>
    <w:rsid w:val="008B689C"/>
    <w:rsid w:val="008B6AAE"/>
    <w:rsid w:val="008B6F22"/>
    <w:rsid w:val="008C1073"/>
    <w:rsid w:val="008C134A"/>
    <w:rsid w:val="008C1608"/>
    <w:rsid w:val="008C1EB3"/>
    <w:rsid w:val="008C21D1"/>
    <w:rsid w:val="008C5476"/>
    <w:rsid w:val="008C5E72"/>
    <w:rsid w:val="008C60E9"/>
    <w:rsid w:val="008D12AD"/>
    <w:rsid w:val="008D1B7C"/>
    <w:rsid w:val="008D1E52"/>
    <w:rsid w:val="008D1E82"/>
    <w:rsid w:val="008D3C86"/>
    <w:rsid w:val="008D44C7"/>
    <w:rsid w:val="008D5201"/>
    <w:rsid w:val="008D5CE8"/>
    <w:rsid w:val="008D6657"/>
    <w:rsid w:val="008E1F60"/>
    <w:rsid w:val="008E231B"/>
    <w:rsid w:val="008E307E"/>
    <w:rsid w:val="008E4D0C"/>
    <w:rsid w:val="008E5191"/>
    <w:rsid w:val="008E6F28"/>
    <w:rsid w:val="008F15E9"/>
    <w:rsid w:val="008F16D5"/>
    <w:rsid w:val="008F24CE"/>
    <w:rsid w:val="008F4DD1"/>
    <w:rsid w:val="008F6056"/>
    <w:rsid w:val="008F7B1A"/>
    <w:rsid w:val="008F7EC3"/>
    <w:rsid w:val="009002E3"/>
    <w:rsid w:val="0090145F"/>
    <w:rsid w:val="00902C07"/>
    <w:rsid w:val="009030C3"/>
    <w:rsid w:val="009040FC"/>
    <w:rsid w:val="00904856"/>
    <w:rsid w:val="00905804"/>
    <w:rsid w:val="0090680D"/>
    <w:rsid w:val="00906893"/>
    <w:rsid w:val="00907618"/>
    <w:rsid w:val="009101E2"/>
    <w:rsid w:val="00910847"/>
    <w:rsid w:val="00911067"/>
    <w:rsid w:val="00912AD8"/>
    <w:rsid w:val="00912C33"/>
    <w:rsid w:val="009142EB"/>
    <w:rsid w:val="00915D73"/>
    <w:rsid w:val="00916077"/>
    <w:rsid w:val="009160BE"/>
    <w:rsid w:val="0091696A"/>
    <w:rsid w:val="009170A2"/>
    <w:rsid w:val="00920013"/>
    <w:rsid w:val="009208A6"/>
    <w:rsid w:val="00922175"/>
    <w:rsid w:val="00924514"/>
    <w:rsid w:val="0092493D"/>
    <w:rsid w:val="00925423"/>
    <w:rsid w:val="00927316"/>
    <w:rsid w:val="00930FBA"/>
    <w:rsid w:val="0093133D"/>
    <w:rsid w:val="00931559"/>
    <w:rsid w:val="0093276D"/>
    <w:rsid w:val="00933D12"/>
    <w:rsid w:val="0093596A"/>
    <w:rsid w:val="00935A07"/>
    <w:rsid w:val="00937065"/>
    <w:rsid w:val="00940096"/>
    <w:rsid w:val="00940285"/>
    <w:rsid w:val="009415B0"/>
    <w:rsid w:val="00941C9D"/>
    <w:rsid w:val="00943778"/>
    <w:rsid w:val="00946C5E"/>
    <w:rsid w:val="00947698"/>
    <w:rsid w:val="0094772C"/>
    <w:rsid w:val="0094772E"/>
    <w:rsid w:val="00947E7E"/>
    <w:rsid w:val="0095139A"/>
    <w:rsid w:val="00952073"/>
    <w:rsid w:val="009524B0"/>
    <w:rsid w:val="00953301"/>
    <w:rsid w:val="00953E16"/>
    <w:rsid w:val="009542AC"/>
    <w:rsid w:val="00954680"/>
    <w:rsid w:val="00954801"/>
    <w:rsid w:val="00955D8C"/>
    <w:rsid w:val="00956E36"/>
    <w:rsid w:val="00957E5F"/>
    <w:rsid w:val="00961BB2"/>
    <w:rsid w:val="00961FAB"/>
    <w:rsid w:val="00962108"/>
    <w:rsid w:val="00962C4B"/>
    <w:rsid w:val="009638D6"/>
    <w:rsid w:val="00964B2D"/>
    <w:rsid w:val="00966A0D"/>
    <w:rsid w:val="009704A3"/>
    <w:rsid w:val="00971E35"/>
    <w:rsid w:val="00972193"/>
    <w:rsid w:val="009732A6"/>
    <w:rsid w:val="0097408E"/>
    <w:rsid w:val="00974354"/>
    <w:rsid w:val="00974BB2"/>
    <w:rsid w:val="00974FA7"/>
    <w:rsid w:val="009756E5"/>
    <w:rsid w:val="0097627B"/>
    <w:rsid w:val="00976D2A"/>
    <w:rsid w:val="00976EBA"/>
    <w:rsid w:val="00976EE0"/>
    <w:rsid w:val="00977431"/>
    <w:rsid w:val="00977A8C"/>
    <w:rsid w:val="0098019A"/>
    <w:rsid w:val="00980ACF"/>
    <w:rsid w:val="0098100A"/>
    <w:rsid w:val="00981817"/>
    <w:rsid w:val="0098200B"/>
    <w:rsid w:val="00982780"/>
    <w:rsid w:val="00982AE4"/>
    <w:rsid w:val="00983614"/>
    <w:rsid w:val="00983910"/>
    <w:rsid w:val="00983C07"/>
    <w:rsid w:val="0098450A"/>
    <w:rsid w:val="009848EF"/>
    <w:rsid w:val="00986C3D"/>
    <w:rsid w:val="00987889"/>
    <w:rsid w:val="00990987"/>
    <w:rsid w:val="00990BB3"/>
    <w:rsid w:val="0099142B"/>
    <w:rsid w:val="00992977"/>
    <w:rsid w:val="00992C04"/>
    <w:rsid w:val="009932AC"/>
    <w:rsid w:val="0099340B"/>
    <w:rsid w:val="009934C5"/>
    <w:rsid w:val="00994159"/>
    <w:rsid w:val="00994351"/>
    <w:rsid w:val="0099554F"/>
    <w:rsid w:val="00996460"/>
    <w:rsid w:val="00996A8F"/>
    <w:rsid w:val="00997308"/>
    <w:rsid w:val="00997685"/>
    <w:rsid w:val="00997686"/>
    <w:rsid w:val="00997E98"/>
    <w:rsid w:val="009A1A94"/>
    <w:rsid w:val="009A1C69"/>
    <w:rsid w:val="009A1DBF"/>
    <w:rsid w:val="009A2758"/>
    <w:rsid w:val="009A29BC"/>
    <w:rsid w:val="009A2D6F"/>
    <w:rsid w:val="009A449D"/>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5418"/>
    <w:rsid w:val="009B5529"/>
    <w:rsid w:val="009B5B9D"/>
    <w:rsid w:val="009B61B4"/>
    <w:rsid w:val="009B6E68"/>
    <w:rsid w:val="009B6FCC"/>
    <w:rsid w:val="009C0727"/>
    <w:rsid w:val="009C1B99"/>
    <w:rsid w:val="009C20BC"/>
    <w:rsid w:val="009C26F4"/>
    <w:rsid w:val="009C278C"/>
    <w:rsid w:val="009C3C80"/>
    <w:rsid w:val="009C4325"/>
    <w:rsid w:val="009C492F"/>
    <w:rsid w:val="009C5FE4"/>
    <w:rsid w:val="009C6D6B"/>
    <w:rsid w:val="009D2278"/>
    <w:rsid w:val="009D2FF2"/>
    <w:rsid w:val="009D3226"/>
    <w:rsid w:val="009D3385"/>
    <w:rsid w:val="009D39A6"/>
    <w:rsid w:val="009D4AD9"/>
    <w:rsid w:val="009D504C"/>
    <w:rsid w:val="009D5539"/>
    <w:rsid w:val="009D56D4"/>
    <w:rsid w:val="009D57DA"/>
    <w:rsid w:val="009D59E6"/>
    <w:rsid w:val="009D78C2"/>
    <w:rsid w:val="009D793C"/>
    <w:rsid w:val="009E0719"/>
    <w:rsid w:val="009E16A9"/>
    <w:rsid w:val="009E1AC1"/>
    <w:rsid w:val="009E1B7B"/>
    <w:rsid w:val="009E2659"/>
    <w:rsid w:val="009E2C47"/>
    <w:rsid w:val="009E3615"/>
    <w:rsid w:val="009E375F"/>
    <w:rsid w:val="009E39D4"/>
    <w:rsid w:val="009E3A42"/>
    <w:rsid w:val="009E41FC"/>
    <w:rsid w:val="009E433B"/>
    <w:rsid w:val="009E5401"/>
    <w:rsid w:val="009E60EC"/>
    <w:rsid w:val="009E6CB1"/>
    <w:rsid w:val="009F02D0"/>
    <w:rsid w:val="009F0BD8"/>
    <w:rsid w:val="009F0C68"/>
    <w:rsid w:val="009F2769"/>
    <w:rsid w:val="009F3ECC"/>
    <w:rsid w:val="009F551B"/>
    <w:rsid w:val="009F7A36"/>
    <w:rsid w:val="00A00543"/>
    <w:rsid w:val="00A013C1"/>
    <w:rsid w:val="00A0215D"/>
    <w:rsid w:val="00A02688"/>
    <w:rsid w:val="00A02D0C"/>
    <w:rsid w:val="00A0657A"/>
    <w:rsid w:val="00A0758F"/>
    <w:rsid w:val="00A07B51"/>
    <w:rsid w:val="00A07C7E"/>
    <w:rsid w:val="00A10F21"/>
    <w:rsid w:val="00A1123B"/>
    <w:rsid w:val="00A11A80"/>
    <w:rsid w:val="00A12458"/>
    <w:rsid w:val="00A1293A"/>
    <w:rsid w:val="00A13AC4"/>
    <w:rsid w:val="00A14980"/>
    <w:rsid w:val="00A1570A"/>
    <w:rsid w:val="00A17866"/>
    <w:rsid w:val="00A211B4"/>
    <w:rsid w:val="00A21FED"/>
    <w:rsid w:val="00A223CF"/>
    <w:rsid w:val="00A2248D"/>
    <w:rsid w:val="00A24D46"/>
    <w:rsid w:val="00A26DDE"/>
    <w:rsid w:val="00A302D4"/>
    <w:rsid w:val="00A32E40"/>
    <w:rsid w:val="00A32E4C"/>
    <w:rsid w:val="00A33926"/>
    <w:rsid w:val="00A33DDF"/>
    <w:rsid w:val="00A33F5A"/>
    <w:rsid w:val="00A34547"/>
    <w:rsid w:val="00A36323"/>
    <w:rsid w:val="00A36409"/>
    <w:rsid w:val="00A36448"/>
    <w:rsid w:val="00A376B7"/>
    <w:rsid w:val="00A40465"/>
    <w:rsid w:val="00A40F4B"/>
    <w:rsid w:val="00A41BF5"/>
    <w:rsid w:val="00A41EB1"/>
    <w:rsid w:val="00A446D7"/>
    <w:rsid w:val="00A44778"/>
    <w:rsid w:val="00A469E7"/>
    <w:rsid w:val="00A50C3B"/>
    <w:rsid w:val="00A54B64"/>
    <w:rsid w:val="00A559F0"/>
    <w:rsid w:val="00A55C9F"/>
    <w:rsid w:val="00A57FAA"/>
    <w:rsid w:val="00A60066"/>
    <w:rsid w:val="00A6017F"/>
    <w:rsid w:val="00A604A4"/>
    <w:rsid w:val="00A60CFA"/>
    <w:rsid w:val="00A61B7D"/>
    <w:rsid w:val="00A622AB"/>
    <w:rsid w:val="00A6314F"/>
    <w:rsid w:val="00A63B73"/>
    <w:rsid w:val="00A6483D"/>
    <w:rsid w:val="00A64B69"/>
    <w:rsid w:val="00A65426"/>
    <w:rsid w:val="00A6558B"/>
    <w:rsid w:val="00A657B3"/>
    <w:rsid w:val="00A65840"/>
    <w:rsid w:val="00A6605B"/>
    <w:rsid w:val="00A66ADC"/>
    <w:rsid w:val="00A67839"/>
    <w:rsid w:val="00A67A0A"/>
    <w:rsid w:val="00A70027"/>
    <w:rsid w:val="00A713A5"/>
    <w:rsid w:val="00A7147D"/>
    <w:rsid w:val="00A71498"/>
    <w:rsid w:val="00A72DCF"/>
    <w:rsid w:val="00A730DA"/>
    <w:rsid w:val="00A738FC"/>
    <w:rsid w:val="00A75AA9"/>
    <w:rsid w:val="00A76CC8"/>
    <w:rsid w:val="00A77D09"/>
    <w:rsid w:val="00A81523"/>
    <w:rsid w:val="00A81B15"/>
    <w:rsid w:val="00A8211F"/>
    <w:rsid w:val="00A83340"/>
    <w:rsid w:val="00A835B3"/>
    <w:rsid w:val="00A837FF"/>
    <w:rsid w:val="00A83FC9"/>
    <w:rsid w:val="00A84052"/>
    <w:rsid w:val="00A8454C"/>
    <w:rsid w:val="00A84DC8"/>
    <w:rsid w:val="00A856D3"/>
    <w:rsid w:val="00A85DBC"/>
    <w:rsid w:val="00A874B4"/>
    <w:rsid w:val="00A87FEB"/>
    <w:rsid w:val="00A9214D"/>
    <w:rsid w:val="00A93F9F"/>
    <w:rsid w:val="00A9420E"/>
    <w:rsid w:val="00A96E12"/>
    <w:rsid w:val="00A97648"/>
    <w:rsid w:val="00AA03E9"/>
    <w:rsid w:val="00AA1268"/>
    <w:rsid w:val="00AA1CFD"/>
    <w:rsid w:val="00AA2239"/>
    <w:rsid w:val="00AA26B3"/>
    <w:rsid w:val="00AA33D2"/>
    <w:rsid w:val="00AA5B15"/>
    <w:rsid w:val="00AA6221"/>
    <w:rsid w:val="00AA6718"/>
    <w:rsid w:val="00AA6D0D"/>
    <w:rsid w:val="00AA73EC"/>
    <w:rsid w:val="00AA78C5"/>
    <w:rsid w:val="00AA7E38"/>
    <w:rsid w:val="00AB0C57"/>
    <w:rsid w:val="00AB1195"/>
    <w:rsid w:val="00AB1807"/>
    <w:rsid w:val="00AB1B00"/>
    <w:rsid w:val="00AB3293"/>
    <w:rsid w:val="00AB4182"/>
    <w:rsid w:val="00AB5E5E"/>
    <w:rsid w:val="00AB6BF7"/>
    <w:rsid w:val="00AB7799"/>
    <w:rsid w:val="00AB7D49"/>
    <w:rsid w:val="00AC01CF"/>
    <w:rsid w:val="00AC228B"/>
    <w:rsid w:val="00AC27DB"/>
    <w:rsid w:val="00AC37F0"/>
    <w:rsid w:val="00AC528D"/>
    <w:rsid w:val="00AC61DD"/>
    <w:rsid w:val="00AC6D6B"/>
    <w:rsid w:val="00AC75A8"/>
    <w:rsid w:val="00AD00C2"/>
    <w:rsid w:val="00AD0691"/>
    <w:rsid w:val="00AD0F2D"/>
    <w:rsid w:val="00AD1DD9"/>
    <w:rsid w:val="00AD61C6"/>
    <w:rsid w:val="00AD69C8"/>
    <w:rsid w:val="00AD7736"/>
    <w:rsid w:val="00AD79E1"/>
    <w:rsid w:val="00AE10CE"/>
    <w:rsid w:val="00AE127B"/>
    <w:rsid w:val="00AE2482"/>
    <w:rsid w:val="00AE4B58"/>
    <w:rsid w:val="00AE4FDD"/>
    <w:rsid w:val="00AE5A4A"/>
    <w:rsid w:val="00AE6F5F"/>
    <w:rsid w:val="00AE70D4"/>
    <w:rsid w:val="00AE717E"/>
    <w:rsid w:val="00AE7325"/>
    <w:rsid w:val="00AE7868"/>
    <w:rsid w:val="00AF0407"/>
    <w:rsid w:val="00AF049B"/>
    <w:rsid w:val="00AF0C2D"/>
    <w:rsid w:val="00AF16B4"/>
    <w:rsid w:val="00AF3132"/>
    <w:rsid w:val="00AF3F63"/>
    <w:rsid w:val="00AF403C"/>
    <w:rsid w:val="00AF45CC"/>
    <w:rsid w:val="00AF4D8B"/>
    <w:rsid w:val="00AF7FF5"/>
    <w:rsid w:val="00B00897"/>
    <w:rsid w:val="00B01750"/>
    <w:rsid w:val="00B01B99"/>
    <w:rsid w:val="00B0266F"/>
    <w:rsid w:val="00B0278F"/>
    <w:rsid w:val="00B02888"/>
    <w:rsid w:val="00B03055"/>
    <w:rsid w:val="00B0381F"/>
    <w:rsid w:val="00B03FB2"/>
    <w:rsid w:val="00B0402A"/>
    <w:rsid w:val="00B0434B"/>
    <w:rsid w:val="00B04B90"/>
    <w:rsid w:val="00B04D3B"/>
    <w:rsid w:val="00B051AC"/>
    <w:rsid w:val="00B067CA"/>
    <w:rsid w:val="00B07D85"/>
    <w:rsid w:val="00B10A2F"/>
    <w:rsid w:val="00B10FB3"/>
    <w:rsid w:val="00B112AB"/>
    <w:rsid w:val="00B1254D"/>
    <w:rsid w:val="00B12B26"/>
    <w:rsid w:val="00B141E3"/>
    <w:rsid w:val="00B163F8"/>
    <w:rsid w:val="00B20FEF"/>
    <w:rsid w:val="00B20FFE"/>
    <w:rsid w:val="00B2330B"/>
    <w:rsid w:val="00B235DC"/>
    <w:rsid w:val="00B23DA7"/>
    <w:rsid w:val="00B24165"/>
    <w:rsid w:val="00B2434E"/>
    <w:rsid w:val="00B2472D"/>
    <w:rsid w:val="00B2483D"/>
    <w:rsid w:val="00B24CA0"/>
    <w:rsid w:val="00B2549F"/>
    <w:rsid w:val="00B262D2"/>
    <w:rsid w:val="00B26E74"/>
    <w:rsid w:val="00B278AE"/>
    <w:rsid w:val="00B27A2B"/>
    <w:rsid w:val="00B31355"/>
    <w:rsid w:val="00B32AE4"/>
    <w:rsid w:val="00B32C5E"/>
    <w:rsid w:val="00B32D04"/>
    <w:rsid w:val="00B3338E"/>
    <w:rsid w:val="00B339B9"/>
    <w:rsid w:val="00B34278"/>
    <w:rsid w:val="00B3786B"/>
    <w:rsid w:val="00B4010B"/>
    <w:rsid w:val="00B4108D"/>
    <w:rsid w:val="00B4197E"/>
    <w:rsid w:val="00B43087"/>
    <w:rsid w:val="00B43B42"/>
    <w:rsid w:val="00B4584F"/>
    <w:rsid w:val="00B46160"/>
    <w:rsid w:val="00B46988"/>
    <w:rsid w:val="00B47958"/>
    <w:rsid w:val="00B50A1D"/>
    <w:rsid w:val="00B50B4D"/>
    <w:rsid w:val="00B50C05"/>
    <w:rsid w:val="00B51E21"/>
    <w:rsid w:val="00B5327B"/>
    <w:rsid w:val="00B56B9D"/>
    <w:rsid w:val="00B57265"/>
    <w:rsid w:val="00B57773"/>
    <w:rsid w:val="00B60EB4"/>
    <w:rsid w:val="00B633AE"/>
    <w:rsid w:val="00B63E03"/>
    <w:rsid w:val="00B650A7"/>
    <w:rsid w:val="00B65774"/>
    <w:rsid w:val="00B65E64"/>
    <w:rsid w:val="00B665D2"/>
    <w:rsid w:val="00B66F7E"/>
    <w:rsid w:val="00B6737C"/>
    <w:rsid w:val="00B67F19"/>
    <w:rsid w:val="00B704B5"/>
    <w:rsid w:val="00B71AE2"/>
    <w:rsid w:val="00B7214D"/>
    <w:rsid w:val="00B72A0D"/>
    <w:rsid w:val="00B73407"/>
    <w:rsid w:val="00B73E08"/>
    <w:rsid w:val="00B74169"/>
    <w:rsid w:val="00B7425A"/>
    <w:rsid w:val="00B74372"/>
    <w:rsid w:val="00B75525"/>
    <w:rsid w:val="00B756CE"/>
    <w:rsid w:val="00B77698"/>
    <w:rsid w:val="00B80283"/>
    <w:rsid w:val="00B8095F"/>
    <w:rsid w:val="00B80B0C"/>
    <w:rsid w:val="00B80B11"/>
    <w:rsid w:val="00B81E73"/>
    <w:rsid w:val="00B831AE"/>
    <w:rsid w:val="00B83606"/>
    <w:rsid w:val="00B8446C"/>
    <w:rsid w:val="00B8472B"/>
    <w:rsid w:val="00B84BE9"/>
    <w:rsid w:val="00B84DF9"/>
    <w:rsid w:val="00B860CA"/>
    <w:rsid w:val="00B872F2"/>
    <w:rsid w:val="00B87725"/>
    <w:rsid w:val="00B91C6D"/>
    <w:rsid w:val="00B9301B"/>
    <w:rsid w:val="00B93546"/>
    <w:rsid w:val="00B935B6"/>
    <w:rsid w:val="00B946E1"/>
    <w:rsid w:val="00B94DD3"/>
    <w:rsid w:val="00B94E7A"/>
    <w:rsid w:val="00B95D5A"/>
    <w:rsid w:val="00BA259A"/>
    <w:rsid w:val="00BA259C"/>
    <w:rsid w:val="00BA29D3"/>
    <w:rsid w:val="00BA302B"/>
    <w:rsid w:val="00BA307F"/>
    <w:rsid w:val="00BA3697"/>
    <w:rsid w:val="00BA3734"/>
    <w:rsid w:val="00BA3927"/>
    <w:rsid w:val="00BA475A"/>
    <w:rsid w:val="00BA5280"/>
    <w:rsid w:val="00BA74C9"/>
    <w:rsid w:val="00BA7683"/>
    <w:rsid w:val="00BB017A"/>
    <w:rsid w:val="00BB06E0"/>
    <w:rsid w:val="00BB14F1"/>
    <w:rsid w:val="00BB2BAC"/>
    <w:rsid w:val="00BB572E"/>
    <w:rsid w:val="00BB663C"/>
    <w:rsid w:val="00BB6DAF"/>
    <w:rsid w:val="00BB7381"/>
    <w:rsid w:val="00BB74FD"/>
    <w:rsid w:val="00BB7E7F"/>
    <w:rsid w:val="00BC016B"/>
    <w:rsid w:val="00BC11B0"/>
    <w:rsid w:val="00BC229A"/>
    <w:rsid w:val="00BC236D"/>
    <w:rsid w:val="00BC3196"/>
    <w:rsid w:val="00BC3A7A"/>
    <w:rsid w:val="00BC5982"/>
    <w:rsid w:val="00BC5A4B"/>
    <w:rsid w:val="00BC5E4B"/>
    <w:rsid w:val="00BC60BF"/>
    <w:rsid w:val="00BD28BF"/>
    <w:rsid w:val="00BD2D12"/>
    <w:rsid w:val="00BD558C"/>
    <w:rsid w:val="00BD5E53"/>
    <w:rsid w:val="00BD6404"/>
    <w:rsid w:val="00BD6469"/>
    <w:rsid w:val="00BD7807"/>
    <w:rsid w:val="00BD794B"/>
    <w:rsid w:val="00BD7B65"/>
    <w:rsid w:val="00BE04B0"/>
    <w:rsid w:val="00BE299D"/>
    <w:rsid w:val="00BE2AB3"/>
    <w:rsid w:val="00BE33AE"/>
    <w:rsid w:val="00BE49FC"/>
    <w:rsid w:val="00BE503B"/>
    <w:rsid w:val="00BE605B"/>
    <w:rsid w:val="00BE715F"/>
    <w:rsid w:val="00BF046F"/>
    <w:rsid w:val="00BF0D43"/>
    <w:rsid w:val="00BF2299"/>
    <w:rsid w:val="00BF5229"/>
    <w:rsid w:val="00BF5A0C"/>
    <w:rsid w:val="00C0059B"/>
    <w:rsid w:val="00C01C96"/>
    <w:rsid w:val="00C01D50"/>
    <w:rsid w:val="00C02490"/>
    <w:rsid w:val="00C03763"/>
    <w:rsid w:val="00C03EF1"/>
    <w:rsid w:val="00C04401"/>
    <w:rsid w:val="00C04D49"/>
    <w:rsid w:val="00C056DC"/>
    <w:rsid w:val="00C06655"/>
    <w:rsid w:val="00C1170D"/>
    <w:rsid w:val="00C11B5D"/>
    <w:rsid w:val="00C11DE1"/>
    <w:rsid w:val="00C13158"/>
    <w:rsid w:val="00C1329B"/>
    <w:rsid w:val="00C1364A"/>
    <w:rsid w:val="00C1572F"/>
    <w:rsid w:val="00C176B8"/>
    <w:rsid w:val="00C17E5D"/>
    <w:rsid w:val="00C205CA"/>
    <w:rsid w:val="00C209F7"/>
    <w:rsid w:val="00C21155"/>
    <w:rsid w:val="00C22467"/>
    <w:rsid w:val="00C24B1A"/>
    <w:rsid w:val="00C24C05"/>
    <w:rsid w:val="00C24D2F"/>
    <w:rsid w:val="00C24DC3"/>
    <w:rsid w:val="00C25B0A"/>
    <w:rsid w:val="00C26222"/>
    <w:rsid w:val="00C31283"/>
    <w:rsid w:val="00C323C0"/>
    <w:rsid w:val="00C33C48"/>
    <w:rsid w:val="00C340E5"/>
    <w:rsid w:val="00C3490A"/>
    <w:rsid w:val="00C35AA7"/>
    <w:rsid w:val="00C3622C"/>
    <w:rsid w:val="00C36250"/>
    <w:rsid w:val="00C3633E"/>
    <w:rsid w:val="00C375D2"/>
    <w:rsid w:val="00C37B1B"/>
    <w:rsid w:val="00C404C3"/>
    <w:rsid w:val="00C4056D"/>
    <w:rsid w:val="00C42A1E"/>
    <w:rsid w:val="00C42A8B"/>
    <w:rsid w:val="00C43817"/>
    <w:rsid w:val="00C43A08"/>
    <w:rsid w:val="00C43BA1"/>
    <w:rsid w:val="00C43DAB"/>
    <w:rsid w:val="00C44789"/>
    <w:rsid w:val="00C47F08"/>
    <w:rsid w:val="00C50580"/>
    <w:rsid w:val="00C511CC"/>
    <w:rsid w:val="00C5120C"/>
    <w:rsid w:val="00C514A6"/>
    <w:rsid w:val="00C5173B"/>
    <w:rsid w:val="00C52115"/>
    <w:rsid w:val="00C52836"/>
    <w:rsid w:val="00C53EC8"/>
    <w:rsid w:val="00C551F9"/>
    <w:rsid w:val="00C56E54"/>
    <w:rsid w:val="00C5739F"/>
    <w:rsid w:val="00C5787E"/>
    <w:rsid w:val="00C57CF0"/>
    <w:rsid w:val="00C62B27"/>
    <w:rsid w:val="00C63557"/>
    <w:rsid w:val="00C63C50"/>
    <w:rsid w:val="00C63DEF"/>
    <w:rsid w:val="00C648B5"/>
    <w:rsid w:val="00C649BD"/>
    <w:rsid w:val="00C64CE3"/>
    <w:rsid w:val="00C65891"/>
    <w:rsid w:val="00C66AC9"/>
    <w:rsid w:val="00C703B7"/>
    <w:rsid w:val="00C705CE"/>
    <w:rsid w:val="00C724D3"/>
    <w:rsid w:val="00C72584"/>
    <w:rsid w:val="00C72951"/>
    <w:rsid w:val="00C740D4"/>
    <w:rsid w:val="00C741B3"/>
    <w:rsid w:val="00C748CF"/>
    <w:rsid w:val="00C759BC"/>
    <w:rsid w:val="00C75A12"/>
    <w:rsid w:val="00C76FB4"/>
    <w:rsid w:val="00C77CA4"/>
    <w:rsid w:val="00C77DD9"/>
    <w:rsid w:val="00C80228"/>
    <w:rsid w:val="00C81403"/>
    <w:rsid w:val="00C82CDB"/>
    <w:rsid w:val="00C82D86"/>
    <w:rsid w:val="00C835AA"/>
    <w:rsid w:val="00C83AA1"/>
    <w:rsid w:val="00C83BE6"/>
    <w:rsid w:val="00C85354"/>
    <w:rsid w:val="00C86ABA"/>
    <w:rsid w:val="00C86DA6"/>
    <w:rsid w:val="00C87228"/>
    <w:rsid w:val="00C9039F"/>
    <w:rsid w:val="00C93A1B"/>
    <w:rsid w:val="00C943F3"/>
    <w:rsid w:val="00CA05BB"/>
    <w:rsid w:val="00CA08C6"/>
    <w:rsid w:val="00CA0A03"/>
    <w:rsid w:val="00CA0A77"/>
    <w:rsid w:val="00CA2729"/>
    <w:rsid w:val="00CA28C8"/>
    <w:rsid w:val="00CA303D"/>
    <w:rsid w:val="00CA3057"/>
    <w:rsid w:val="00CA45F8"/>
    <w:rsid w:val="00CA50C5"/>
    <w:rsid w:val="00CA524D"/>
    <w:rsid w:val="00CA5CEC"/>
    <w:rsid w:val="00CA6945"/>
    <w:rsid w:val="00CA6AA1"/>
    <w:rsid w:val="00CA6D1C"/>
    <w:rsid w:val="00CA6FA0"/>
    <w:rsid w:val="00CB0305"/>
    <w:rsid w:val="00CB1057"/>
    <w:rsid w:val="00CB1841"/>
    <w:rsid w:val="00CB33C7"/>
    <w:rsid w:val="00CB42E9"/>
    <w:rsid w:val="00CB4357"/>
    <w:rsid w:val="00CB582A"/>
    <w:rsid w:val="00CB6DA7"/>
    <w:rsid w:val="00CB767E"/>
    <w:rsid w:val="00CB7E4C"/>
    <w:rsid w:val="00CC0B94"/>
    <w:rsid w:val="00CC0BA9"/>
    <w:rsid w:val="00CC25B4"/>
    <w:rsid w:val="00CC4EAF"/>
    <w:rsid w:val="00CC5F88"/>
    <w:rsid w:val="00CC6002"/>
    <w:rsid w:val="00CC69C8"/>
    <w:rsid w:val="00CC6CFD"/>
    <w:rsid w:val="00CC6E26"/>
    <w:rsid w:val="00CC77A2"/>
    <w:rsid w:val="00CD01A5"/>
    <w:rsid w:val="00CD13E9"/>
    <w:rsid w:val="00CD1DFA"/>
    <w:rsid w:val="00CD249E"/>
    <w:rsid w:val="00CD28B9"/>
    <w:rsid w:val="00CD307E"/>
    <w:rsid w:val="00CD3A2F"/>
    <w:rsid w:val="00CD4BC0"/>
    <w:rsid w:val="00CD619D"/>
    <w:rsid w:val="00CD6238"/>
    <w:rsid w:val="00CD629F"/>
    <w:rsid w:val="00CD66E8"/>
    <w:rsid w:val="00CD6A1B"/>
    <w:rsid w:val="00CE0A7F"/>
    <w:rsid w:val="00CE12AB"/>
    <w:rsid w:val="00CE1718"/>
    <w:rsid w:val="00CE2196"/>
    <w:rsid w:val="00CE5654"/>
    <w:rsid w:val="00CE7969"/>
    <w:rsid w:val="00CE7B58"/>
    <w:rsid w:val="00CF09E5"/>
    <w:rsid w:val="00CF177E"/>
    <w:rsid w:val="00CF1BB5"/>
    <w:rsid w:val="00CF1F7E"/>
    <w:rsid w:val="00CF25D0"/>
    <w:rsid w:val="00CF3681"/>
    <w:rsid w:val="00CF36EE"/>
    <w:rsid w:val="00CF4156"/>
    <w:rsid w:val="00CF48D0"/>
    <w:rsid w:val="00CF62C1"/>
    <w:rsid w:val="00CF7B08"/>
    <w:rsid w:val="00D0036C"/>
    <w:rsid w:val="00D03B36"/>
    <w:rsid w:val="00D03D00"/>
    <w:rsid w:val="00D04689"/>
    <w:rsid w:val="00D04A41"/>
    <w:rsid w:val="00D05030"/>
    <w:rsid w:val="00D05373"/>
    <w:rsid w:val="00D05C30"/>
    <w:rsid w:val="00D05CA8"/>
    <w:rsid w:val="00D06299"/>
    <w:rsid w:val="00D071E4"/>
    <w:rsid w:val="00D07632"/>
    <w:rsid w:val="00D10052"/>
    <w:rsid w:val="00D10549"/>
    <w:rsid w:val="00D10567"/>
    <w:rsid w:val="00D10989"/>
    <w:rsid w:val="00D10BC5"/>
    <w:rsid w:val="00D11359"/>
    <w:rsid w:val="00D1176D"/>
    <w:rsid w:val="00D11D1D"/>
    <w:rsid w:val="00D1256A"/>
    <w:rsid w:val="00D12F1C"/>
    <w:rsid w:val="00D13A82"/>
    <w:rsid w:val="00D14699"/>
    <w:rsid w:val="00D16C73"/>
    <w:rsid w:val="00D20196"/>
    <w:rsid w:val="00D21AE7"/>
    <w:rsid w:val="00D22384"/>
    <w:rsid w:val="00D22B98"/>
    <w:rsid w:val="00D242C3"/>
    <w:rsid w:val="00D24382"/>
    <w:rsid w:val="00D25FD2"/>
    <w:rsid w:val="00D26755"/>
    <w:rsid w:val="00D277F3"/>
    <w:rsid w:val="00D27867"/>
    <w:rsid w:val="00D3188C"/>
    <w:rsid w:val="00D31C59"/>
    <w:rsid w:val="00D3238F"/>
    <w:rsid w:val="00D32684"/>
    <w:rsid w:val="00D34F3C"/>
    <w:rsid w:val="00D35F9B"/>
    <w:rsid w:val="00D36416"/>
    <w:rsid w:val="00D36B69"/>
    <w:rsid w:val="00D407F5"/>
    <w:rsid w:val="00D408DD"/>
    <w:rsid w:val="00D41CF5"/>
    <w:rsid w:val="00D41DEA"/>
    <w:rsid w:val="00D42515"/>
    <w:rsid w:val="00D42B80"/>
    <w:rsid w:val="00D42F4A"/>
    <w:rsid w:val="00D42F81"/>
    <w:rsid w:val="00D4354B"/>
    <w:rsid w:val="00D43B22"/>
    <w:rsid w:val="00D45BC0"/>
    <w:rsid w:val="00D45D72"/>
    <w:rsid w:val="00D45FDB"/>
    <w:rsid w:val="00D5031D"/>
    <w:rsid w:val="00D51CC3"/>
    <w:rsid w:val="00D520E4"/>
    <w:rsid w:val="00D521CB"/>
    <w:rsid w:val="00D53A38"/>
    <w:rsid w:val="00D542F3"/>
    <w:rsid w:val="00D54A4B"/>
    <w:rsid w:val="00D54A5A"/>
    <w:rsid w:val="00D54C3F"/>
    <w:rsid w:val="00D558D9"/>
    <w:rsid w:val="00D55F77"/>
    <w:rsid w:val="00D56AED"/>
    <w:rsid w:val="00D574B1"/>
    <w:rsid w:val="00D575DD"/>
    <w:rsid w:val="00D57CDA"/>
    <w:rsid w:val="00D57DD0"/>
    <w:rsid w:val="00D57DFA"/>
    <w:rsid w:val="00D61198"/>
    <w:rsid w:val="00D65D82"/>
    <w:rsid w:val="00D67103"/>
    <w:rsid w:val="00D67169"/>
    <w:rsid w:val="00D67FCF"/>
    <w:rsid w:val="00D701E7"/>
    <w:rsid w:val="00D709CE"/>
    <w:rsid w:val="00D71585"/>
    <w:rsid w:val="00D71F73"/>
    <w:rsid w:val="00D720C2"/>
    <w:rsid w:val="00D7239A"/>
    <w:rsid w:val="00D73E8C"/>
    <w:rsid w:val="00D74CD5"/>
    <w:rsid w:val="00D74F6F"/>
    <w:rsid w:val="00D75036"/>
    <w:rsid w:val="00D75C06"/>
    <w:rsid w:val="00D76686"/>
    <w:rsid w:val="00D778B4"/>
    <w:rsid w:val="00D803AC"/>
    <w:rsid w:val="00D80786"/>
    <w:rsid w:val="00D80910"/>
    <w:rsid w:val="00D81CAB"/>
    <w:rsid w:val="00D8285A"/>
    <w:rsid w:val="00D82BC8"/>
    <w:rsid w:val="00D84318"/>
    <w:rsid w:val="00D8576F"/>
    <w:rsid w:val="00D863ED"/>
    <w:rsid w:val="00D866AA"/>
    <w:rsid w:val="00D8677F"/>
    <w:rsid w:val="00D86D39"/>
    <w:rsid w:val="00D87E7F"/>
    <w:rsid w:val="00D91DA2"/>
    <w:rsid w:val="00D92C49"/>
    <w:rsid w:val="00D93FDA"/>
    <w:rsid w:val="00D957BB"/>
    <w:rsid w:val="00D959B9"/>
    <w:rsid w:val="00D97F0C"/>
    <w:rsid w:val="00DA0753"/>
    <w:rsid w:val="00DA0A25"/>
    <w:rsid w:val="00DA0D31"/>
    <w:rsid w:val="00DA2ACD"/>
    <w:rsid w:val="00DA352E"/>
    <w:rsid w:val="00DA3A86"/>
    <w:rsid w:val="00DA50D5"/>
    <w:rsid w:val="00DA5916"/>
    <w:rsid w:val="00DA5EB4"/>
    <w:rsid w:val="00DA67D1"/>
    <w:rsid w:val="00DA7085"/>
    <w:rsid w:val="00DB07EE"/>
    <w:rsid w:val="00DB1DB6"/>
    <w:rsid w:val="00DB32D4"/>
    <w:rsid w:val="00DB366F"/>
    <w:rsid w:val="00DB3B4C"/>
    <w:rsid w:val="00DB4142"/>
    <w:rsid w:val="00DB5750"/>
    <w:rsid w:val="00DB6786"/>
    <w:rsid w:val="00DB6A67"/>
    <w:rsid w:val="00DB77D0"/>
    <w:rsid w:val="00DC06F4"/>
    <w:rsid w:val="00DC0FBC"/>
    <w:rsid w:val="00DC20AA"/>
    <w:rsid w:val="00DC2500"/>
    <w:rsid w:val="00DC3391"/>
    <w:rsid w:val="00DC4F72"/>
    <w:rsid w:val="00DC59D8"/>
    <w:rsid w:val="00DC64CD"/>
    <w:rsid w:val="00DC652C"/>
    <w:rsid w:val="00DC6ADD"/>
    <w:rsid w:val="00DC77DC"/>
    <w:rsid w:val="00DD0171"/>
    <w:rsid w:val="00DD0453"/>
    <w:rsid w:val="00DD08BA"/>
    <w:rsid w:val="00DD0C2C"/>
    <w:rsid w:val="00DD15BE"/>
    <w:rsid w:val="00DD19DE"/>
    <w:rsid w:val="00DD1EEE"/>
    <w:rsid w:val="00DD239C"/>
    <w:rsid w:val="00DD28BC"/>
    <w:rsid w:val="00DD3222"/>
    <w:rsid w:val="00DD4782"/>
    <w:rsid w:val="00DD479B"/>
    <w:rsid w:val="00DD520F"/>
    <w:rsid w:val="00DE14E6"/>
    <w:rsid w:val="00DE28D1"/>
    <w:rsid w:val="00DE2BE0"/>
    <w:rsid w:val="00DE3174"/>
    <w:rsid w:val="00DE31F0"/>
    <w:rsid w:val="00DE397B"/>
    <w:rsid w:val="00DE3D1C"/>
    <w:rsid w:val="00DE4F33"/>
    <w:rsid w:val="00DE58C5"/>
    <w:rsid w:val="00DE6C46"/>
    <w:rsid w:val="00DE6D93"/>
    <w:rsid w:val="00DE7A8A"/>
    <w:rsid w:val="00DF0182"/>
    <w:rsid w:val="00DF1185"/>
    <w:rsid w:val="00DF1AFD"/>
    <w:rsid w:val="00DF1E45"/>
    <w:rsid w:val="00DF2036"/>
    <w:rsid w:val="00DF33BF"/>
    <w:rsid w:val="00DF3DC5"/>
    <w:rsid w:val="00DF46F6"/>
    <w:rsid w:val="00DF472D"/>
    <w:rsid w:val="00DF5FD1"/>
    <w:rsid w:val="00E007D9"/>
    <w:rsid w:val="00E011F8"/>
    <w:rsid w:val="00E017A1"/>
    <w:rsid w:val="00E01C41"/>
    <w:rsid w:val="00E0227D"/>
    <w:rsid w:val="00E0255E"/>
    <w:rsid w:val="00E03562"/>
    <w:rsid w:val="00E03746"/>
    <w:rsid w:val="00E040AD"/>
    <w:rsid w:val="00E04B84"/>
    <w:rsid w:val="00E04E40"/>
    <w:rsid w:val="00E06466"/>
    <w:rsid w:val="00E06835"/>
    <w:rsid w:val="00E06AB8"/>
    <w:rsid w:val="00E06FDA"/>
    <w:rsid w:val="00E111E9"/>
    <w:rsid w:val="00E11262"/>
    <w:rsid w:val="00E1565E"/>
    <w:rsid w:val="00E160A5"/>
    <w:rsid w:val="00E163FC"/>
    <w:rsid w:val="00E1713D"/>
    <w:rsid w:val="00E20252"/>
    <w:rsid w:val="00E20A43"/>
    <w:rsid w:val="00E22DDC"/>
    <w:rsid w:val="00E23898"/>
    <w:rsid w:val="00E23CB1"/>
    <w:rsid w:val="00E23D31"/>
    <w:rsid w:val="00E251D2"/>
    <w:rsid w:val="00E25EA4"/>
    <w:rsid w:val="00E25EB1"/>
    <w:rsid w:val="00E2661D"/>
    <w:rsid w:val="00E26734"/>
    <w:rsid w:val="00E307DA"/>
    <w:rsid w:val="00E319F1"/>
    <w:rsid w:val="00E33135"/>
    <w:rsid w:val="00E3349B"/>
    <w:rsid w:val="00E33840"/>
    <w:rsid w:val="00E33C84"/>
    <w:rsid w:val="00E33CD2"/>
    <w:rsid w:val="00E34311"/>
    <w:rsid w:val="00E352EC"/>
    <w:rsid w:val="00E37DB3"/>
    <w:rsid w:val="00E37DDD"/>
    <w:rsid w:val="00E40CA0"/>
    <w:rsid w:val="00E40E90"/>
    <w:rsid w:val="00E44870"/>
    <w:rsid w:val="00E44DE3"/>
    <w:rsid w:val="00E45C7E"/>
    <w:rsid w:val="00E46494"/>
    <w:rsid w:val="00E47140"/>
    <w:rsid w:val="00E47D39"/>
    <w:rsid w:val="00E514C3"/>
    <w:rsid w:val="00E531EB"/>
    <w:rsid w:val="00E54056"/>
    <w:rsid w:val="00E54874"/>
    <w:rsid w:val="00E54B6F"/>
    <w:rsid w:val="00E55ACA"/>
    <w:rsid w:val="00E56B80"/>
    <w:rsid w:val="00E56E8E"/>
    <w:rsid w:val="00E57B74"/>
    <w:rsid w:val="00E57EA6"/>
    <w:rsid w:val="00E60636"/>
    <w:rsid w:val="00E616A0"/>
    <w:rsid w:val="00E61724"/>
    <w:rsid w:val="00E618AE"/>
    <w:rsid w:val="00E63C64"/>
    <w:rsid w:val="00E64C5B"/>
    <w:rsid w:val="00E65BC6"/>
    <w:rsid w:val="00E65E38"/>
    <w:rsid w:val="00E6610C"/>
    <w:rsid w:val="00E661FF"/>
    <w:rsid w:val="00E67A4A"/>
    <w:rsid w:val="00E70AA0"/>
    <w:rsid w:val="00E71DBC"/>
    <w:rsid w:val="00E726EB"/>
    <w:rsid w:val="00E72CF1"/>
    <w:rsid w:val="00E72D6C"/>
    <w:rsid w:val="00E73DB7"/>
    <w:rsid w:val="00E756FD"/>
    <w:rsid w:val="00E80B52"/>
    <w:rsid w:val="00E81928"/>
    <w:rsid w:val="00E824C3"/>
    <w:rsid w:val="00E840B3"/>
    <w:rsid w:val="00E84D10"/>
    <w:rsid w:val="00E85563"/>
    <w:rsid w:val="00E8629F"/>
    <w:rsid w:val="00E8714F"/>
    <w:rsid w:val="00E87623"/>
    <w:rsid w:val="00E91008"/>
    <w:rsid w:val="00E9138A"/>
    <w:rsid w:val="00E9374E"/>
    <w:rsid w:val="00E94F54"/>
    <w:rsid w:val="00E97AD5"/>
    <w:rsid w:val="00EA1111"/>
    <w:rsid w:val="00EA2313"/>
    <w:rsid w:val="00EA3658"/>
    <w:rsid w:val="00EA3B4F"/>
    <w:rsid w:val="00EA3B70"/>
    <w:rsid w:val="00EA3C24"/>
    <w:rsid w:val="00EA4377"/>
    <w:rsid w:val="00EA4382"/>
    <w:rsid w:val="00EA4546"/>
    <w:rsid w:val="00EA4AB0"/>
    <w:rsid w:val="00EA52B2"/>
    <w:rsid w:val="00EA5A40"/>
    <w:rsid w:val="00EA6DC2"/>
    <w:rsid w:val="00EA73DF"/>
    <w:rsid w:val="00EA7B8A"/>
    <w:rsid w:val="00EA7C6B"/>
    <w:rsid w:val="00EB02F1"/>
    <w:rsid w:val="00EB0EB1"/>
    <w:rsid w:val="00EB14C1"/>
    <w:rsid w:val="00EB1850"/>
    <w:rsid w:val="00EB2536"/>
    <w:rsid w:val="00EB61AE"/>
    <w:rsid w:val="00EB79F9"/>
    <w:rsid w:val="00EC1EE4"/>
    <w:rsid w:val="00EC322D"/>
    <w:rsid w:val="00EC3369"/>
    <w:rsid w:val="00EC38C0"/>
    <w:rsid w:val="00EC3C2E"/>
    <w:rsid w:val="00EC3D0C"/>
    <w:rsid w:val="00EC54BF"/>
    <w:rsid w:val="00EC5BB6"/>
    <w:rsid w:val="00ED18C3"/>
    <w:rsid w:val="00ED21E4"/>
    <w:rsid w:val="00ED23F5"/>
    <w:rsid w:val="00ED242A"/>
    <w:rsid w:val="00ED383A"/>
    <w:rsid w:val="00ED42E8"/>
    <w:rsid w:val="00ED4439"/>
    <w:rsid w:val="00ED4762"/>
    <w:rsid w:val="00ED5AD5"/>
    <w:rsid w:val="00ED6194"/>
    <w:rsid w:val="00ED6856"/>
    <w:rsid w:val="00EE0AF0"/>
    <w:rsid w:val="00EE1080"/>
    <w:rsid w:val="00EE2C87"/>
    <w:rsid w:val="00EE2E57"/>
    <w:rsid w:val="00EE48C3"/>
    <w:rsid w:val="00EE5022"/>
    <w:rsid w:val="00EE597C"/>
    <w:rsid w:val="00EE69AF"/>
    <w:rsid w:val="00EE6D95"/>
    <w:rsid w:val="00EE70FD"/>
    <w:rsid w:val="00EE7100"/>
    <w:rsid w:val="00EE7F11"/>
    <w:rsid w:val="00EF0291"/>
    <w:rsid w:val="00EF1EC5"/>
    <w:rsid w:val="00EF4C88"/>
    <w:rsid w:val="00EF509E"/>
    <w:rsid w:val="00EF5144"/>
    <w:rsid w:val="00EF55EB"/>
    <w:rsid w:val="00EF7E4E"/>
    <w:rsid w:val="00F00A5F"/>
    <w:rsid w:val="00F00DCC"/>
    <w:rsid w:val="00F0156F"/>
    <w:rsid w:val="00F02047"/>
    <w:rsid w:val="00F0291E"/>
    <w:rsid w:val="00F03092"/>
    <w:rsid w:val="00F03EC5"/>
    <w:rsid w:val="00F05AC8"/>
    <w:rsid w:val="00F061CC"/>
    <w:rsid w:val="00F063E7"/>
    <w:rsid w:val="00F07167"/>
    <w:rsid w:val="00F072D8"/>
    <w:rsid w:val="00F07CE0"/>
    <w:rsid w:val="00F07DD2"/>
    <w:rsid w:val="00F115F5"/>
    <w:rsid w:val="00F13D05"/>
    <w:rsid w:val="00F13EE0"/>
    <w:rsid w:val="00F14D34"/>
    <w:rsid w:val="00F154C3"/>
    <w:rsid w:val="00F1679D"/>
    <w:rsid w:val="00F1682C"/>
    <w:rsid w:val="00F20B91"/>
    <w:rsid w:val="00F21139"/>
    <w:rsid w:val="00F218F4"/>
    <w:rsid w:val="00F22EAE"/>
    <w:rsid w:val="00F235A1"/>
    <w:rsid w:val="00F23BFA"/>
    <w:rsid w:val="00F23FA0"/>
    <w:rsid w:val="00F24B8B"/>
    <w:rsid w:val="00F26024"/>
    <w:rsid w:val="00F264D2"/>
    <w:rsid w:val="00F266FD"/>
    <w:rsid w:val="00F27A3F"/>
    <w:rsid w:val="00F3080A"/>
    <w:rsid w:val="00F30D2E"/>
    <w:rsid w:val="00F31705"/>
    <w:rsid w:val="00F32CC9"/>
    <w:rsid w:val="00F32E2B"/>
    <w:rsid w:val="00F33BEC"/>
    <w:rsid w:val="00F349B3"/>
    <w:rsid w:val="00F35516"/>
    <w:rsid w:val="00F3565C"/>
    <w:rsid w:val="00F35790"/>
    <w:rsid w:val="00F357CF"/>
    <w:rsid w:val="00F3728C"/>
    <w:rsid w:val="00F378BA"/>
    <w:rsid w:val="00F40066"/>
    <w:rsid w:val="00F40A58"/>
    <w:rsid w:val="00F40A98"/>
    <w:rsid w:val="00F4136D"/>
    <w:rsid w:val="00F4212E"/>
    <w:rsid w:val="00F42C20"/>
    <w:rsid w:val="00F43E34"/>
    <w:rsid w:val="00F43E38"/>
    <w:rsid w:val="00F44D13"/>
    <w:rsid w:val="00F452D6"/>
    <w:rsid w:val="00F457D0"/>
    <w:rsid w:val="00F45AAA"/>
    <w:rsid w:val="00F46FD9"/>
    <w:rsid w:val="00F47D65"/>
    <w:rsid w:val="00F5085E"/>
    <w:rsid w:val="00F52E86"/>
    <w:rsid w:val="00F52EE9"/>
    <w:rsid w:val="00F53053"/>
    <w:rsid w:val="00F53BF5"/>
    <w:rsid w:val="00F53CC7"/>
    <w:rsid w:val="00F53FE2"/>
    <w:rsid w:val="00F54741"/>
    <w:rsid w:val="00F55BF9"/>
    <w:rsid w:val="00F560AA"/>
    <w:rsid w:val="00F56647"/>
    <w:rsid w:val="00F56A7F"/>
    <w:rsid w:val="00F57363"/>
    <w:rsid w:val="00F575FF"/>
    <w:rsid w:val="00F618EF"/>
    <w:rsid w:val="00F620CD"/>
    <w:rsid w:val="00F643C7"/>
    <w:rsid w:val="00F65117"/>
    <w:rsid w:val="00F65582"/>
    <w:rsid w:val="00F66E75"/>
    <w:rsid w:val="00F70902"/>
    <w:rsid w:val="00F70F14"/>
    <w:rsid w:val="00F71875"/>
    <w:rsid w:val="00F766BB"/>
    <w:rsid w:val="00F77D06"/>
    <w:rsid w:val="00F77EB0"/>
    <w:rsid w:val="00F826A9"/>
    <w:rsid w:val="00F82FD7"/>
    <w:rsid w:val="00F8671A"/>
    <w:rsid w:val="00F86DC5"/>
    <w:rsid w:val="00F8704E"/>
    <w:rsid w:val="00F87109"/>
    <w:rsid w:val="00F87939"/>
    <w:rsid w:val="00F87A1D"/>
    <w:rsid w:val="00F87CDD"/>
    <w:rsid w:val="00F87D02"/>
    <w:rsid w:val="00F925A8"/>
    <w:rsid w:val="00F927AC"/>
    <w:rsid w:val="00F933F0"/>
    <w:rsid w:val="00F937A3"/>
    <w:rsid w:val="00F94155"/>
    <w:rsid w:val="00F94715"/>
    <w:rsid w:val="00F959BA"/>
    <w:rsid w:val="00F96A3D"/>
    <w:rsid w:val="00F9756D"/>
    <w:rsid w:val="00FA1850"/>
    <w:rsid w:val="00FA191F"/>
    <w:rsid w:val="00FA303C"/>
    <w:rsid w:val="00FA4718"/>
    <w:rsid w:val="00FA50F3"/>
    <w:rsid w:val="00FA5848"/>
    <w:rsid w:val="00FA6899"/>
    <w:rsid w:val="00FA6DD8"/>
    <w:rsid w:val="00FA7F3D"/>
    <w:rsid w:val="00FB20CE"/>
    <w:rsid w:val="00FB38D8"/>
    <w:rsid w:val="00FB4794"/>
    <w:rsid w:val="00FB596B"/>
    <w:rsid w:val="00FB5D6A"/>
    <w:rsid w:val="00FC0422"/>
    <w:rsid w:val="00FC051F"/>
    <w:rsid w:val="00FC06FF"/>
    <w:rsid w:val="00FC0970"/>
    <w:rsid w:val="00FC0E83"/>
    <w:rsid w:val="00FC11A7"/>
    <w:rsid w:val="00FC1DD0"/>
    <w:rsid w:val="00FC2556"/>
    <w:rsid w:val="00FC45F4"/>
    <w:rsid w:val="00FC52DE"/>
    <w:rsid w:val="00FC584D"/>
    <w:rsid w:val="00FC5FC1"/>
    <w:rsid w:val="00FC69B4"/>
    <w:rsid w:val="00FC6A7F"/>
    <w:rsid w:val="00FC7582"/>
    <w:rsid w:val="00FD0694"/>
    <w:rsid w:val="00FD0B3B"/>
    <w:rsid w:val="00FD12F9"/>
    <w:rsid w:val="00FD25BE"/>
    <w:rsid w:val="00FD2C5F"/>
    <w:rsid w:val="00FD2E70"/>
    <w:rsid w:val="00FD638E"/>
    <w:rsid w:val="00FD6C7E"/>
    <w:rsid w:val="00FD7AA7"/>
    <w:rsid w:val="00FD7EB5"/>
    <w:rsid w:val="00FD7FDD"/>
    <w:rsid w:val="00FE01E3"/>
    <w:rsid w:val="00FE0620"/>
    <w:rsid w:val="00FE0F40"/>
    <w:rsid w:val="00FE18B3"/>
    <w:rsid w:val="00FE2DB3"/>
    <w:rsid w:val="00FE334B"/>
    <w:rsid w:val="00FE370A"/>
    <w:rsid w:val="00FE38DC"/>
    <w:rsid w:val="00FE3D94"/>
    <w:rsid w:val="00FE40E0"/>
    <w:rsid w:val="00FE52A8"/>
    <w:rsid w:val="00FE6FB5"/>
    <w:rsid w:val="00FF1FCB"/>
    <w:rsid w:val="00FF2F96"/>
    <w:rsid w:val="00FF385E"/>
    <w:rsid w:val="00FF52D4"/>
    <w:rsid w:val="00FF590E"/>
    <w:rsid w:val="00FF6AA4"/>
    <w:rsid w:val="00FF6B09"/>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7DE3E8"/>
  <w15:docId w15:val="{574C0703-917B-41AE-9F64-858EE14B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Normal Indent" w:semiHidden="1" w:unhideWhenUsed="1"/>
    <w:lsdException w:name="footnote text" w:semiHidden="1"/>
    <w:lsdException w:name="annotation text" w:uiPriority="99" w:qFormat="1"/>
    <w:lsdException w:name="footer" w:uiPriority="99"/>
    <w:lsdException w:name="index heading" w:semiHidden="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2" w:uiPriority="99"/>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Id w:val="0"/>
      </w:numPr>
      <w:spacing w:before="120"/>
      <w:outlineLvl w:val="2"/>
    </w:pPr>
  </w:style>
  <w:style w:type="paragraph" w:styleId="4">
    <w:name w:val="heading 4"/>
    <w:basedOn w:val="3"/>
    <w:next w:val="a"/>
    <w:link w:val="40"/>
    <w:qFormat/>
    <w:pPr>
      <w:numPr>
        <w:ilvl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pPr>
      <w:ind w:left="1135"/>
    </w:pPr>
  </w:style>
  <w:style w:type="paragraph" w:styleId="21">
    <w:name w:val="List 2"/>
    <w:basedOn w:val="a3"/>
    <w:uiPriority w:val="99"/>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pPr>
      <w:ind w:left="1702"/>
    </w:pPr>
  </w:style>
  <w:style w:type="paragraph" w:styleId="TOC8">
    <w:name w:val="toc 8"/>
    <w:basedOn w:val="TOC1"/>
    <w:next w:val="a"/>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pPr>
      <w:jc w:val="center"/>
    </w:pPr>
    <w:rPr>
      <w:i/>
    </w:rPr>
  </w:style>
  <w:style w:type="paragraph" w:styleId="af4">
    <w:name w:val="header"/>
    <w:link w:val="af6"/>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afa">
    <w:name w:val="table of figures"/>
    <w:basedOn w:val="ab"/>
    <w:next w:val="a"/>
    <w:uiPriority w:val="99"/>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pPr>
      <w:keepLines/>
      <w:spacing w:after="0"/>
    </w:pPr>
  </w:style>
  <w:style w:type="paragraph" w:styleId="26">
    <w:name w:val="index 2"/>
    <w:basedOn w:val="11"/>
    <w:next w:val="a"/>
    <w:semiHidden/>
    <w:pPr>
      <w:ind w:left="284"/>
    </w:pPr>
  </w:style>
  <w:style w:type="paragraph" w:styleId="afc">
    <w:name w:val="annotation subject"/>
    <w:basedOn w:val="a9"/>
    <w:next w:val="a9"/>
    <w:link w:val="afd"/>
    <w:qFormat/>
    <w:rPr>
      <w:b/>
      <w:bCs/>
    </w:rPr>
  </w:style>
  <w:style w:type="table" w:styleId="afe">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style>
  <w:style w:type="paragraph" w:customStyle="1" w:styleId="B3">
    <w:name w:val="B3"/>
    <w:basedOn w:val="31"/>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リスト段落,列出段落,Lista1,?? ??,?????,????,列出段落1,中等深浅网格 1 - 着色 21,¥¡¡¡¡ì¬º¥¹¥È¶ÎÂä,ÁÐ³ö¶ÎÂä,列表段落1,—ño’i—Ž,¥ê¥¹¥È¶ÎÂä,1st level - Bullet List Paragraph,Lettre d'introduction,Paragrafo elenco,Normal bullet 2,Bullet list,R4_bullets,목록 단락,列表段落11"/>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7"/>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aliases w:val="-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Bullet list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7"/>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rsid w:val="008B0173"/>
  </w:style>
  <w:style w:type="paragraph" w:styleId="aff9">
    <w:name w:val="Revision"/>
    <w:hidden/>
    <w:uiPriority w:val="99"/>
    <w:semiHidden/>
    <w:rsid w:val="002611C7"/>
    <w:rPr>
      <w:lang w:val="en-GB" w:eastAsia="en-US"/>
    </w:rPr>
  </w:style>
  <w:style w:type="character" w:styleId="affa">
    <w:name w:val="Unresolved Mention"/>
    <w:basedOn w:val="a0"/>
    <w:uiPriority w:val="99"/>
    <w:semiHidden/>
    <w:unhideWhenUsed/>
    <w:rsid w:val="00512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1204">
      <w:bodyDiv w:val="1"/>
      <w:marLeft w:val="0"/>
      <w:marRight w:val="0"/>
      <w:marTop w:val="0"/>
      <w:marBottom w:val="0"/>
      <w:divBdr>
        <w:top w:val="none" w:sz="0" w:space="0" w:color="auto"/>
        <w:left w:val="none" w:sz="0" w:space="0" w:color="auto"/>
        <w:bottom w:val="none" w:sz="0" w:space="0" w:color="auto"/>
        <w:right w:val="none" w:sz="0" w:space="0" w:color="auto"/>
      </w:divBdr>
    </w:div>
    <w:div w:id="76248882">
      <w:bodyDiv w:val="1"/>
      <w:marLeft w:val="0"/>
      <w:marRight w:val="0"/>
      <w:marTop w:val="0"/>
      <w:marBottom w:val="0"/>
      <w:divBdr>
        <w:top w:val="none" w:sz="0" w:space="0" w:color="auto"/>
        <w:left w:val="none" w:sz="0" w:space="0" w:color="auto"/>
        <w:bottom w:val="none" w:sz="0" w:space="0" w:color="auto"/>
        <w:right w:val="none" w:sz="0" w:space="0" w:color="auto"/>
      </w:divBdr>
    </w:div>
    <w:div w:id="671295132">
      <w:bodyDiv w:val="1"/>
      <w:marLeft w:val="0"/>
      <w:marRight w:val="0"/>
      <w:marTop w:val="0"/>
      <w:marBottom w:val="0"/>
      <w:divBdr>
        <w:top w:val="none" w:sz="0" w:space="0" w:color="auto"/>
        <w:left w:val="none" w:sz="0" w:space="0" w:color="auto"/>
        <w:bottom w:val="none" w:sz="0" w:space="0" w:color="auto"/>
        <w:right w:val="none" w:sz="0" w:space="0" w:color="auto"/>
      </w:divBdr>
    </w:div>
    <w:div w:id="775296955">
      <w:bodyDiv w:val="1"/>
      <w:marLeft w:val="0"/>
      <w:marRight w:val="0"/>
      <w:marTop w:val="0"/>
      <w:marBottom w:val="0"/>
      <w:divBdr>
        <w:top w:val="none" w:sz="0" w:space="0" w:color="auto"/>
        <w:left w:val="none" w:sz="0" w:space="0" w:color="auto"/>
        <w:bottom w:val="none" w:sz="0" w:space="0" w:color="auto"/>
        <w:right w:val="none" w:sz="0" w:space="0" w:color="auto"/>
      </w:divBdr>
    </w:div>
    <w:div w:id="898245408">
      <w:bodyDiv w:val="1"/>
      <w:marLeft w:val="0"/>
      <w:marRight w:val="0"/>
      <w:marTop w:val="0"/>
      <w:marBottom w:val="0"/>
      <w:divBdr>
        <w:top w:val="none" w:sz="0" w:space="0" w:color="auto"/>
        <w:left w:val="none" w:sz="0" w:space="0" w:color="auto"/>
        <w:bottom w:val="none" w:sz="0" w:space="0" w:color="auto"/>
        <w:right w:val="none" w:sz="0" w:space="0" w:color="auto"/>
      </w:divBdr>
    </w:div>
    <w:div w:id="1186365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6.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3.vsdx"/><Relationship Id="rId17"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package" Target="embeddings/Microsoft_Visio_Drawing2.vsdx"/><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6.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B3448-A7D1-4CCA-B660-F9FAB5DEF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8</Pages>
  <Words>2308</Words>
  <Characters>13162</Characters>
  <Application>Microsoft Office Word</Application>
  <DocSecurity>0</DocSecurity>
  <Lines>109</Lines>
  <Paragraphs>30</Paragraphs>
  <ScaleCrop>false</ScaleCrop>
  <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Daixizeng</cp:lastModifiedBy>
  <cp:revision>31</cp:revision>
  <cp:lastPrinted>2019-04-25T01:09:00Z</cp:lastPrinted>
  <dcterms:created xsi:type="dcterms:W3CDTF">2025-02-21T07:13:00Z</dcterms:created>
  <dcterms:modified xsi:type="dcterms:W3CDTF">2025-02-21T07:22:00Z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4027302A668D409EB9374462CE163ABF</vt:lpwstr>
  </property>
  <property fmtid="{D5CDD505-2E9C-101B-9397-08002B2CF9AE}" pid="17" name="KeyAssetLabel_HuaWei">
    <vt:lpwstr>{yVz+WsBoP9hkdQy2b6NCPBzttxKq4D}</vt:lpwstr>
  </property>
</Properties>
</file>